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秦华天然气南侧路红线内苗木迁移</w:t>
      </w:r>
    </w:p>
    <w:p>
      <w:pPr>
        <w:pStyle w:val="null3"/>
        <w:jc w:val="center"/>
        <w:outlineLvl w:val="2"/>
      </w:pPr>
      <w:r>
        <w:rPr>
          <w:sz w:val="28"/>
          <w:b/>
        </w:rPr>
        <w:t>采购项目编号：</w:t>
      </w:r>
      <w:r>
        <w:rPr>
          <w:sz w:val="28"/>
          <w:b/>
        </w:rPr>
        <w:t>RH采字【20240810】号</w:t>
      </w:r>
      <w:r>
        <w:br/>
      </w:r>
      <w:r>
        <w:br/>
      </w:r>
      <w:r>
        <w:br/>
      </w:r>
    </w:p>
    <w:p>
      <w:pPr>
        <w:pStyle w:val="null3"/>
        <w:jc w:val="center"/>
        <w:outlineLvl w:val="2"/>
      </w:pPr>
      <w:r>
        <w:rPr>
          <w:sz w:val="28"/>
          <w:b/>
        </w:rPr>
        <w:t>西安市雁塔区住房和城乡建设局</w:t>
      </w:r>
    </w:p>
    <w:p>
      <w:pPr>
        <w:pStyle w:val="null3"/>
        <w:jc w:val="center"/>
        <w:outlineLvl w:val="2"/>
      </w:pPr>
      <w:r>
        <w:rPr>
          <w:sz w:val="28"/>
          <w:b/>
        </w:rPr>
        <w:t>瑞恒项目管理有限公司</w:t>
      </w:r>
      <w:r>
        <w:rPr>
          <w:sz w:val="28"/>
          <w:b/>
        </w:rPr>
        <w:t>共同编制</w:t>
      </w:r>
    </w:p>
    <w:p>
      <w:pPr>
        <w:pStyle w:val="null3"/>
        <w:jc w:val="center"/>
        <w:outlineLvl w:val="2"/>
      </w:pPr>
      <w:r>
        <w:rPr>
          <w:sz w:val="28"/>
          <w:b/>
        </w:rPr>
        <w:t>2024年09月02日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瑞恒项目管理有限公司</w:t>
      </w:r>
      <w:r>
        <w:rPr/>
        <w:t>（以下简称“代理机构”）受</w:t>
      </w:r>
      <w:r>
        <w:rPr/>
        <w:t>西安市雁塔区住房和城乡建设局</w:t>
      </w:r>
      <w:r>
        <w:rPr/>
        <w:t>委托，拟对</w:t>
      </w:r>
      <w:r>
        <w:rPr/>
        <w:t>秦华天然气南侧路红线内苗木迁移</w:t>
      </w:r>
      <w:r>
        <w:rPr/>
        <w:t>采用竞争性磋商采购方式进行采购，兹邀请供应商参加本项目的竞争性磋商。</w:t>
      </w:r>
    </w:p>
    <w:p>
      <w:pPr>
        <w:pStyle w:val="null3"/>
        <w:outlineLvl w:val="2"/>
      </w:pPr>
      <w:r>
        <w:rPr>
          <w:sz w:val="28"/>
          <w:b/>
        </w:rPr>
        <w:t>一、采购项目编号：</w:t>
      </w:r>
      <w:r>
        <w:rPr>
          <w:sz w:val="28"/>
          <w:b/>
        </w:rPr>
        <w:t>RH采字【20240810】号</w:t>
      </w:r>
    </w:p>
    <w:p>
      <w:pPr>
        <w:pStyle w:val="null3"/>
        <w:outlineLvl w:val="2"/>
      </w:pPr>
      <w:r>
        <w:rPr>
          <w:sz w:val="28"/>
          <w:b/>
        </w:rPr>
        <w:t>二、采购项目名称：</w:t>
      </w:r>
      <w:r>
        <w:rPr>
          <w:sz w:val="28"/>
          <w:b/>
        </w:rPr>
        <w:t>秦华天然气南侧路红线内苗木迁移</w:t>
      </w:r>
    </w:p>
    <w:p>
      <w:pPr>
        <w:pStyle w:val="null3"/>
        <w:outlineLvl w:val="2"/>
      </w:pPr>
      <w:r>
        <w:rPr>
          <w:sz w:val="28"/>
          <w:b/>
        </w:rPr>
        <w:t>三、磋商项目简介</w:t>
      </w:r>
    </w:p>
    <w:p>
      <w:pPr>
        <w:pStyle w:val="null3"/>
        <w:ind w:firstLine="480"/>
      </w:pPr>
      <w:r>
        <w:rPr/>
        <w:t>秦华天然气南侧路红线内国槐、雪松、栾树、法桐、丛生红叶李、梨树、大叶女贞等苗木的迁移，详见工程量清单。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采购包1（秦华天然气南侧路红线内苗木迁移）：属于专门面向中小企业采购。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2、法定代表人授权委托书：法定代表人授权委托书（附法定代表人、被授权人身份证扫描件）或法定代表人身份证明，法定代表人直接参加磋商，须提供法定代表人身份证明及身份证扫描件；</w:t>
      </w:r>
    </w:p>
    <w:p>
      <w:pPr>
        <w:pStyle w:val="null3"/>
      </w:pPr>
      <w:r>
        <w:rPr/>
        <w:t>3、拟派项目负责人资质和专业要求：拟派项目负责人应具有有效的市政公用工程专业二级注册建造师证书及有效的安全生产考核合格证书；</w:t>
      </w:r>
    </w:p>
    <w:p>
      <w:pPr>
        <w:pStyle w:val="null3"/>
      </w:pPr>
      <w:r>
        <w:rPr/>
        <w:t>4、财务要求：①提供2023年财务审计报告（成立时间至开标时间不足一年的可提供成立后任意时段的资产负债表）；②提供基本存款账户信息及开标日期前三个月内其基本存款账户开户银行出具的资信证明；③财政部门认可的政府采购专业担保机构出具的投标担保函；（依法不需要提供财务状况的供应商应提供相关证明）（三种形式的资料提供任何一种即可）</w:t>
      </w:r>
    </w:p>
    <w:p>
      <w:pPr>
        <w:pStyle w:val="null3"/>
      </w:pPr>
      <w:r>
        <w:rPr/>
        <w:t>5、税收缴纳证明：提供响应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w:t>
      </w:r>
    </w:p>
    <w:p>
      <w:pPr>
        <w:pStyle w:val="null3"/>
      </w:pPr>
      <w:r>
        <w:rPr/>
        <w:t>6、社会保障资金缴纳证明：提供响应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w:t>
      </w:r>
    </w:p>
    <w:p>
      <w:pPr>
        <w:pStyle w:val="null3"/>
      </w:pPr>
      <w:r>
        <w:rPr/>
        <w:t>7、设备和专业技术能力：提供具有履行本合同所必需的设备和专业技术能力的说明及承诺；</w:t>
      </w:r>
    </w:p>
    <w:p>
      <w:pPr>
        <w:pStyle w:val="null3"/>
      </w:pPr>
      <w:r>
        <w:rPr/>
        <w:t>8、重大违法记录的书面声明：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磋商响应单位公章）。</w:t>
      </w:r>
    </w:p>
    <w:p>
      <w:pPr>
        <w:pStyle w:val="null3"/>
      </w:pPr>
      <w:r>
        <w:rPr/>
        <w:t>9、声明函：本项目不接受联合体投标；单位负责人为同一人或者存在控股、管理关系的不同单位，不得参加同一项目的投标。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西安市雁塔区住房和城乡建设局</w:t>
      </w:r>
    </w:p>
    <w:p>
      <w:pPr>
        <w:pStyle w:val="null3"/>
      </w:pPr>
      <w:r>
        <w:rPr/>
        <w:t xml:space="preserve"> 地址： </w:t>
      </w:r>
      <w:r>
        <w:rPr/>
        <w:t>西安市翠华路146号</w:t>
      </w:r>
    </w:p>
    <w:p>
      <w:pPr>
        <w:pStyle w:val="null3"/>
      </w:pPr>
      <w:r>
        <w:rPr/>
        <w:t xml:space="preserve"> 邮编： </w:t>
      </w:r>
      <w:r>
        <w:rPr/>
        <w:t>710061</w:t>
      </w:r>
    </w:p>
    <w:p>
      <w:pPr>
        <w:pStyle w:val="null3"/>
      </w:pPr>
      <w:r>
        <w:rPr/>
        <w:t xml:space="preserve"> 联系人： </w:t>
      </w:r>
      <w:r>
        <w:rPr/>
        <w:t>西安市雁塔区住房和城乡建设局经办</w:t>
      </w:r>
    </w:p>
    <w:p>
      <w:pPr>
        <w:pStyle w:val="null3"/>
      </w:pPr>
      <w:r>
        <w:rPr/>
        <w:t xml:space="preserve"> 联系电话： </w:t>
      </w:r>
      <w:r>
        <w:rPr/>
        <w:t>13991176464</w:t>
      </w:r>
    </w:p>
    <w:p>
      <w:pPr>
        <w:pStyle w:val="null3"/>
        <w:outlineLvl w:val="3"/>
      </w:pPr>
      <w:r>
        <w:rPr>
          <w:sz w:val="24"/>
          <w:b/>
        </w:rPr>
        <w:t>代理机构：</w:t>
      </w:r>
      <w:r>
        <w:rPr>
          <w:sz w:val="24"/>
          <w:b/>
        </w:rPr>
        <w:t>瑞恒项目管理有限公司</w:t>
      </w:r>
    </w:p>
    <w:p>
      <w:pPr>
        <w:pStyle w:val="null3"/>
      </w:pPr>
      <w:r>
        <w:rPr/>
        <w:t xml:space="preserve"> 地址： </w:t>
      </w:r>
      <w:r>
        <w:rPr/>
        <w:t>陕西省西安市雁塔区陕西省西安市曲江新区雁翔路3269号旺座曲江D座30层3001号</w:t>
      </w:r>
    </w:p>
    <w:p>
      <w:pPr>
        <w:pStyle w:val="null3"/>
      </w:pPr>
      <w:r>
        <w:rPr/>
        <w:t xml:space="preserve"> 邮编： </w:t>
      </w:r>
      <w:r>
        <w:rPr/>
        <w:t xml:space="preserve"> 710061</w:t>
      </w:r>
    </w:p>
    <w:p>
      <w:pPr>
        <w:pStyle w:val="null3"/>
      </w:pPr>
      <w:r>
        <w:rPr/>
        <w:t xml:space="preserve"> 联系人： </w:t>
      </w:r>
      <w:r>
        <w:rPr/>
        <w:t>李瑜</w:t>
      </w:r>
    </w:p>
    <w:p>
      <w:pPr>
        <w:pStyle w:val="null3"/>
      </w:pPr>
      <w:r>
        <w:rPr/>
        <w:t xml:space="preserve"> 联系电话： </w:t>
      </w:r>
      <w:r>
        <w:rPr/>
        <w:t>15829924313</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西安市雁塔区住房和城乡建设局</w:t>
      </w:r>
      <w:r>
        <w:rPr/>
        <w:t>和</w:t>
      </w:r>
      <w:r>
        <w:rPr/>
        <w:t>瑞恒项目管理有限公司</w:t>
      </w:r>
      <w:r>
        <w:rPr/>
        <w:t>享有。对磋商文件中供应商参加本次政府采购活动应当具备的条件，磋商项目技术、服务、商务及其他要求，评审细则及标准由</w:t>
      </w:r>
      <w:r>
        <w:rPr/>
        <w:t>西安市雁塔区住房和城乡建设局</w:t>
      </w:r>
      <w:r>
        <w:rPr/>
        <w:t>负责解释。除上述磋商文件内容，其他内容由</w:t>
      </w:r>
      <w:r>
        <w:rPr/>
        <w:t>瑞恒项目管理有限公司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西安市雁塔区住房和城乡建设局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瑞恒项目管理有限公司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按照国家现行及相关专业质量验收规范验收，必须达到合格标准。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瑞恒项目管理有限公司</w:t>
      </w:r>
      <w:r>
        <w:rPr/>
        <w:t xml:space="preserve"> 负责答复；供应商对采购过程的询问、质疑由</w:t>
      </w:r>
      <w:r>
        <w:rPr/>
        <w:t>瑞恒项目管理有限公司</w:t>
      </w:r>
      <w:r>
        <w:rPr/>
        <w:t xml:space="preserve"> 负责答复；供应商对采购结果的询问、质疑由 </w:t>
      </w:r>
      <w:r>
        <w:rPr/>
        <w:t>瑞恒项目管理有限公司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联系人：李工</w:t>
      </w:r>
    </w:p>
    <w:p>
      <w:pPr>
        <w:pStyle w:val="null3"/>
      </w:pPr>
      <w:r>
        <w:rPr/>
        <w:t>联系电话：15829924313</w:t>
      </w:r>
    </w:p>
    <w:p>
      <w:pPr>
        <w:pStyle w:val="null3"/>
      </w:pPr>
      <w:r>
        <w:rPr/>
        <w:t>地址：陕西省西安市曲江新区雁翔路3269号旺座曲江D座30层3001号</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750,000.00</w:t>
      </w:r>
    </w:p>
    <w:p>
      <w:pPr>
        <w:pStyle w:val="null3"/>
      </w:pPr>
      <w:r>
        <w:rPr/>
        <w:t>采购包最高限价（元）: 750,000.00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苗木迁移</w:t>
            </w:r>
          </w:p>
        </w:tc>
        <w:tc>
          <w:tcPr>
            <w:tcW w:type="dxa" w:w="1384"/>
          </w:tcPr>
          <w:p>
            <w:pPr>
              <w:pStyle w:val="null3"/>
              <w:jc w:val="right"/>
            </w:pPr>
            <w:r>
              <w:rPr/>
              <w:t>1.00</w:t>
            </w:r>
          </w:p>
        </w:tc>
        <w:tc>
          <w:tcPr>
            <w:tcW w:type="dxa" w:w="1384"/>
          </w:tcPr>
          <w:p>
            <w:pPr>
              <w:pStyle w:val="null3"/>
              <w:jc w:val="right"/>
            </w:pPr>
            <w:r>
              <w:rPr/>
              <w:t>750,000.00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标的名称：苗木迁移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苗木品种：严格按照甲方计划安排选择需移植苗木品种。</w:t>
            </w:r>
            <w:r>
              <w:br/>
            </w:r>
            <w:r>
              <w:rPr>
                <w:rFonts w:ascii="calibri" w:hAnsi="calibri" w:cs="calibri" w:eastAsia="calibri"/>
                <w:sz w:val="21"/>
              </w:rPr>
              <w:t xml:space="preserve"> </w:t>
            </w:r>
            <w:r>
              <w:rPr>
                <w:rFonts w:ascii="宋体" w:hAnsi="宋体" w:cs="宋体" w:eastAsia="宋体"/>
                <w:sz w:val="21"/>
              </w:rPr>
              <w:t>苗木胸径：严格按照甲方计划安排选择需移植苗木胸径。</w:t>
            </w:r>
            <w:r>
              <w:br/>
            </w:r>
            <w:r>
              <w:rPr>
                <w:rFonts w:ascii="calibri" w:hAnsi="calibri" w:cs="calibri" w:eastAsia="calibri"/>
                <w:sz w:val="21"/>
              </w:rPr>
              <w:t xml:space="preserve"> </w:t>
            </w:r>
            <w:r>
              <w:rPr>
                <w:rFonts w:ascii="宋体" w:hAnsi="宋体" w:cs="宋体" w:eastAsia="宋体"/>
                <w:sz w:val="21"/>
              </w:rPr>
              <w:t>病虫害防治：所移植苗木必须健康无病虫害。</w:t>
            </w:r>
            <w:r>
              <w:br/>
            </w:r>
            <w:r>
              <w:rPr>
                <w:rFonts w:ascii="calibri" w:hAnsi="calibri" w:cs="calibri" w:eastAsia="calibri"/>
                <w:sz w:val="21"/>
              </w:rPr>
              <w:t xml:space="preserve"> </w:t>
            </w:r>
            <w:r>
              <w:rPr>
                <w:rFonts w:ascii="宋体" w:hAnsi="宋体" w:cs="宋体" w:eastAsia="宋体"/>
                <w:sz w:val="21"/>
              </w:rPr>
              <w:t>土球包扎：土球应按胸径（高度</w:t>
            </w:r>
            <w:r>
              <w:rPr>
                <w:rFonts w:ascii="calibri" w:hAnsi="calibri" w:cs="calibri" w:eastAsia="calibri"/>
                <w:sz w:val="21"/>
              </w:rPr>
              <w:t>1.2m</w:t>
            </w:r>
            <w:r>
              <w:rPr>
                <w:rFonts w:ascii="宋体" w:hAnsi="宋体" w:cs="宋体" w:eastAsia="宋体"/>
                <w:sz w:val="21"/>
              </w:rPr>
              <w:t>处）的</w:t>
            </w:r>
            <w:r>
              <w:rPr>
                <w:rFonts w:ascii="calibri" w:hAnsi="calibri" w:cs="calibri" w:eastAsia="calibri"/>
                <w:sz w:val="21"/>
              </w:rPr>
              <w:t>6-8</w:t>
            </w:r>
            <w:r>
              <w:rPr>
                <w:rFonts w:ascii="宋体" w:hAnsi="宋体" w:cs="宋体" w:eastAsia="宋体"/>
                <w:sz w:val="21"/>
              </w:rPr>
              <w:t>倍计算，胸径为</w:t>
            </w:r>
            <w:r>
              <w:rPr>
                <w:rFonts w:ascii="calibri" w:hAnsi="calibri" w:cs="calibri" w:eastAsia="calibri"/>
                <w:sz w:val="21"/>
              </w:rPr>
              <w:t>15-18cm</w:t>
            </w:r>
            <w:r>
              <w:rPr>
                <w:rFonts w:ascii="宋体" w:hAnsi="宋体" w:cs="宋体" w:eastAsia="宋体"/>
                <w:sz w:val="21"/>
              </w:rPr>
              <w:t>的，土球大小为</w:t>
            </w:r>
            <w:r>
              <w:rPr>
                <w:rFonts w:ascii="calibri" w:hAnsi="calibri" w:cs="calibri" w:eastAsia="calibri"/>
                <w:sz w:val="21"/>
              </w:rPr>
              <w:t>90-100cm</w:t>
            </w:r>
            <w:r>
              <w:rPr>
                <w:rFonts w:ascii="宋体" w:hAnsi="宋体" w:cs="宋体" w:eastAsia="宋体"/>
                <w:sz w:val="21"/>
              </w:rPr>
              <w:t>；胸径为</w:t>
            </w:r>
            <w:r>
              <w:rPr>
                <w:rFonts w:ascii="calibri" w:hAnsi="calibri" w:cs="calibri" w:eastAsia="calibri"/>
                <w:sz w:val="21"/>
              </w:rPr>
              <w:t>19-22cm</w:t>
            </w:r>
            <w:r>
              <w:rPr>
                <w:rFonts w:ascii="宋体" w:hAnsi="宋体" w:cs="宋体" w:eastAsia="宋体"/>
                <w:sz w:val="21"/>
              </w:rPr>
              <w:t>的，土球大小为</w:t>
            </w:r>
            <w:r>
              <w:rPr>
                <w:rFonts w:ascii="calibri" w:hAnsi="calibri" w:cs="calibri" w:eastAsia="calibri"/>
                <w:sz w:val="21"/>
              </w:rPr>
              <w:t>110-120cm</w:t>
            </w:r>
            <w:r>
              <w:rPr>
                <w:rFonts w:ascii="宋体" w:hAnsi="宋体" w:cs="宋体" w:eastAsia="宋体"/>
                <w:sz w:val="21"/>
              </w:rPr>
              <w:t>；胸径为</w:t>
            </w:r>
            <w:r>
              <w:rPr>
                <w:rFonts w:ascii="calibri" w:hAnsi="calibri" w:cs="calibri" w:eastAsia="calibri"/>
                <w:sz w:val="21"/>
              </w:rPr>
              <w:t>23-25cm</w:t>
            </w:r>
            <w:r>
              <w:rPr>
                <w:rFonts w:ascii="宋体" w:hAnsi="宋体" w:cs="宋体" w:eastAsia="宋体"/>
                <w:sz w:val="21"/>
              </w:rPr>
              <w:t>的，土球大小为</w:t>
            </w:r>
            <w:r>
              <w:rPr>
                <w:rFonts w:ascii="calibri" w:hAnsi="calibri" w:cs="calibri" w:eastAsia="calibri"/>
                <w:sz w:val="21"/>
              </w:rPr>
              <w:t>130-140cm</w:t>
            </w:r>
            <w:r>
              <w:rPr>
                <w:rFonts w:ascii="宋体" w:hAnsi="宋体" w:cs="宋体" w:eastAsia="宋体"/>
                <w:sz w:val="21"/>
              </w:rPr>
              <w:t>；</w:t>
            </w:r>
            <w:r>
              <w:rPr>
                <w:rFonts w:ascii="calibri" w:hAnsi="calibri" w:cs="calibri" w:eastAsia="calibri"/>
                <w:sz w:val="21"/>
              </w:rPr>
              <w:t xml:space="preserve">25cm </w:t>
            </w:r>
            <w:r>
              <w:rPr>
                <w:rFonts w:ascii="宋体" w:hAnsi="宋体" w:cs="宋体" w:eastAsia="宋体"/>
                <w:sz w:val="21"/>
              </w:rPr>
              <w:t>以上的，土球大小为</w:t>
            </w:r>
            <w:r>
              <w:rPr>
                <w:rFonts w:ascii="calibri" w:hAnsi="calibri" w:cs="calibri" w:eastAsia="calibri"/>
                <w:sz w:val="21"/>
              </w:rPr>
              <w:t>150-160cm</w:t>
            </w:r>
            <w:r>
              <w:rPr>
                <w:rFonts w:ascii="宋体" w:hAnsi="宋体" w:cs="宋体" w:eastAsia="宋体"/>
                <w:sz w:val="21"/>
              </w:rPr>
              <w:t>。起苗断根时，根的断面要光滑整齐，防止把根系断裂，凿烂。土球包扎选择合适材料，做到土球根部不松不散。</w:t>
            </w:r>
            <w:r>
              <w:br/>
            </w:r>
            <w:r>
              <w:rPr>
                <w:rFonts w:ascii="calibri" w:hAnsi="calibri" w:cs="calibri" w:eastAsia="calibri"/>
                <w:sz w:val="21"/>
              </w:rPr>
              <w:t xml:space="preserve"> </w:t>
            </w:r>
            <w:r>
              <w:rPr>
                <w:rFonts w:ascii="宋体" w:hAnsi="宋体" w:cs="宋体" w:eastAsia="宋体"/>
                <w:sz w:val="21"/>
              </w:rPr>
              <w:t>装卸车：装运时应用吊车将苗木吊上车，按装苗木原则进行，不得随意装车，并绑定牢固，以免破坏土球、树枝和运输过程中损坏树干；提运苗木时，不得损伤树皮。</w:t>
            </w:r>
            <w:r>
              <w:br/>
            </w:r>
            <w:r>
              <w:rPr>
                <w:rFonts w:ascii="calibri" w:hAnsi="calibri" w:cs="calibri" w:eastAsia="calibri"/>
                <w:sz w:val="21"/>
              </w:rPr>
              <w:t xml:space="preserve"> </w:t>
            </w:r>
            <w:r>
              <w:rPr>
                <w:rFonts w:ascii="宋体" w:hAnsi="宋体" w:cs="宋体" w:eastAsia="宋体"/>
                <w:sz w:val="21"/>
              </w:rPr>
              <w:t>苗木修剪：严格按照苗木生长规律和甲方绿化需求进行修剪。修剪程度应利于苗木生长。利于苗木整形，无乱修剪或不按要求修剪。</w:t>
            </w:r>
            <w:r>
              <w:br/>
            </w:r>
            <w:r>
              <w:rPr>
                <w:rFonts w:ascii="calibri" w:hAnsi="calibri" w:cs="calibri" w:eastAsia="calibri"/>
                <w:sz w:val="21"/>
              </w:rPr>
              <w:t xml:space="preserve"> </w:t>
            </w:r>
            <w:r>
              <w:rPr>
                <w:rFonts w:ascii="宋体" w:hAnsi="宋体" w:cs="宋体" w:eastAsia="宋体"/>
                <w:sz w:val="21"/>
              </w:rPr>
              <w:t>栽植标准：苗木运至地点后应及时栽植，不得长时间暴露，必要时可保持土球湿润。种植穴的直径大小应比土球直径大约</w:t>
            </w:r>
            <w:r>
              <w:rPr>
                <w:rFonts w:ascii="calibri" w:hAnsi="calibri" w:cs="calibri" w:eastAsia="calibri"/>
                <w:sz w:val="21"/>
              </w:rPr>
              <w:t>40cm</w:t>
            </w:r>
            <w:r>
              <w:rPr>
                <w:rFonts w:ascii="宋体" w:hAnsi="宋体" w:cs="宋体" w:eastAsia="宋体"/>
                <w:sz w:val="21"/>
              </w:rPr>
              <w:t>，深度比土球深约</w:t>
            </w:r>
            <w:r>
              <w:rPr>
                <w:rFonts w:ascii="calibri" w:hAnsi="calibri" w:cs="calibri" w:eastAsia="calibri"/>
                <w:sz w:val="21"/>
              </w:rPr>
              <w:t>5cm</w:t>
            </w:r>
            <w:r>
              <w:rPr>
                <w:rFonts w:ascii="宋体" w:hAnsi="宋体" w:cs="宋体" w:eastAsia="宋体"/>
                <w:sz w:val="21"/>
              </w:rPr>
              <w:t>，树穴上下大小基本一致，上口与下口基本垂直，翻松底土，按种植要求回填种植土和基肥。种植深度符合苗木生长习性要求，根茎部与沉降后的地表面等高或略高。控制朝向，将树冠饱满、密实面朝向主观赏面。对透水系数小的栽植区域，应用</w:t>
            </w:r>
            <w:r>
              <w:rPr>
                <w:rFonts w:ascii="calibri" w:hAnsi="calibri" w:cs="calibri" w:eastAsia="calibri"/>
                <w:sz w:val="21"/>
              </w:rPr>
              <w:t>PVC</w:t>
            </w:r>
            <w:r>
              <w:rPr>
                <w:rFonts w:ascii="宋体" w:hAnsi="宋体" w:cs="宋体" w:eastAsia="宋体"/>
                <w:sz w:val="21"/>
              </w:rPr>
              <w:t>管进行透气排水。清楚非降解包装物，分层均匀填土，分层捣实，水圈做法合理，浇水及时、浇透，不跑水、不积水。支撑保护时，应用三角撑或井字撑方式进行，支撑木大小、高度统一，支撑埋入土中约</w:t>
            </w:r>
            <w:r>
              <w:rPr>
                <w:rFonts w:ascii="calibri" w:hAnsi="calibri" w:cs="calibri" w:eastAsia="calibri"/>
                <w:sz w:val="21"/>
              </w:rPr>
              <w:t>15-20cm</w:t>
            </w:r>
            <w:r>
              <w:rPr>
                <w:rFonts w:ascii="宋体" w:hAnsi="宋体" w:cs="宋体" w:eastAsia="宋体"/>
                <w:sz w:val="21"/>
              </w:rPr>
              <w:t>。</w:t>
            </w:r>
            <w:r>
              <w:br/>
            </w:r>
            <w:r>
              <w:rPr>
                <w:rFonts w:ascii="calibri" w:hAnsi="calibri" w:cs="calibri" w:eastAsia="calibri"/>
                <w:sz w:val="21"/>
              </w:rPr>
              <w:t xml:space="preserve"> </w:t>
            </w:r>
            <w:r>
              <w:rPr>
                <w:rFonts w:ascii="宋体" w:hAnsi="宋体" w:cs="宋体" w:eastAsia="宋体"/>
                <w:sz w:val="21"/>
              </w:rPr>
              <w:t>养护标准：严格按照苗木养护规范进行，确保移植苗木成话。养护时间从苗木栽植工作到位后开始。</w:t>
            </w:r>
            <w:r>
              <w:br/>
            </w:r>
            <w:r>
              <w:rPr>
                <w:rFonts w:ascii="calibri" w:hAnsi="calibri" w:cs="calibri" w:eastAsia="calibri"/>
                <w:sz w:val="21"/>
              </w:rPr>
              <w:t xml:space="preserve"> </w:t>
            </w:r>
            <w:r>
              <w:rPr>
                <w:rFonts w:ascii="宋体" w:hAnsi="宋体" w:cs="宋体" w:eastAsia="宋体"/>
                <w:sz w:val="21"/>
              </w:rPr>
              <w:t>现场管理：遵守甲方管理规定，不在工作区域外活动，遵守安全操作规程，无安全事故发生，保持现场良好作业秩序，无乱扔垃圾现象。</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按照国家现行及相关专业质量验收规范验收，必须达到合格标准。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会计制度的证明材料：（三种形式的资料提供任何一种即可）①提供2023年财务审计报告（成立时间至开标时间不足一年的可提供成立后任意时段的资产负债表）；②提供基本存款账户信息及开标日期前三个月内其基本存款账户开户银行出具的资信证明；③财政部门认可的政府采购专业担保机构出具的投标担保函；（依法不需要提供财务状况的供应商应提供相关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法定代表人授权委托书（附法定代表人、被授权人身份证扫描件）或法定代表人身份证明，法定代表人直接参加磋商，须提供法定代表人身份证明及身份证扫描件；</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拟派项目负责人资质和专业要求</w:t>
            </w:r>
          </w:p>
        </w:tc>
        <w:tc>
          <w:tcPr>
            <w:tcW w:type="dxa" w:w="3322"/>
          </w:tcPr>
          <w:p>
            <w:pPr>
              <w:pStyle w:val="null3"/>
            </w:pPr>
            <w:r>
              <w:rPr/>
              <w:t>拟派项目负责人应具有有效的市政公用工程专业二级注册建造师证书及有效的安全生产考核合格证书；</w:t>
            </w:r>
          </w:p>
        </w:tc>
        <w:tc>
          <w:tcPr>
            <w:tcW w:type="dxa" w:w="1661"/>
          </w:tcPr>
          <w:p>
            <w:pPr>
              <w:pStyle w:val="null3"/>
            </w:pPr>
            <w:r>
              <w:rPr/>
              <w:t>项目管理机构组成表 供应商应提交的相关资格证明材料 主要人员简历表</w:t>
            </w:r>
          </w:p>
        </w:tc>
      </w:tr>
      <w:tr>
        <w:tc>
          <w:tcPr>
            <w:tcW w:type="dxa" w:w="831"/>
          </w:tcPr>
          <w:p>
            <w:pPr>
              <w:pStyle w:val="null3"/>
            </w:pPr>
            <w:r>
              <w:rPr/>
              <w:t>4</w:t>
            </w:r>
          </w:p>
        </w:tc>
        <w:tc>
          <w:tcPr>
            <w:tcW w:type="dxa" w:w="2492"/>
          </w:tcPr>
          <w:p>
            <w:pPr>
              <w:pStyle w:val="null3"/>
            </w:pPr>
            <w:r>
              <w:rPr/>
              <w:t>财务要求</w:t>
            </w:r>
          </w:p>
        </w:tc>
        <w:tc>
          <w:tcPr>
            <w:tcW w:type="dxa" w:w="3322"/>
          </w:tcPr>
          <w:p>
            <w:pPr>
              <w:pStyle w:val="null3"/>
            </w:pPr>
            <w:r>
              <w:rPr/>
              <w:t>①提供2023年财务审计报告（成立时间至开标时间不足一年的可提供成立后任意时段的资产负债表）；②提供基本存款账户信息及开标日期前三个月内其基本存款账户开户银行出具的资信证明；③财政部门认可的政府采购专业担保机构出具的投标担保函；（依法不需要提供财务状况的供应商应提供相关证明）（三种形式的资料提供任何一种即可）</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响应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社会保障资金缴纳证明</w:t>
            </w:r>
          </w:p>
        </w:tc>
        <w:tc>
          <w:tcPr>
            <w:tcW w:type="dxa" w:w="3322"/>
          </w:tcPr>
          <w:p>
            <w:pPr>
              <w:pStyle w:val="null3"/>
            </w:pPr>
            <w:r>
              <w:rPr/>
              <w:t>提供响应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设备和专业技术能力</w:t>
            </w:r>
          </w:p>
        </w:tc>
        <w:tc>
          <w:tcPr>
            <w:tcW w:type="dxa" w:w="3322"/>
          </w:tcPr>
          <w:p>
            <w:pPr>
              <w:pStyle w:val="null3"/>
            </w:pPr>
            <w:r>
              <w:rPr/>
              <w:t>提供具有履行本合同所必需的设备和专业技术能力的说明及承诺；</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重大违法记录的书面声明</w:t>
            </w:r>
          </w:p>
        </w:tc>
        <w:tc>
          <w:tcPr>
            <w:tcW w:type="dxa" w:w="3322"/>
          </w:tcPr>
          <w:p>
            <w:pPr>
              <w:pStyle w:val="null3"/>
            </w:pPr>
            <w:r>
              <w:rPr/>
              <w:t>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磋商响应单位公章）。</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声明函</w:t>
            </w:r>
          </w:p>
        </w:tc>
        <w:tc>
          <w:tcPr>
            <w:tcW w:type="dxa" w:w="3322"/>
          </w:tcPr>
          <w:p>
            <w:pPr>
              <w:pStyle w:val="null3"/>
            </w:pPr>
            <w:r>
              <w:rPr/>
              <w:t>本项目不接受联合体投标；单位负责人为同一人或者存在控股、管理关系的不同单位，不得参加同一项目的投标。</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与项目的一致性</w:t>
            </w:r>
          </w:p>
        </w:tc>
        <w:tc>
          <w:tcPr>
            <w:tcW w:type="dxa" w:w="3322"/>
          </w:tcPr>
          <w:p>
            <w:pPr>
              <w:pStyle w:val="null3"/>
            </w:pPr>
            <w:r>
              <w:rPr/>
              <w:t>至少以下三处的项目名称、项目编号、合同包（未分合同包的除外）与本项目完全一致： （1）响应文件封面 （2）响应函 （3）法定代表人（负责人）委托授权书\身份证明</w:t>
            </w:r>
          </w:p>
        </w:tc>
        <w:tc>
          <w:tcPr>
            <w:tcW w:type="dxa" w:w="1661"/>
          </w:tcPr>
          <w:p>
            <w:pPr>
              <w:pStyle w:val="null3"/>
            </w:pPr>
            <w:r>
              <w:rPr/>
              <w:t>响应文件封面 报价函 响应函</w:t>
            </w:r>
          </w:p>
        </w:tc>
      </w:tr>
      <w:tr>
        <w:tc>
          <w:tcPr>
            <w:tcW w:type="dxa" w:w="831"/>
          </w:tcPr>
          <w:p>
            <w:pPr>
              <w:pStyle w:val="null3"/>
            </w:pPr>
            <w:r>
              <w:rPr/>
              <w:t>3</w:t>
            </w:r>
          </w:p>
        </w:tc>
        <w:tc>
          <w:tcPr>
            <w:tcW w:type="dxa" w:w="2492"/>
          </w:tcPr>
          <w:p>
            <w:pPr>
              <w:pStyle w:val="null3"/>
            </w:pPr>
            <w:r>
              <w:rPr/>
              <w:t>响应文件组成</w:t>
            </w:r>
          </w:p>
        </w:tc>
        <w:tc>
          <w:tcPr>
            <w:tcW w:type="dxa" w:w="3322"/>
          </w:tcPr>
          <w:p>
            <w:pPr>
              <w:pStyle w:val="null3"/>
            </w:pPr>
            <w:r>
              <w:rPr/>
              <w:t>响应文件完整且编排有序，响应内容基本完整，无重大错漏；</w:t>
            </w:r>
          </w:p>
        </w:tc>
        <w:tc>
          <w:tcPr>
            <w:tcW w:type="dxa" w:w="1661"/>
          </w:tcPr>
          <w:p>
            <w:pPr>
              <w:pStyle w:val="null3"/>
            </w:pPr>
            <w:r>
              <w:rPr/>
              <w:t>响应文件封面 已标价工程量清单 项目管理机构组成表 报价函 技术服务合同条款及其他商务要求应答表 供应商应提交的相关资格证明材料 标的清单 响应函 主要人员简历表 技术服务方案</w:t>
            </w:r>
          </w:p>
        </w:tc>
      </w:tr>
      <w:tr>
        <w:tc>
          <w:tcPr>
            <w:tcW w:type="dxa" w:w="831"/>
          </w:tcPr>
          <w:p>
            <w:pPr>
              <w:pStyle w:val="null3"/>
            </w:pPr>
            <w:r>
              <w:rPr/>
              <w:t>4</w:t>
            </w:r>
          </w:p>
        </w:tc>
        <w:tc>
          <w:tcPr>
            <w:tcW w:type="dxa" w:w="2492"/>
          </w:tcPr>
          <w:p>
            <w:pPr>
              <w:pStyle w:val="null3"/>
            </w:pPr>
            <w:r>
              <w:rPr/>
              <w:t>磋商报价</w:t>
            </w:r>
          </w:p>
        </w:tc>
        <w:tc>
          <w:tcPr>
            <w:tcW w:type="dxa" w:w="3322"/>
          </w:tcPr>
          <w:p>
            <w:pPr>
              <w:pStyle w:val="null3"/>
            </w:pPr>
            <w:r>
              <w:rPr/>
              <w:t>同时满足以下条款： （1）货币单位符合采购文件要求（2）报价符合唯一性要求 （3）未超出采购预算或最高限价</w:t>
            </w:r>
          </w:p>
        </w:tc>
        <w:tc>
          <w:tcPr>
            <w:tcW w:type="dxa" w:w="1661"/>
          </w:tcPr>
          <w:p>
            <w:pPr>
              <w:pStyle w:val="null3"/>
            </w:pPr>
            <w:r>
              <w:rPr/>
              <w:t>已标价工程量清单 报价函</w:t>
            </w:r>
          </w:p>
        </w:tc>
      </w:tr>
      <w:tr>
        <w:tc>
          <w:tcPr>
            <w:tcW w:type="dxa" w:w="831"/>
          </w:tcPr>
          <w:p>
            <w:pPr>
              <w:pStyle w:val="null3"/>
            </w:pPr>
            <w:r>
              <w:rPr/>
              <w:t>5</w:t>
            </w:r>
          </w:p>
        </w:tc>
        <w:tc>
          <w:tcPr>
            <w:tcW w:type="dxa" w:w="2492"/>
          </w:tcPr>
          <w:p>
            <w:pPr>
              <w:pStyle w:val="null3"/>
            </w:pPr>
            <w:r>
              <w:rPr/>
              <w:t>磋商有效期</w:t>
            </w:r>
          </w:p>
        </w:tc>
        <w:tc>
          <w:tcPr>
            <w:tcW w:type="dxa" w:w="3322"/>
          </w:tcPr>
          <w:p>
            <w:pPr>
              <w:pStyle w:val="null3"/>
            </w:pPr>
            <w:r>
              <w:rPr/>
              <w:t>磋商有效期满足竞争性磋商文件的要求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合同条款</w:t>
            </w:r>
          </w:p>
        </w:tc>
        <w:tc>
          <w:tcPr>
            <w:tcW w:type="dxa" w:w="3322"/>
          </w:tcPr>
          <w:p>
            <w:pPr>
              <w:pStyle w:val="null3"/>
            </w:pPr>
            <w:r>
              <w:rPr/>
              <w:t>完全理解并响应采购文件合同条款的要求，且未含有采购人不能接受的附加条件的。</w:t>
            </w:r>
          </w:p>
        </w:tc>
        <w:tc>
          <w:tcPr>
            <w:tcW w:type="dxa" w:w="1661"/>
          </w:tcPr>
          <w:p>
            <w:pPr>
              <w:pStyle w:val="null3"/>
            </w:pPr>
            <w:r>
              <w:rPr/>
              <w:t>响应文件封面 技术服务合同条款及其他商务要求应答表</w:t>
            </w:r>
          </w:p>
        </w:tc>
      </w:tr>
      <w:tr>
        <w:tc>
          <w:tcPr>
            <w:tcW w:type="dxa" w:w="831"/>
          </w:tcPr>
          <w:p>
            <w:pPr>
              <w:pStyle w:val="null3"/>
            </w:pPr>
            <w:r>
              <w:rPr/>
              <w:t>7</w:t>
            </w:r>
          </w:p>
        </w:tc>
        <w:tc>
          <w:tcPr>
            <w:tcW w:type="dxa" w:w="2492"/>
          </w:tcPr>
          <w:p>
            <w:pPr>
              <w:pStyle w:val="null3"/>
            </w:pPr>
            <w:r>
              <w:rPr/>
              <w:t>符合法律、法规和竞争性磋商中规定的其他实质性要求</w:t>
            </w:r>
          </w:p>
        </w:tc>
        <w:tc>
          <w:tcPr>
            <w:tcW w:type="dxa" w:w="3322"/>
          </w:tcPr>
          <w:p>
            <w:pPr>
              <w:pStyle w:val="null3"/>
            </w:pPr>
            <w:r>
              <w:rPr/>
              <w:t>是否符合法律、法规和竞争性磋商文件中规定的其他实质性要求</w:t>
            </w:r>
          </w:p>
        </w:tc>
        <w:tc>
          <w:tcPr>
            <w:tcW w:type="dxa" w:w="1661"/>
          </w:tcPr>
          <w:p>
            <w:pPr>
              <w:pStyle w:val="null3"/>
            </w:pPr>
            <w:r>
              <w:rPr/>
              <w:t>响应文件封面 中小企业声明函 供应商应提交的相关资格证明材料</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苗木迁移方案</w:t>
            </w:r>
          </w:p>
        </w:tc>
        <w:tc>
          <w:tcPr>
            <w:tcW w:type="dxa" w:w="2492"/>
          </w:tcPr>
          <w:p>
            <w:pPr>
              <w:pStyle w:val="null3"/>
            </w:pPr>
            <w:r>
              <w:rPr/>
              <w:t>供应商针对本项目制定苗木迁移方案（项目整体迁移规划、 项目重点难点、苗木迁移实施的流程、管理规章制度方案）： 迁移方案合理、条理清晰、计划安排合理有效的计 15-10 分；迁移方案较合理、有条理性、基本可行的计 10-5 分； 迁移方案合理性不足，条理不清晰的计 5-0 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其他证明材料</w:t>
            </w:r>
          </w:p>
          <w:p>
            <w:pPr>
              <w:pStyle w:val="null3"/>
            </w:pPr>
            <w:r>
              <w:rPr/>
              <w:t>强制优先采购产品承诺函</w:t>
            </w:r>
          </w:p>
          <w:p>
            <w:pPr>
              <w:pStyle w:val="null3"/>
            </w:pPr>
            <w:r>
              <w:rPr/>
              <w:t>技术服务方案</w:t>
            </w:r>
          </w:p>
        </w:tc>
      </w:tr>
      <w:tr>
        <w:tc>
          <w:tcPr>
            <w:tcW w:type="dxa" w:w="831"/>
            <w:vMerge/>
          </w:tcPr>
          <w:p/>
        </w:tc>
        <w:tc>
          <w:tcPr>
            <w:tcW w:type="dxa" w:w="1661"/>
          </w:tcPr>
          <w:p>
            <w:pPr>
              <w:pStyle w:val="null3"/>
            </w:pPr>
            <w:r>
              <w:rPr/>
              <w:t>质量保证措施</w:t>
            </w:r>
          </w:p>
        </w:tc>
        <w:tc>
          <w:tcPr>
            <w:tcW w:type="dxa" w:w="2492"/>
          </w:tcPr>
          <w:p>
            <w:pPr>
              <w:pStyle w:val="null3"/>
            </w:pPr>
            <w:r>
              <w:rPr/>
              <w:t>为达到完成一个养护周期后，苗木保证移植成活率达到 95%，制定详细可行的质量保障措施。质量保障措施内容完整，具有科学、完善、合理的苗木成活 率保障方案的计 15-10 分 ；质量保障措施内容完整，具有基本完善、合理的苗木成活率 保障方案的计 10-5 分；质量保障措施内容欠缺，无法保证苗木成活率的计 5-0 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技术服务方案</w:t>
            </w:r>
          </w:p>
          <w:p>
            <w:pPr>
              <w:pStyle w:val="null3"/>
            </w:pPr>
            <w:r>
              <w:rPr/>
              <w:t>其他证明材料</w:t>
            </w:r>
          </w:p>
          <w:p>
            <w:pPr>
              <w:pStyle w:val="null3"/>
            </w:pPr>
            <w:r>
              <w:rPr/>
              <w:t>强制优先采购产品承诺函</w:t>
            </w:r>
          </w:p>
        </w:tc>
      </w:tr>
      <w:tr>
        <w:tc>
          <w:tcPr>
            <w:tcW w:type="dxa" w:w="831"/>
            <w:vMerge/>
          </w:tcPr>
          <w:p/>
        </w:tc>
        <w:tc>
          <w:tcPr>
            <w:tcW w:type="dxa" w:w="1661"/>
          </w:tcPr>
          <w:p>
            <w:pPr>
              <w:pStyle w:val="null3"/>
            </w:pPr>
            <w:r>
              <w:rPr/>
              <w:t>施工进度计划和各阶段进度的保证措施</w:t>
            </w:r>
          </w:p>
        </w:tc>
        <w:tc>
          <w:tcPr>
            <w:tcW w:type="dxa" w:w="2492"/>
          </w:tcPr>
          <w:p>
            <w:pPr>
              <w:pStyle w:val="null3"/>
            </w:pPr>
            <w:r>
              <w:rPr/>
              <w:t>施工进度计划和各阶段进度的保证措施合理可行的计10-7 分；施工进度计划和各阶段进度的保证措施较合理基本可行的计 7-4 分；施工进度计划和各阶段进度的保证措施不合理，可行性不强的计4-0 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强制优先采购产品承诺函</w:t>
            </w:r>
          </w:p>
          <w:p>
            <w:pPr>
              <w:pStyle w:val="null3"/>
            </w:pPr>
            <w:r>
              <w:rPr/>
              <w:t>技术服务方案</w:t>
            </w:r>
          </w:p>
          <w:p>
            <w:pPr>
              <w:pStyle w:val="null3"/>
            </w:pPr>
            <w:r>
              <w:rPr/>
              <w:t>其他证明材料</w:t>
            </w:r>
          </w:p>
        </w:tc>
      </w:tr>
      <w:tr>
        <w:tc>
          <w:tcPr>
            <w:tcW w:type="dxa" w:w="831"/>
            <w:vMerge/>
          </w:tcPr>
          <w:p/>
        </w:tc>
        <w:tc>
          <w:tcPr>
            <w:tcW w:type="dxa" w:w="1661"/>
          </w:tcPr>
          <w:p>
            <w:pPr>
              <w:pStyle w:val="null3"/>
            </w:pPr>
            <w:r>
              <w:rPr/>
              <w:t>项目组织管理及人员安排</w:t>
            </w:r>
          </w:p>
        </w:tc>
        <w:tc>
          <w:tcPr>
            <w:tcW w:type="dxa" w:w="2492"/>
          </w:tcPr>
          <w:p>
            <w:pPr>
              <w:pStyle w:val="null3"/>
            </w:pPr>
            <w:r>
              <w:rPr/>
              <w:t>组织结构健全，有完善的岗位制度和岗位职责，人员安排合理、分工明确，可操作性强的计 10-7 分；供应商组织结构较为健全，有较为完善的岗位制度和岗位职 责，人员安排及分工较为合理，具有一定的操作性的计 7-4； 供应商组织结构不健全，岗位制度和岗位职责安排简单，操 作性较差，或无方案的计 4-0 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项目管理机构组成表</w:t>
            </w:r>
          </w:p>
          <w:p>
            <w:pPr>
              <w:pStyle w:val="null3"/>
            </w:pPr>
            <w:r>
              <w:rPr/>
              <w:t>主要人员简历表</w:t>
            </w:r>
          </w:p>
          <w:p>
            <w:pPr>
              <w:pStyle w:val="null3"/>
            </w:pPr>
            <w:r>
              <w:rPr/>
              <w:t>其他证明材料</w:t>
            </w:r>
          </w:p>
        </w:tc>
      </w:tr>
      <w:tr>
        <w:tc>
          <w:tcPr>
            <w:tcW w:type="dxa" w:w="831"/>
            <w:vMerge/>
          </w:tcPr>
          <w:p/>
        </w:tc>
        <w:tc>
          <w:tcPr>
            <w:tcW w:type="dxa" w:w="1661"/>
          </w:tcPr>
          <w:p>
            <w:pPr>
              <w:pStyle w:val="null3"/>
            </w:pPr>
            <w:r>
              <w:rPr/>
              <w:t>业绩证明</w:t>
            </w:r>
          </w:p>
        </w:tc>
        <w:tc>
          <w:tcPr>
            <w:tcW w:type="dxa" w:w="2492"/>
          </w:tcPr>
          <w:p>
            <w:pPr>
              <w:pStyle w:val="null3"/>
            </w:pPr>
            <w:r>
              <w:rPr/>
              <w:t>供应商可提供2021年1月1日至今（以合同签订时间为准）类似项目业绩，每有 1 项得 2.5分，最多得10分。 评审依据：提供加盖公章的合同扫描件，未提供有效业绩证明材料的不能得分。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p>
            <w:pPr>
              <w:pStyle w:val="null3"/>
            </w:pPr>
            <w:r>
              <w:rPr/>
              <w:t>其他证明材料</w:t>
            </w:r>
          </w:p>
        </w:tc>
      </w:tr>
      <w:tr>
        <w:tc>
          <w:tcPr>
            <w:tcW w:type="dxa" w:w="831"/>
            <w:vMerge/>
          </w:tcPr>
          <w:p/>
        </w:tc>
        <w:tc>
          <w:tcPr>
            <w:tcW w:type="dxa" w:w="1661"/>
          </w:tcPr>
          <w:p>
            <w:pPr>
              <w:pStyle w:val="null3"/>
            </w:pPr>
            <w:r>
              <w:rPr/>
              <w:t>拟投入机械设备</w:t>
            </w:r>
          </w:p>
        </w:tc>
        <w:tc>
          <w:tcPr>
            <w:tcW w:type="dxa" w:w="2492"/>
          </w:tcPr>
          <w:p>
            <w:pPr>
              <w:pStyle w:val="null3"/>
            </w:pPr>
            <w:r>
              <w:rPr/>
              <w:t>拟投入的机械设备较齐全计 10-7 分；拟投入的机械设备一般 计 7-4 分，拟投入的机械设备较差计 4-0 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技术服务方案</w:t>
            </w:r>
          </w:p>
          <w:p>
            <w:pPr>
              <w:pStyle w:val="null3"/>
            </w:pPr>
            <w:r>
              <w:rPr/>
              <w:t>其他证明材料</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 法》（财库[2014]214 号）的有关规定：价格分统一采用低 价优先法计算，即满足磋商文件要求且磋商价格最低的磋商 报价为评标基准价，其价格分为满分。其他供应商的价格分统一按照下列公式计算： 磋商报价得分=(磋商基准价／磋商报价)×价格权值（即 30%） × 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详见附件：技术服务方案</w:t>
      </w:r>
    </w:p>
    <w:p>
      <w:pPr>
        <w:pStyle w:val="null3"/>
        <w:ind w:firstLine="960"/>
      </w:pPr>
      <w:r>
        <w:rPr/>
        <w:t>详见附件：其他证明材料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详见附件：拟签订合同文本--苗木迁移.docx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