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西安市雁塔区东八里村城改项目成本核算服务项目</w:t>
      </w:r>
    </w:p>
    <w:p>
      <w:pPr>
        <w:pStyle w:val="null3"/>
        <w:jc w:val="center"/>
        <w:outlineLvl w:val="2"/>
      </w:pPr>
      <w:r>
        <w:rPr>
          <w:sz w:val="28"/>
          <w:b/>
        </w:rPr>
        <w:t>采购项目编号：</w:t>
      </w:r>
      <w:r>
        <w:rPr>
          <w:sz w:val="28"/>
          <w:b/>
        </w:rPr>
        <w:t>RC2024-ZBLY-37-09</w:t>
      </w:r>
      <w:r>
        <w:br/>
      </w:r>
      <w:r>
        <w:br/>
      </w:r>
      <w:r>
        <w:br/>
      </w:r>
    </w:p>
    <w:p>
      <w:pPr>
        <w:pStyle w:val="null3"/>
        <w:jc w:val="center"/>
        <w:outlineLvl w:val="2"/>
      </w:pPr>
      <w:r>
        <w:rPr>
          <w:sz w:val="28"/>
          <w:b/>
        </w:rPr>
        <w:t>西安市雁塔区城中村和棚户区改造事务中心</w:t>
      </w:r>
    </w:p>
    <w:p>
      <w:pPr>
        <w:pStyle w:val="null3"/>
        <w:jc w:val="center"/>
        <w:outlineLvl w:val="2"/>
      </w:pPr>
      <w:r>
        <w:rPr>
          <w:sz w:val="28"/>
          <w:b/>
        </w:rPr>
        <w:t>锐驰项目管理有限公司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锐驰项目管理有限公司</w:t>
      </w:r>
      <w:r>
        <w:rPr/>
        <w:t>（以下简称“代理机构”）受</w:t>
      </w:r>
      <w:r>
        <w:rPr/>
        <w:t>西安市雁塔区城中村和棚户区改造事务中心</w:t>
      </w:r>
      <w:r>
        <w:rPr/>
        <w:t>委托，拟对</w:t>
      </w:r>
      <w:r>
        <w:rPr/>
        <w:t>西安市雁塔区东八里村城改项目成本核算服务项目</w:t>
      </w:r>
      <w:r>
        <w:rPr/>
        <w:t>采用竞争性磋商采购方式进行采购，兹邀请供应商参加本项目的竞争性磋商。</w:t>
      </w:r>
    </w:p>
    <w:p>
      <w:pPr>
        <w:pStyle w:val="null3"/>
        <w:outlineLvl w:val="2"/>
      </w:pPr>
      <w:r>
        <w:rPr>
          <w:sz w:val="28"/>
          <w:b/>
        </w:rPr>
        <w:t>一、项目编号：</w:t>
      </w:r>
      <w:r>
        <w:rPr>
          <w:sz w:val="28"/>
          <w:b/>
        </w:rPr>
        <w:t>RC2024-ZBLY-37-09</w:t>
      </w:r>
    </w:p>
    <w:p>
      <w:pPr>
        <w:pStyle w:val="null3"/>
        <w:outlineLvl w:val="2"/>
      </w:pPr>
      <w:r>
        <w:rPr>
          <w:sz w:val="28"/>
          <w:b/>
        </w:rPr>
        <w:t>二、项目名称：</w:t>
      </w:r>
      <w:r>
        <w:rPr>
          <w:sz w:val="28"/>
          <w:b/>
        </w:rPr>
        <w:t>西安市雁塔区东八里村城改项目成本核算服务项目</w:t>
      </w:r>
    </w:p>
    <w:p>
      <w:pPr>
        <w:pStyle w:val="null3"/>
        <w:outlineLvl w:val="2"/>
      </w:pPr>
      <w:r>
        <w:rPr>
          <w:sz w:val="28"/>
          <w:b/>
        </w:rPr>
        <w:t>三、磋商项目简介</w:t>
      </w:r>
    </w:p>
    <w:p>
      <w:pPr>
        <w:pStyle w:val="null3"/>
        <w:ind w:firstLine="480"/>
      </w:pPr>
      <w:r>
        <w:rPr/>
        <w:t>东八里地区城中村综合改造项目东至西安石油勘探仪器总厂，西至长安南路，南至昌明路，北至雁塔西路，2012年5月启动拆除工作。该项目于2013年3月取得控制性详细规划(工程号2011KX242)，综合容积率8.84；2013年5月取得改造方案批复文件（市城改发〔2013〕131号），改造净用地约131.88亩。现就项目推进实施情况进行成本核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1、营业执照、事业单位法人证书、自然人身份证明：供应商为具有独立承担民事责任能力的法人其他组织或自然人，并提供法人或者其他组织合法有效 的营业执照等证明文件，事业单位应提供事业单位法人证书，自然人应提供身份证明文件；</w:t>
      </w:r>
    </w:p>
    <w:p>
      <w:pPr>
        <w:pStyle w:val="null3"/>
      </w:pPr>
      <w:r>
        <w:rPr/>
        <w:t>2、法人身份证复印件或法定代表人授权书及被授权人身份证复印件：供应商应授权合法的人员参加磋商全过程，其中法定代表人直接参加磋商的，须出具法人身份证复 印件，并与营业执照上信息一致。法定代表人授权他人参加磋商的，须出具法定代表人授权书及被 授权人身份证复印件；</w:t>
      </w:r>
    </w:p>
    <w:p>
      <w:pPr>
        <w:pStyle w:val="null3"/>
      </w:pPr>
      <w:r>
        <w:rPr/>
        <w:t>3、企业资质：供应商须具有财政部门颁发的会计师事务所执业证书；</w:t>
      </w:r>
    </w:p>
    <w:p>
      <w:pPr>
        <w:pStyle w:val="null3"/>
      </w:pPr>
      <w:r>
        <w:rPr/>
        <w:t>4、拟派项目负责人：拟派项目负责人具有有效的注册会计师资格证书；</w:t>
      </w:r>
    </w:p>
    <w:p>
      <w:pPr>
        <w:pStyle w:val="null3"/>
      </w:pPr>
      <w:r>
        <w:rPr/>
        <w:t>5、财务会计制度的证明材料：关于财务会计制度的证明材料｛注：1.2023年度完整的财务报表审计报告（包括但不限于审计报告 、资产负债表、利润表、现金流量表、所有者权益变动表及财务报表附注等内容，成立时间至提交 响应文件截止时间不足一年的可提供成立后任意时段的资产负债表）； 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p>
      <w:pPr>
        <w:pStyle w:val="null3"/>
      </w:pPr>
      <w:r>
        <w:rPr/>
        <w:t>6、税收缴纳证明：提供2024年1月至今任意时段已缴纳完税凭证或税务机关开具的完税证明（任意税种）；依法免税 的应提供相关文件证明；</w:t>
      </w:r>
    </w:p>
    <w:p>
      <w:pPr>
        <w:pStyle w:val="null3"/>
      </w:pPr>
      <w:r>
        <w:rPr/>
        <w:t>7、社保缴纳证明：提供2024年1月至今任意时段已缴纳的社会保障资金缴存单据或社保机构开具的社会保险参保缴费 情况证明；依法不需要缴纳社会保障资金的应提供相关文件证明。</w:t>
      </w:r>
    </w:p>
    <w:p>
      <w:pPr>
        <w:pStyle w:val="null3"/>
      </w:pPr>
      <w:r>
        <w:rPr/>
        <w:t>8、具备履行合同所必需的设备和专业技术能力：具备履行合同所必需的设备和专业技术能力</w:t>
      </w:r>
    </w:p>
    <w:p>
      <w:pPr>
        <w:pStyle w:val="null3"/>
      </w:pPr>
      <w:r>
        <w:rPr/>
        <w:t>9、参加政府采购活动前3年内，在经营活动中没有重大违法记录：参加政府采购活动前3年内，在经营活动中没有重大违法记录</w:t>
      </w:r>
    </w:p>
    <w:p>
      <w:pPr>
        <w:pStyle w:val="null3"/>
      </w:pPr>
      <w:r>
        <w:rPr/>
        <w:t>10、供应商信用：采购人或代理机构根据《关于在政府采购活动中查询及使用信用记录有关问题的通知》（财库〔20 16〕125号）的要求，通过“信用中国”网站（www.creditchina.gov.cn）、“中国政府采购网” 网站（www.ccgp.gov.cn）等渠道，查询供应商在响应文件提交截止时间前的信用记录并保存信用 记录结果网页截图，拒绝列入失信被执行人名单、重大税收违法案件当事人名单、政府采购严重违 法失信行为记录名单中的供应商参加本项目的采购活动。</w:t>
      </w:r>
    </w:p>
    <w:p>
      <w:pPr>
        <w:pStyle w:val="null3"/>
      </w:pPr>
      <w:r>
        <w:rPr/>
        <w:t>11、本项目不接受联合体投标：供应商应提供《非联合体投标声明》，视为独立投标。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西安市雁塔区城中村和棚户区改造事务中心</w:t>
      </w:r>
    </w:p>
    <w:p>
      <w:pPr>
        <w:pStyle w:val="null3"/>
      </w:pPr>
      <w:r>
        <w:rPr/>
        <w:t xml:space="preserve"> 地址： </w:t>
      </w:r>
      <w:r>
        <w:rPr/>
        <w:t>雁塔区翠华南路146号</w:t>
      </w:r>
    </w:p>
    <w:p>
      <w:pPr>
        <w:pStyle w:val="null3"/>
      </w:pPr>
      <w:r>
        <w:rPr/>
        <w:t xml:space="preserve"> 邮编： </w:t>
      </w:r>
      <w:r>
        <w:rPr/>
        <w:t>/</w:t>
      </w:r>
    </w:p>
    <w:p>
      <w:pPr>
        <w:pStyle w:val="null3"/>
      </w:pPr>
      <w:r>
        <w:rPr/>
        <w:t xml:space="preserve"> 联系人： </w:t>
      </w:r>
      <w:r>
        <w:rPr/>
        <w:t>李老师</w:t>
      </w:r>
    </w:p>
    <w:p>
      <w:pPr>
        <w:pStyle w:val="null3"/>
      </w:pPr>
      <w:r>
        <w:rPr/>
        <w:t xml:space="preserve"> 联系电话： </w:t>
      </w:r>
      <w:r>
        <w:rPr/>
        <w:t xml:space="preserve"> 029-85225761</w:t>
      </w:r>
    </w:p>
    <w:p>
      <w:pPr>
        <w:pStyle w:val="null3"/>
        <w:outlineLvl w:val="3"/>
      </w:pPr>
      <w:r>
        <w:rPr>
          <w:sz w:val="24"/>
          <w:b/>
        </w:rPr>
        <w:t>代理机构：</w:t>
      </w:r>
      <w:r>
        <w:rPr>
          <w:sz w:val="24"/>
          <w:b/>
        </w:rPr>
        <w:t>锐驰项目管理有限公司</w:t>
      </w:r>
    </w:p>
    <w:p>
      <w:pPr>
        <w:pStyle w:val="null3"/>
      </w:pPr>
      <w:r>
        <w:rPr/>
        <w:t xml:space="preserve"> 地址： </w:t>
      </w:r>
      <w:r>
        <w:rPr/>
        <w:t>西安市朱雀大街南段汇成天玺酒店C座11层</w:t>
      </w:r>
    </w:p>
    <w:p>
      <w:pPr>
        <w:pStyle w:val="null3"/>
      </w:pPr>
      <w:r>
        <w:rPr/>
        <w:t xml:space="preserve"> 邮编： </w:t>
      </w:r>
      <w:r>
        <w:rPr/>
        <w:t>710061</w:t>
      </w:r>
    </w:p>
    <w:p>
      <w:pPr>
        <w:pStyle w:val="null3"/>
      </w:pPr>
      <w:r>
        <w:rPr/>
        <w:t xml:space="preserve"> 联系人： </w:t>
      </w:r>
      <w:r>
        <w:rPr/>
        <w:t>刘妍</w:t>
      </w:r>
    </w:p>
    <w:p>
      <w:pPr>
        <w:pStyle w:val="null3"/>
      </w:pPr>
      <w:r>
        <w:rPr/>
        <w:t xml:space="preserve"> 联系电话： </w:t>
      </w:r>
      <w:r>
        <w:rPr/>
        <w:t>029-88669622转801</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颁发的《招标代理服务收费管理暂行办法》（计价格[2002]1980号）和国家发展改革委员会办公厅颁发的《关于招标代理服务收费有关问题的通知》（发改办价格[2003]857号）文规定的“服务”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西安市雁塔区城中村和棚户区改造事务中心</w:t>
      </w:r>
      <w:r>
        <w:rPr/>
        <w:t>和</w:t>
      </w:r>
      <w:r>
        <w:rPr/>
        <w:t>锐驰项目管理有限公司</w:t>
      </w:r>
      <w:r>
        <w:rPr/>
        <w:t>享有。对磋商文件中供应商参加本次政府采购活动应当具备的条件，磋商项目技术、服务、商务及其他要求，评审细则及标准由</w:t>
      </w:r>
      <w:r>
        <w:rPr/>
        <w:t>西安市雁塔区城中村和棚户区改造事务中心</w:t>
      </w:r>
      <w:r>
        <w:rPr/>
        <w:t>负责解释。除上述磋商文件内容，其他内容由</w:t>
      </w:r>
      <w:r>
        <w:rPr/>
        <w:t>锐驰项目管理有限公司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西安市雁塔区城中村和棚户区改造事务中心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锐驰项目管理有限公司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工作要求和质量保证：各项具体工作的质量标准和作业规范，按国家相关标准、规范执行。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锐驰项目管理有限公司</w:t>
      </w:r>
      <w:r>
        <w:rPr/>
        <w:t xml:space="preserve"> 负责答复；供应商对除采购需求外的采购文件的询问、质疑由</w:t>
      </w:r>
      <w:r>
        <w:rPr/>
        <w:t>锐驰项目管理有限公司</w:t>
      </w:r>
      <w:r>
        <w:rPr/>
        <w:t xml:space="preserve"> 负责答复；供应商对采购过程、采购结果的询问、质疑由 </w:t>
      </w:r>
      <w:r>
        <w:rPr/>
        <w:t>锐驰项目管理有限公司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联系人：刘妍</w:t>
      </w:r>
    </w:p>
    <w:p>
      <w:pPr>
        <w:pStyle w:val="null3"/>
      </w:pPr>
      <w:r>
        <w:rPr/>
        <w:t>联系电话：029-88669622转801</w:t>
      </w:r>
    </w:p>
    <w:p>
      <w:pPr>
        <w:pStyle w:val="null3"/>
      </w:pPr>
      <w:r>
        <w:rPr/>
        <w:t>地址：西安市朱雀大街南段汇成天玺酒店C座11层</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东八里地区城中村综合改造项目东至西安石油勘探仪器总厂，西至长安南路，南至昌明路，北至雁塔西路，2012年5月启动拆除工作。该项目于2013年3月取得控制性详细规划(工程号2011KX242)，综合容积率8.84；2013年5月取得改造方案批复文件（市城改发〔2013〕131号），改造净用地约131.88亩。现就项目推进实施情况进行成本核算。</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西安市雁塔区东八里村城改项目成本核算服务项目</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标的名称：西安市雁塔区东八里村城改项目成本核算服务项目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w:t>
            </w:r>
            <w:r>
              <w:rPr>
                <w:rFonts w:ascii="宋体" w:hAnsi="宋体" w:cs="宋体" w:eastAsia="宋体"/>
                <w:sz w:val="24"/>
                <w:color w:val="000000"/>
              </w:rPr>
              <w:t>服务内容：</w:t>
            </w:r>
            <w:r>
              <w:rPr>
                <w:rFonts w:ascii="宋体" w:hAnsi="宋体" w:cs="宋体" w:eastAsia="宋体"/>
                <w:sz w:val="24"/>
                <w:color w:val="000000"/>
              </w:rPr>
              <w:t>雁塔区东八里村城中村改造项目</w:t>
            </w:r>
            <w:r>
              <w:rPr>
                <w:rFonts w:ascii="宋体" w:hAnsi="宋体" w:cs="宋体" w:eastAsia="宋体"/>
                <w:sz w:val="24"/>
                <w:color w:val="000000"/>
              </w:rPr>
              <w:t>回迁已完成，现就项目推进实际情况进行成本核算。</w:t>
            </w:r>
          </w:p>
          <w:p>
            <w:pPr>
              <w:pStyle w:val="null3"/>
            </w:pPr>
            <w:r>
              <w:rPr/>
              <w:t>2.</w:t>
            </w:r>
            <w:r>
              <w:rPr>
                <w:rFonts w:ascii="宋体" w:hAnsi="宋体" w:cs="宋体" w:eastAsia="宋体"/>
                <w:sz w:val="24"/>
                <w:color w:val="000000"/>
              </w:rPr>
              <w:t>服务要求：</w:t>
            </w:r>
            <w:r>
              <w:rPr>
                <w:rFonts w:ascii="宋体" w:hAnsi="宋体" w:cs="宋体" w:eastAsia="宋体"/>
                <w:sz w:val="24"/>
                <w:color w:val="000000"/>
              </w:rPr>
              <w:t>对项目资料等实施必要的审核，出具真实合法的核算报告，按要求完成本次成本审核工作并出具前述项目审核结果及审核报告。</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工作要求和质量保证：各项具体工作的质量标准和作业规范，按国家相关标准、规范执行。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从合同签订之日起至项目结束。</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1.成交供应商按照项目需求完成全部服务内容后，由用户方组织验收。2.验收依据：(1)合同文本；(2)国家有关的验收标 准及规范；(3)竞争性磋商文件；(4)磋商响应文件。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甲方在乙方出具最终审核成果文件后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审核成果经区级相关会议审议通过后</w:t>
      </w:r>
      <w:r>
        <w:rPr/>
        <w:t xml:space="preserve"> ，达到付款条件起 </w:t>
      </w:r>
      <w:r>
        <w:rPr/>
        <w:t>10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依据《中华人民共和国民法典》、及相关条款和本合同约定，成交供应商未全面履行合同义务或者发生违约，采购单位会 同采购代理机构有权终止合同，依法向成交供应商进行经济索赔，并报请监督管理机关进行相应的行政处罚。采购单位违约 的，应当赔偿给成交供应商造成的经济损失。 合同签订和履行过程中，甲乙双方如对合同中相关的事宜发生争议，应本着公 平、公正的原则，友好协商解决，协商不成的，向甲方所在地人民法院诉讼解决</w:t>
      </w:r>
    </w:p>
    <w:p>
      <w:pPr>
        <w:pStyle w:val="null3"/>
        <w:outlineLvl w:val="2"/>
      </w:pPr>
      <w:r>
        <w:rPr>
          <w:sz w:val="28"/>
          <w:b/>
        </w:rPr>
        <w:t>3.4其他要求</w:t>
      </w:r>
    </w:p>
    <w:p>
      <w:pPr>
        <w:pStyle w:val="null3"/>
      </w:pPr>
      <w:r>
        <w:rPr/>
        <w:t>供应商报价不允许超过最高限价。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1.2023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营业执照、事业单位法人证书、自然人身份证明</w:t>
            </w:r>
          </w:p>
        </w:tc>
        <w:tc>
          <w:tcPr>
            <w:tcW w:type="dxa" w:w="3322"/>
          </w:tcPr>
          <w:p>
            <w:pPr>
              <w:pStyle w:val="null3"/>
            </w:pPr>
            <w:r>
              <w:rPr/>
              <w:t>供应商为具有独立承担民事责任能力的法人其他组织或自然人，并提供法人或者其他组织合法有效 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法人身份证复印件或法定代表人授权书及被授权人身份证复印件</w:t>
            </w:r>
          </w:p>
        </w:tc>
        <w:tc>
          <w:tcPr>
            <w:tcW w:type="dxa" w:w="3322"/>
          </w:tcPr>
          <w:p>
            <w:pPr>
              <w:pStyle w:val="null3"/>
            </w:pPr>
            <w:r>
              <w:rPr/>
              <w:t>供应商应授权合法的人员参加磋商全过程，其中法定代表人直接参加磋商的，须出具法人身份证复 印件，并与营业执照上信息一致。法定代表人授权他人参加磋商的，须出具法定代表人授权书及被 授权人身份证复印件；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供应商须具有财政部门颁发的会计师事务所执业证书；</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拟派项目负责人</w:t>
            </w:r>
          </w:p>
        </w:tc>
        <w:tc>
          <w:tcPr>
            <w:tcW w:type="dxa" w:w="3322"/>
          </w:tcPr>
          <w:p>
            <w:pPr>
              <w:pStyle w:val="null3"/>
            </w:pPr>
            <w:r>
              <w:rPr/>
              <w:t>拟派项目负责人具有有效的注册会计师资格证书；</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财务会计制度的证明材料</w:t>
            </w:r>
          </w:p>
        </w:tc>
        <w:tc>
          <w:tcPr>
            <w:tcW w:type="dxa" w:w="3322"/>
          </w:tcPr>
          <w:p>
            <w:pPr>
              <w:pStyle w:val="null3"/>
            </w:pPr>
            <w:r>
              <w:rPr/>
              <w:t>关于财务会计制度的证明材料｛注：1.2023年度完整的财务报表审计报告（包括但不限于审计报告 、资产负债表、利润表、现金流量表、所有者权益变动表及财务报表附注等内容，成立时间至提交 响应文件截止时间不足一年的可提供成立后任意时段的资产负债表）； 2.提交响应文件截止时间前 三个月内其基本账户开户银行出具的资信证明（附基本存款账户信息）。｝以上两种方式供应商任 选其一进行提供，供应商需在项目电子化交易系统中按要求上传相应证明文件并进行电子签章。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提供2024年1月至今任意时段已缴纳完税凭证或税务机关开具的完税证明（任意税种）；依法免税 的应提供相关文件证明；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社保缴纳证明</w:t>
            </w:r>
          </w:p>
        </w:tc>
        <w:tc>
          <w:tcPr>
            <w:tcW w:type="dxa" w:w="3322"/>
          </w:tcPr>
          <w:p>
            <w:pPr>
              <w:pStyle w:val="null3"/>
            </w:pPr>
            <w:r>
              <w:rPr/>
              <w:t>提供2024年1月至今任意时段已缴纳的社会保障资金缴存单据或社保机构开具的社会保险参保缴费 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具备履行合同所必需的设备和专业技术能力</w:t>
            </w:r>
          </w:p>
        </w:tc>
        <w:tc>
          <w:tcPr>
            <w:tcW w:type="dxa" w:w="3322"/>
          </w:tcPr>
          <w:p>
            <w:pPr>
              <w:pStyle w:val="null3"/>
            </w:pPr>
            <w:r>
              <w:rPr/>
              <w:t>具备履行合同所必需的设备和专业技术能力</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参加政府采购活动前3年内，在经营活动中没有重大违法记录</w:t>
            </w:r>
          </w:p>
        </w:tc>
        <w:tc>
          <w:tcPr>
            <w:tcW w:type="dxa" w:w="3322"/>
          </w:tcPr>
          <w:p>
            <w:pPr>
              <w:pStyle w:val="null3"/>
            </w:pPr>
            <w:r>
              <w:rPr/>
              <w:t>参加政府采购活动前3年内，在经营活动中没有重大违法记录</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供应商信用</w:t>
            </w:r>
          </w:p>
        </w:tc>
        <w:tc>
          <w:tcPr>
            <w:tcW w:type="dxa" w:w="3322"/>
          </w:tcPr>
          <w:p>
            <w:pPr>
              <w:pStyle w:val="null3"/>
            </w:pPr>
            <w:r>
              <w:rPr/>
              <w:t>采购人或代理机构根据《关于在政府采购活动中查询及使用信用记录有关问题的通知》（财库〔20 16〕125号）的要求，通过“信用中国”网站（www.creditchina.gov.cn）、“中国政府采购网” 网站（www.ccgp.gov.cn）等渠道，查询供应商在响应文件提交截止时间前的信用记录并保存信用 记录结果网页截图，拒绝列入失信被执行人名单、重大税收违法案件当事人名单、政府采购严重违 法失信行为记录名单中的供应商参加本项目的采购活动。</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供应商应提供《非联合体投标声明》，视为独立投标。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响应文件的签字盖章</w:t>
            </w:r>
          </w:p>
        </w:tc>
        <w:tc>
          <w:tcPr>
            <w:tcW w:type="dxa" w:w="3322"/>
          </w:tcPr>
          <w:p>
            <w:pPr>
              <w:pStyle w:val="null3"/>
            </w:pPr>
            <w:r>
              <w:rPr/>
              <w:t>响应文件上法定代表人或其委托代理人的签字齐全并加盖单位章</w:t>
            </w:r>
          </w:p>
        </w:tc>
        <w:tc>
          <w:tcPr>
            <w:tcW w:type="dxa" w:w="1661"/>
          </w:tcPr>
          <w:p>
            <w:pPr>
              <w:pStyle w:val="null3"/>
            </w:pPr>
            <w:r>
              <w:rPr/>
              <w:t>服务内容及服务邀请应答表 法定代表人证明书与法定代表人授权书 中小企业声明函 商务应答表 供应商应提交的相关资格证明材料 报价表 拟投入本项目主要人员汇总表 响应文件封面 残疾人福利性单位声明函 服务方案 标的清单 响应函 供应商业绩证明材料 监狱企业的证明文件</w:t>
            </w:r>
          </w:p>
        </w:tc>
      </w:tr>
      <w:tr>
        <w:tc>
          <w:tcPr>
            <w:tcW w:type="dxa" w:w="831"/>
          </w:tcPr>
          <w:p>
            <w:pPr>
              <w:pStyle w:val="null3"/>
            </w:pPr>
            <w:r>
              <w:rPr/>
              <w:t>3</w:t>
            </w:r>
          </w:p>
        </w:tc>
        <w:tc>
          <w:tcPr>
            <w:tcW w:type="dxa" w:w="2492"/>
          </w:tcPr>
          <w:p>
            <w:pPr>
              <w:pStyle w:val="null3"/>
            </w:pPr>
            <w:r>
              <w:rPr/>
              <w:t>响应文件格式</w:t>
            </w:r>
          </w:p>
        </w:tc>
        <w:tc>
          <w:tcPr>
            <w:tcW w:type="dxa" w:w="3322"/>
          </w:tcPr>
          <w:p>
            <w:pPr>
              <w:pStyle w:val="null3"/>
            </w:pPr>
            <w:r>
              <w:rPr/>
              <w:t>应符合响应文件要求</w:t>
            </w:r>
          </w:p>
        </w:tc>
        <w:tc>
          <w:tcPr>
            <w:tcW w:type="dxa" w:w="1661"/>
          </w:tcPr>
          <w:p>
            <w:pPr>
              <w:pStyle w:val="null3"/>
            </w:pPr>
            <w:r>
              <w:rPr/>
              <w:t>服务内容及服务邀请应答表 法定代表人证明书与法定代表人授权书 中小企业声明函 商务应答表 供应商应提交的相关资格证明材料 报价表 拟投入本项目主要人员汇总表 响应文件封面 残疾人福利性单位声明函 服务方案 标的清单 响应函 供应商业绩证明材料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服务内容及服务邀请应答表 法定代表人证明书与法定代表人授权书 中小企业声明函 商务应答表 供应商应提交的相关资格证明材料 报价表 拟投入本项目主要人员汇总表 响应文件封面 残疾人福利性单位声明函 服务方案 标的清单 响应函 供应商业绩证明材料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应满足磋商文件规定的服务期限</w:t>
            </w:r>
          </w:p>
        </w:tc>
        <w:tc>
          <w:tcPr>
            <w:tcW w:type="dxa" w:w="1661"/>
          </w:tcPr>
          <w:p>
            <w:pPr>
              <w:pStyle w:val="null3"/>
            </w:pPr>
            <w:r>
              <w:rPr/>
              <w:t>标的清单</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应满足磋商文件规定的磋商有效期</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提供完整的工作大纲、有明确的成本核算工作目标、工作范围，合理可行的成本核算工作流程，详细的成本核算实施方案。 1.内容详细完整，条理清晰，可实施性强，得10分； 2.内容较详细完整，条理较清晰，可实施性较强，得7分；3.内容基本完整，可实施性一般，得4分； 4.内容简单粗略2分。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进度计划及保障措施</w:t>
            </w:r>
          </w:p>
        </w:tc>
        <w:tc>
          <w:tcPr>
            <w:tcW w:type="dxa" w:w="2492"/>
          </w:tcPr>
          <w:p>
            <w:pPr>
              <w:pStyle w:val="null3"/>
            </w:pPr>
            <w:r>
              <w:rPr/>
              <w:t>有详细的成本核算工作进度计划及保障措施。 1.工作进度计划详细、保障措施可行，得7分； 2.工作进度计划比较详细、保障措施基本可行，得4分； 3.工作进度计划差、保障措施可行性差，得2分。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质量控制措施</w:t>
            </w:r>
          </w:p>
        </w:tc>
        <w:tc>
          <w:tcPr>
            <w:tcW w:type="dxa" w:w="2492"/>
          </w:tcPr>
          <w:p>
            <w:pPr>
              <w:pStyle w:val="null3"/>
            </w:pPr>
            <w:r>
              <w:rPr/>
              <w:t>对核算依据、程序、方法、核算情况及其他说明建立健全的质量控制体系，成本核算报告质量保证措施得当、合理、可行件配合及承担质量等责任做出实质性承诺。 1.有健全的质量控制体系，质量保证措施及承诺得当、合理、可行，得7分； 2.质量控制体系健全，质量保证措施及承诺比较得当、合理、基本可行，得4分； 3.质量控制体系基本健全，质量保证措施及承诺可行性，得2分。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工作要点控制措施</w:t>
            </w:r>
          </w:p>
        </w:tc>
        <w:tc>
          <w:tcPr>
            <w:tcW w:type="dxa" w:w="2492"/>
          </w:tcPr>
          <w:p>
            <w:pPr>
              <w:pStyle w:val="null3"/>
            </w:pPr>
            <w:r>
              <w:rPr/>
              <w:t>简述成本核算过程中核算要点、注意事项及对应的措施，合理、有效的提出解决争议的依据，有效的风险控制措施。 1.内容详尽、措施得当、可行性强，得7分； 2.内容全面、措施基本得当、具有一定的可行性，得4分； 3.内容简单、可行性较差，得2分。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沟通协调机制</w:t>
            </w:r>
          </w:p>
        </w:tc>
        <w:tc>
          <w:tcPr>
            <w:tcW w:type="dxa" w:w="2492"/>
          </w:tcPr>
          <w:p>
            <w:pPr>
              <w:pStyle w:val="null3"/>
            </w:pPr>
            <w:r>
              <w:rPr/>
              <w:t>1.沟通管理体系完善详细、管理制度健全，条理清晰，符合项目实际情况计6分； 2.沟通管理体系较完善详细、管理制度较健全，条理较清晰，较符合项目情况计4分； 3.沟通管理体简单、管理制度简单，条理简单，计2分；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人员证书</w:t>
            </w:r>
          </w:p>
        </w:tc>
        <w:tc>
          <w:tcPr>
            <w:tcW w:type="dxa" w:w="2492"/>
          </w:tcPr>
          <w:p>
            <w:pPr>
              <w:pStyle w:val="null3"/>
            </w:pPr>
            <w:r>
              <w:rPr/>
              <w:t>除项目负责人以外每增加1名具有注册会计师执业资格证书的人员，得 1.5 分，满分 3分。 （以人员相 对应的职称证书复印件加盖供应商公章为计分依据。）</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拟投入本项目主要人员汇总表</w:t>
            </w:r>
          </w:p>
        </w:tc>
      </w:tr>
      <w:tr>
        <w:tc>
          <w:tcPr>
            <w:tcW w:type="dxa" w:w="831"/>
            <w:vMerge/>
          </w:tcPr>
          <w:p/>
        </w:tc>
        <w:tc>
          <w:tcPr>
            <w:tcW w:type="dxa" w:w="1661"/>
          </w:tcPr>
          <w:p>
            <w:pPr>
              <w:pStyle w:val="null3"/>
            </w:pPr>
            <w:r>
              <w:rPr/>
              <w:t>项目团队</w:t>
            </w:r>
          </w:p>
        </w:tc>
        <w:tc>
          <w:tcPr>
            <w:tcW w:type="dxa" w:w="2492"/>
          </w:tcPr>
          <w:p>
            <w:pPr>
              <w:pStyle w:val="null3"/>
            </w:pPr>
            <w:r>
              <w:rPr/>
              <w:t>根据供应商对本项目提供的拟派项目团队进行评审，包括但不限于以下内容：①拟投入本项目团队人员清单，清单至少包括姓名、分工等；②人员配备合理性；③人员岗位职责。 方案各部分内容全面详细、阐述条理清晰详尽、符合本项目采购需求，能有效保障本项目实施的计6分。以上分项每缺少一项内容扣2分；有某一项不完整或不符合实际要求或不满足实施要求或套用其他项目内容的每项得0.5-1.5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拟投入本项目主要人员汇总表</w:t>
            </w:r>
          </w:p>
        </w:tc>
      </w:tr>
      <w:tr>
        <w:tc>
          <w:tcPr>
            <w:tcW w:type="dxa" w:w="831"/>
            <w:vMerge/>
          </w:tcPr>
          <w:p/>
        </w:tc>
        <w:tc>
          <w:tcPr>
            <w:tcW w:type="dxa" w:w="1661"/>
          </w:tcPr>
          <w:p>
            <w:pPr>
              <w:pStyle w:val="null3"/>
            </w:pPr>
            <w:r>
              <w:rPr/>
              <w:t>廉洁从业措施</w:t>
            </w:r>
          </w:p>
        </w:tc>
        <w:tc>
          <w:tcPr>
            <w:tcW w:type="dxa" w:w="2492"/>
          </w:tcPr>
          <w:p>
            <w:pPr>
              <w:pStyle w:val="null3"/>
            </w:pPr>
            <w:r>
              <w:rPr/>
              <w:t>提供签署廉洁从业承诺、廉洁措施，包括但不限于项目负责人、相关技术人员的廉洁从业措施及管理办法。 1.内容完整，可实施性强，得6分； 2.内容基本完整，可实施性较强，得4分； 3.内容不全，可实施性一般，得2分。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工作保密措施</w:t>
            </w:r>
          </w:p>
        </w:tc>
        <w:tc>
          <w:tcPr>
            <w:tcW w:type="dxa" w:w="2492"/>
          </w:tcPr>
          <w:p>
            <w:pPr>
              <w:pStyle w:val="null3"/>
            </w:pPr>
            <w:r>
              <w:rPr/>
              <w:t>根据供应商对本项目提供的工作保密措施进行评审，包括但不限于以下内容：①保密内容；②保密措施 及处置预案；③保密制度。 方案各部分内容全面详细、阐述条理清晰详尽、符合本项目采购需求，能有效保障本项目实施的计9分。以上分项每缺少一项内容扣3分；有某一项不完整或不符合实际要求或不满足实施要求或套用其他项目内容的每项得0.5-2.5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应急保障措施</w:t>
            </w:r>
          </w:p>
        </w:tc>
        <w:tc>
          <w:tcPr>
            <w:tcW w:type="dxa" w:w="2492"/>
          </w:tcPr>
          <w:p>
            <w:pPr>
              <w:pStyle w:val="null3"/>
            </w:pPr>
            <w:r>
              <w:rPr/>
              <w:t>针对本项目提供应急措施保障，措施保障内容包含：①应急预案②应急处理响应时间③应急人数及人员安排。 措施各部分内容全面详细、阐述条理清晰详尽、符合本项目采购需求得9分。以上分项每缺少一项内容扣3分，有某一项不完整或不符合实际要求或不满足实施要求或套用其他项目内容的扣0.5-2.5分；未提供不得分。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供应商具有及时有效的服务响应能力和后期服务承诺，对服务期限、进度、人员到位情况、工作底稿准确规范性与成果文件一致性情况作出实质性承诺。 1.服务承诺内容全面、合理、服务周全、可行性强，得6分； 2.服务承诺内容全面、合理、安排及服务基本可行，得4分;3.服务承诺内容基本全面、合理、安排及服务可行性一般，得2分。未提供不得分。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针对本项目成本核算工作中的常见问题进行分析，并能根据分析结果提出有效的合理化建议，每提供一 条得1分，满分4分。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提供供应商2020年1月至截标时间前类似项目业绩（以合同签订日期为准），每提供1份计2分，满分10分。 备注：业绩证明（以合同或中标通知书为准，须在投标文件中附合同或中标通知书的扫描件加盖单位公章）弄虚作假者，取消其中标资格。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采用低价优先法计算，即满足磋商文件要求且最终报价最低的供应商的价格为评标基准价，其价格分为 满分。 磋商报价得分＝（评标基准价/磋商最终报价）×价格权值×100%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详见附件：服务方案</w:t>
      </w:r>
    </w:p>
    <w:p>
      <w:pPr>
        <w:pStyle w:val="null3"/>
        <w:ind w:firstLine="960"/>
      </w:pPr>
      <w:r>
        <w:rPr/>
        <w:t>详见附件：供应商业绩证明材料</w:t>
      </w:r>
    </w:p>
    <w:p>
      <w:pPr>
        <w:pStyle w:val="null3"/>
        <w:ind w:firstLine="960"/>
      </w:pPr>
      <w:r>
        <w:rPr/>
        <w:t>详见附件：拟投入本项目主要人员汇总表</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