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2024年雁塔区29座桥梁常规性检测</w:t>
      </w:r>
    </w:p>
    <w:p>
      <w:pPr>
        <w:pStyle w:val="null3"/>
        <w:jc w:val="center"/>
        <w:outlineLvl w:val="2"/>
      </w:pPr>
      <w:r>
        <w:rPr>
          <w:sz w:val="28"/>
          <w:b/>
        </w:rPr>
        <w:t>采购项目编号：</w:t>
      </w:r>
      <w:r>
        <w:rPr>
          <w:sz w:val="28"/>
          <w:b/>
        </w:rPr>
        <w:t>SXZY-2024-ZC-1097</w:t>
      </w:r>
      <w:r>
        <w:br/>
      </w:r>
      <w:r>
        <w:br/>
      </w:r>
      <w:r>
        <w:br/>
      </w:r>
    </w:p>
    <w:p>
      <w:pPr>
        <w:pStyle w:val="null3"/>
        <w:jc w:val="center"/>
        <w:outlineLvl w:val="2"/>
      </w:pPr>
      <w:r>
        <w:rPr>
          <w:sz w:val="28"/>
          <w:b/>
        </w:rPr>
        <w:t>西安市雁塔区城市管理和综合执法局</w:t>
      </w:r>
    </w:p>
    <w:p>
      <w:pPr>
        <w:pStyle w:val="null3"/>
        <w:jc w:val="center"/>
        <w:outlineLvl w:val="2"/>
      </w:pPr>
      <w:r>
        <w:rPr>
          <w:sz w:val="28"/>
          <w:b/>
        </w:rPr>
        <w:t>陕西中仪项目管理有限公司</w:t>
      </w:r>
      <w:r>
        <w:rPr>
          <w:sz w:val="28"/>
          <w:b/>
        </w:rPr>
        <w:t>共同编制</w:t>
      </w:r>
    </w:p>
    <w:p>
      <w:pPr>
        <w:pStyle w:val="null3"/>
        <w:jc w:val="center"/>
        <w:outlineLvl w:val="2"/>
      </w:pPr>
      <w:r>
        <w:rPr>
          <w:sz w:val="28"/>
          <w:b/>
        </w:rPr>
        <w:t>2024年09月12日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陕西中仪项目管理有限公司</w:t>
      </w:r>
      <w:r>
        <w:rPr/>
        <w:t>（以下简称“代理机构”）受</w:t>
      </w:r>
      <w:r>
        <w:rPr/>
        <w:t>西安市雁塔区城市管理和综合执法局</w:t>
      </w:r>
      <w:r>
        <w:rPr/>
        <w:t>委托，拟对</w:t>
      </w:r>
      <w:r>
        <w:rPr/>
        <w:t>2024年雁塔区29座桥梁常规性检测</w:t>
      </w:r>
      <w:r>
        <w:rPr/>
        <w:t>采用竞争性磋商采购方式进行采购，兹邀请供应商参加本项目的竞争性磋商。</w:t>
      </w:r>
    </w:p>
    <w:p>
      <w:pPr>
        <w:pStyle w:val="null3"/>
        <w:outlineLvl w:val="2"/>
      </w:pPr>
      <w:r>
        <w:rPr>
          <w:sz w:val="28"/>
          <w:b/>
        </w:rPr>
        <w:t>一、项目编号：</w:t>
      </w:r>
      <w:r>
        <w:rPr>
          <w:sz w:val="28"/>
          <w:b/>
        </w:rPr>
        <w:t>SXZY-2024-ZC-1097</w:t>
      </w:r>
    </w:p>
    <w:p>
      <w:pPr>
        <w:pStyle w:val="null3"/>
        <w:outlineLvl w:val="2"/>
      </w:pPr>
      <w:r>
        <w:rPr>
          <w:sz w:val="28"/>
          <w:b/>
        </w:rPr>
        <w:t>二、项目名称：</w:t>
      </w:r>
      <w:r>
        <w:rPr>
          <w:sz w:val="28"/>
          <w:b/>
        </w:rPr>
        <w:t>2024年雁塔区29座桥梁常规性检测</w:t>
      </w:r>
    </w:p>
    <w:p>
      <w:pPr>
        <w:pStyle w:val="null3"/>
        <w:outlineLvl w:val="2"/>
      </w:pPr>
      <w:r>
        <w:rPr>
          <w:sz w:val="28"/>
          <w:b/>
        </w:rPr>
        <w:t>三、磋商项目简介</w:t>
      </w:r>
    </w:p>
    <w:p>
      <w:pPr>
        <w:pStyle w:val="null3"/>
        <w:ind w:firstLine="480"/>
      </w:pPr>
      <w:r>
        <w:rPr/>
        <w:t>根据《城市桥梁养护技术标准》（CJJ 99-2017）要求，对雁塔区辖区内29座桥梁进行检测。</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采购包1（2024年雁塔区29座桥梁常规性检测）：属于专门面向中小企业采购。</w:t>
      </w:r>
    </w:p>
    <w:p>
      <w:pPr>
        <w:pStyle w:val="null3"/>
        <w:ind w:firstLine="480"/>
      </w:pPr>
      <w:r>
        <w:rPr/>
        <w:t>（三）本项目的特定资格要求：</w:t>
      </w:r>
    </w:p>
    <w:p>
      <w:pPr>
        <w:pStyle w:val="null3"/>
      </w:pPr>
      <w:r>
        <w:rPr/>
        <w:t>采购包1：</w:t>
      </w:r>
    </w:p>
    <w:p>
      <w:pPr>
        <w:pStyle w:val="null3"/>
      </w:pPr>
      <w:r>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p>
      <w:pPr>
        <w:pStyle w:val="null3"/>
      </w:pPr>
      <w:r>
        <w:rPr/>
        <w:t>2、社保资金缴纳证明：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p>
      <w:pPr>
        <w:pStyle w:val="null3"/>
      </w:pPr>
      <w:r>
        <w:rPr/>
        <w:t>3、税收缴纳证明：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p>
      <w:pPr>
        <w:pStyle w:val="null3"/>
      </w:pPr>
      <w:r>
        <w:rPr/>
        <w:t>4、无重大违法记录声明：参加政府采购活动前3年内在经营活动中没有重大违法记录的书面声明。供应商需在项目电子化交易系统中按要求填写《响应函》完成承诺并进行电子签章。</w:t>
      </w:r>
    </w:p>
    <w:p>
      <w:pPr>
        <w:pStyle w:val="null3"/>
      </w:pPr>
      <w:r>
        <w:rPr/>
        <w:t>5、履约能力承诺：提交具有履行合同所必需的设备和专业技术能力的承诺。供应商需在项目电子化交易系统中按要求填写《响应函》完成承诺并进行电子签章。</w:t>
      </w:r>
    </w:p>
    <w:p>
      <w:pPr>
        <w:pStyle w:val="null3"/>
      </w:pPr>
      <w:r>
        <w:rPr/>
        <w:t>6、法定代表人（主要负责人）委托授权书\身份证明：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t>7、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t>8、非联合体磋商声明：提交非联合体形式参加本项目磋商的声明函。供应商需在项目电子化交易系统中按要求上传相应证明文件并进行电子签章。</w:t>
      </w:r>
    </w:p>
    <w:p>
      <w:pPr>
        <w:pStyle w:val="null3"/>
      </w:pPr>
      <w:r>
        <w:rPr/>
        <w:t>9、企业资质：具有交通运输主管部门颁发的有效期内的“公路工程综合甲级”工程试验检测机构资质，或“公路工程桥梁隧道工程专项”工程试验检测机构资质。同时需具有省级或以上主管部门颁发的有效期内的CMA计量认证证书。供应商需在项目电子化交易系统中按要求上传相应证明文件并进行电子签章。</w:t>
      </w:r>
    </w:p>
    <w:p>
      <w:pPr>
        <w:pStyle w:val="null3"/>
      </w:pPr>
      <w:r>
        <w:rPr/>
        <w:t>10、拟派项目负责人资质：具有相关专业高级工程师职称，同时需具有交通运输行政主管部门核发的桥梁隧道工程专业公路水运工程试验检测师证书。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西安市雁塔区城市管理和综合执法局</w:t>
      </w:r>
    </w:p>
    <w:p>
      <w:pPr>
        <w:pStyle w:val="null3"/>
      </w:pPr>
      <w:r>
        <w:rPr/>
        <w:t xml:space="preserve"> 地址： </w:t>
      </w:r>
      <w:r>
        <w:rPr/>
        <w:t>西安市雁塔区东仪路3号东仪厂院</w:t>
      </w:r>
    </w:p>
    <w:p>
      <w:pPr>
        <w:pStyle w:val="null3"/>
      </w:pPr>
      <w:r>
        <w:rPr/>
        <w:t xml:space="preserve"> 邮编： </w:t>
      </w:r>
      <w:r>
        <w:rPr/>
        <w:t>710065</w:t>
      </w:r>
    </w:p>
    <w:p>
      <w:pPr>
        <w:pStyle w:val="null3"/>
      </w:pPr>
      <w:r>
        <w:rPr/>
        <w:t xml:space="preserve"> 联系人： </w:t>
      </w:r>
      <w:r>
        <w:rPr/>
        <w:t>西安市雁塔区城市管理和综合执法局经办</w:t>
      </w:r>
    </w:p>
    <w:p>
      <w:pPr>
        <w:pStyle w:val="null3"/>
      </w:pPr>
      <w:r>
        <w:rPr/>
        <w:t xml:space="preserve"> 联系电话： </w:t>
      </w:r>
      <w:r>
        <w:rPr/>
        <w:t>13891896911</w:t>
      </w:r>
    </w:p>
    <w:p>
      <w:pPr>
        <w:pStyle w:val="null3"/>
        <w:outlineLvl w:val="3"/>
      </w:pPr>
      <w:r>
        <w:rPr>
          <w:sz w:val="24"/>
          <w:b/>
        </w:rPr>
        <w:t>代理机构：</w:t>
      </w:r>
      <w:r>
        <w:rPr>
          <w:sz w:val="24"/>
          <w:b/>
        </w:rPr>
        <w:t>陕西中仪项目管理有限公司</w:t>
      </w:r>
    </w:p>
    <w:p>
      <w:pPr>
        <w:pStyle w:val="null3"/>
      </w:pPr>
      <w:r>
        <w:rPr/>
        <w:t xml:space="preserve"> 地址： </w:t>
      </w:r>
      <w:r>
        <w:rPr/>
        <w:t>陕西省西安市雁塔区曲江池西路369号34幢101室</w:t>
      </w:r>
    </w:p>
    <w:p>
      <w:pPr>
        <w:pStyle w:val="null3"/>
      </w:pPr>
      <w:r>
        <w:rPr/>
        <w:t xml:space="preserve"> 邮编： </w:t>
      </w:r>
      <w:r>
        <w:rPr/>
        <w:t>710061</w:t>
      </w:r>
    </w:p>
    <w:p>
      <w:pPr>
        <w:pStyle w:val="null3"/>
      </w:pPr>
      <w:r>
        <w:rPr/>
        <w:t xml:space="preserve"> 联系人： </w:t>
      </w:r>
      <w:r>
        <w:rPr/>
        <w:t>范工</w:t>
      </w:r>
    </w:p>
    <w:p>
      <w:pPr>
        <w:pStyle w:val="null3"/>
      </w:pPr>
      <w:r>
        <w:rPr/>
        <w:t xml:space="preserve"> 联系电话： </w:t>
      </w:r>
      <w:r>
        <w:rPr/>
        <w:t>029-85500589</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颁发的《招标代理服务收费管理暂行办法》（计价格[2002]1980号）和国家发展改革委员会办公厅颁发的《关于招标代理服务收费有关问题的通知》（发改办价格[2003]857号）的有关规定执行。代理服务费不足伍仟元的按伍仟元收取。成交单位在领取成交通知书前，须向采购代理机构一次性支付代理服务费。 户名：陕西中仪项目管理有限公司 开户行：中国银行股份有限公司西安雁展路支行 账号：102496214855转账备注：（项目名称/项目编号）招标代理服务费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西安市雁塔区城市管理和综合执法局</w:t>
      </w:r>
      <w:r>
        <w:rPr/>
        <w:t>和</w:t>
      </w:r>
      <w:r>
        <w:rPr/>
        <w:t>陕西中仪项目管理有限公司</w:t>
      </w:r>
      <w:r>
        <w:rPr/>
        <w:t>享有。对磋商文件中供应商参加本次政府采购活动应当具备的条件，磋商项目技术、服务、商务及其他要求，评审细则及标准由</w:t>
      </w:r>
      <w:r>
        <w:rPr/>
        <w:t>西安市雁塔区城市管理和综合执法局</w:t>
      </w:r>
      <w:r>
        <w:rPr/>
        <w:t>负责解释。除上述磋商文件内容，其他内容由</w:t>
      </w:r>
      <w:r>
        <w:rPr/>
        <w:t>陕西中仪项目管理有限公司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陕西中仪项目管理有限公司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1、服务标准：所供的成果文件必须保证符合国家相关程序和相关规定。 2、所提供相关成果文件确保真实性、可靠性。 3、桥梁检测报告经验收合格后，正式移交。 4、验收中如发现桥梁检测工作质量不符合规定，应无偿补充完善，按要求重新编制检测报告，并经验收后移交。</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陕西中仪项目管理有限公司</w:t>
      </w:r>
      <w:r>
        <w:rPr/>
        <w:t xml:space="preserve"> 负责答复；供应商对除采购需求外的采购文件的询问、质疑由</w:t>
      </w:r>
      <w:r>
        <w:rPr/>
        <w:t>陕西中仪项目管理有限公司</w:t>
      </w:r>
      <w:r>
        <w:rPr/>
        <w:t xml:space="preserve"> 负责答复；供应商对采购过程、采购结果的询问、质疑由 </w:t>
      </w:r>
      <w:r>
        <w:rPr/>
        <w:t>陕西中仪项目管理有限公司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联系人：范工</w:t>
      </w:r>
    </w:p>
    <w:p>
      <w:pPr>
        <w:pStyle w:val="null3"/>
      </w:pPr>
      <w:r>
        <w:rPr/>
        <w:t>联系电话：029-85500589</w:t>
      </w:r>
    </w:p>
    <w:p>
      <w:pPr>
        <w:pStyle w:val="null3"/>
      </w:pPr>
      <w:r>
        <w:rPr/>
        <w:t>地址：陕西省西安市雁塔区曲江池西路369号34幢101室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根据《城市桥梁养护技术标准》（CJJ 99-2017）要求，对雁塔区辖区内29座桥梁进行检测。</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315,000.00</w:t>
      </w:r>
    </w:p>
    <w:p>
      <w:pPr>
        <w:pStyle w:val="null3"/>
      </w:pPr>
      <w:r>
        <w:rPr/>
        <w:t>采购包最高限价（元）: 315,000.00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2024年雁塔区29座桥梁常规性检测</w:t>
            </w:r>
          </w:p>
        </w:tc>
        <w:tc>
          <w:tcPr>
            <w:tcW w:type="dxa" w:w="831"/>
          </w:tcPr>
          <w:p>
            <w:pPr>
              <w:pStyle w:val="null3"/>
              <w:jc w:val="right"/>
            </w:pPr>
            <w:r>
              <w:rPr/>
              <w:t>1.00</w:t>
            </w:r>
          </w:p>
        </w:tc>
        <w:tc>
          <w:tcPr>
            <w:tcW w:type="dxa" w:w="831"/>
          </w:tcPr>
          <w:p>
            <w:pPr>
              <w:pStyle w:val="null3"/>
              <w:jc w:val="right"/>
            </w:pPr>
            <w:r>
              <w:rPr/>
              <w:t>315,000.00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标的名称：2024年雁塔区29座桥梁常规性检测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after="195"/>
              <w:jc w:val="left"/>
            </w:pPr>
            <w:r>
              <w:rPr/>
              <w:t>服务内容</w:t>
            </w:r>
          </w:p>
          <w:p>
            <w:pPr>
              <w:pStyle w:val="null3"/>
              <w:spacing w:after="195"/>
              <w:jc w:val="left"/>
            </w:pPr>
            <w:r>
              <w:rPr/>
              <w:t>依据《城市桥梁养护技术标准》（CJJ 99-2017）相关规定，对西安市雁塔区维护管理的29座桥梁进行常规性检测。检测桥梁列表见下表。</w:t>
            </w:r>
          </w:p>
          <w:tbl>
            <w:tblPr>
              <w:tblBorders>
                <w:top w:val="none" w:color="000000" w:sz="4"/>
                <w:left w:val="none" w:color="000000" w:sz="4"/>
                <w:bottom w:val="none" w:color="000000" w:sz="4"/>
                <w:right w:val="none" w:color="000000" w:sz="4"/>
                <w:insideH w:val="none"/>
                <w:insideV w:val="none"/>
              </w:tblBorders>
            </w:tblPr>
            <w:tblGrid>
              <w:gridCol w:w="304"/>
              <w:gridCol w:w="1162"/>
              <w:gridCol w:w="495"/>
              <w:gridCol w:w="590"/>
            </w:tblGrid>
            <w:tr>
              <w:tc>
                <w:tcPr>
                  <w:tcW w:type="dxa" w:w="3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序号</w:t>
                  </w:r>
                </w:p>
              </w:tc>
              <w:tc>
                <w:tcPr>
                  <w:tcW w:type="dxa" w:w="116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市政桥涵名称</w:t>
                  </w:r>
                </w:p>
              </w:tc>
              <w:tc>
                <w:tcPr>
                  <w:tcW w:type="dxa" w:w="4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所在位置</w:t>
                  </w:r>
                </w:p>
              </w:tc>
              <w:tc>
                <w:tcPr>
                  <w:tcW w:type="dxa" w:w="59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检测类别</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西沣一路跨皂河桥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车行桥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结构性检测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西沣二路跨皂河桥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车行桥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结构性检测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3</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文艺路南口人行天桥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4</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市人才市场人行天桥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5</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政法大学人行天桥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6</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邮电大学人行天桥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7</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外国语大学人行天桥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8</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音乐学院人行天桥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9</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兴善寺人行天桥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10</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小寨人行天桥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11</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西影路小学人行天桥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12</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石桥寨人行天桥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13</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陕师大人行天桥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14</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吉祥路永松路天桥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15</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公交五公司人行天桥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center"/>
                  </w:pPr>
                  <w:r>
                    <w:rPr>
                      <w:rFonts w:ascii="宋体" w:hAnsi="宋体" w:cs="宋体" w:eastAsia="宋体"/>
                      <w:sz w:val="18"/>
                    </w:rPr>
                    <w:t>16</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吉祥路人行天桥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17</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崇业路西口人行天桥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18</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交大医学院人行天桥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19</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西影路铁设院人行天桥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20</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民新路西口人行天桥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21</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西影路阳光小区人行天桥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22</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西安美院人行天桥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23</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吉祥路小学人行天桥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24</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含光路石油大学</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25</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电子广场人行天桥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26</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乐荟中心人行天桥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27</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纬零街明德路人行天桥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人行天桥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常规检测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28</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雁南二路电子正街高架桥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车行桥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结构性检测</w:t>
                  </w:r>
                </w:p>
              </w:tc>
            </w:tr>
            <w:tr>
              <w:tc>
                <w:tcPr>
                  <w:tcW w:type="dxa" w:w="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29</w:t>
                  </w:r>
                </w:p>
              </w:tc>
              <w:tc>
                <w:tcPr>
                  <w:tcW w:type="dxa" w:w="116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雁南二路东仪路高架桥</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车行桥</w:t>
                  </w:r>
                </w:p>
              </w:tc>
              <w:tc>
                <w:tcPr>
                  <w:tcW w:type="dxa" w:w="59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center"/>
                  </w:pPr>
                  <w:r>
                    <w:rPr>
                      <w:rFonts w:ascii="宋体" w:hAnsi="宋体" w:cs="宋体" w:eastAsia="宋体"/>
                      <w:sz w:val="18"/>
                    </w:rPr>
                    <w:t>结构性检测</w:t>
                  </w:r>
                </w:p>
              </w:tc>
            </w:tr>
          </w:tbl>
          <w:p/>
        </w:tc>
      </w:tr>
      <w:tr>
        <w:tc>
          <w:tcPr>
            <w:tcW w:type="dxa" w:w="2769"/>
          </w:tcPr>
          <w:p>
            <w:pPr>
              <w:pStyle w:val="null3"/>
            </w:pPr>
            <w:r>
              <w:rPr/>
              <w:t>★</w:t>
            </w:r>
          </w:p>
        </w:tc>
        <w:tc>
          <w:tcPr>
            <w:tcW w:type="dxa" w:w="2769"/>
          </w:tcPr>
          <w:p>
            <w:pPr>
              <w:pStyle w:val="null3"/>
            </w:pPr>
            <w:r>
              <w:rPr/>
              <w:t>2</w:t>
            </w:r>
          </w:p>
        </w:tc>
        <w:tc>
          <w:tcPr>
            <w:tcW w:type="dxa" w:w="2769"/>
          </w:tcPr>
          <w:p>
            <w:pPr>
              <w:pStyle w:val="null3"/>
              <w:spacing w:after="195"/>
              <w:jc w:val="left"/>
            </w:pPr>
            <w:r>
              <w:rPr/>
              <w:t>服务要求</w:t>
            </w:r>
          </w:p>
          <w:p>
            <w:pPr>
              <w:pStyle w:val="null3"/>
              <w:spacing w:after="195"/>
              <w:jc w:val="left"/>
            </w:pPr>
            <w:r>
              <w:rPr/>
              <w:t>1、结构定期检测与常规定期检测应严格按照《城市桥梁养护技术标准》（CJJ99-2017）要求进行。</w:t>
            </w:r>
          </w:p>
          <w:p>
            <w:pPr>
              <w:pStyle w:val="null3"/>
              <w:spacing w:after="195"/>
              <w:jc w:val="left"/>
            </w:pPr>
            <w:r>
              <w:rPr/>
              <w:t>2、桥梁常规定期检测主要工作内容及要求：</w:t>
            </w:r>
          </w:p>
          <w:p>
            <w:pPr>
              <w:pStyle w:val="null3"/>
              <w:spacing w:after="195"/>
              <w:ind w:firstLine="240"/>
              <w:jc w:val="left"/>
            </w:pPr>
            <w:r>
              <w:rPr/>
              <w:t>1）对照城市桥梁资料卡和设施量年报表现场校核城市桥梁的基本数据；</w:t>
            </w:r>
          </w:p>
          <w:p>
            <w:pPr>
              <w:pStyle w:val="null3"/>
              <w:spacing w:after="195"/>
              <w:ind w:firstLine="240"/>
              <w:jc w:val="left"/>
            </w:pPr>
            <w:r>
              <w:rPr/>
              <w:t>2）记录病害状况，实地判断损坏原因，估计维修范围和方案；</w:t>
            </w:r>
          </w:p>
          <w:p>
            <w:pPr>
              <w:pStyle w:val="null3"/>
              <w:spacing w:after="195"/>
              <w:ind w:firstLine="240"/>
              <w:jc w:val="left"/>
            </w:pPr>
            <w:r>
              <w:rPr/>
              <w:t>3）对难以判断其损坏程度和原因的构件，提出作特殊检测的建议；</w:t>
            </w:r>
          </w:p>
          <w:p>
            <w:pPr>
              <w:pStyle w:val="null3"/>
              <w:spacing w:after="195"/>
              <w:ind w:firstLine="240"/>
              <w:jc w:val="left"/>
            </w:pPr>
            <w:r>
              <w:rPr/>
              <w:t>4）对损坏严重、危及安全的城市桥梁，提出限载以致暂时限制交通的建议；</w:t>
            </w:r>
          </w:p>
          <w:p>
            <w:pPr>
              <w:pStyle w:val="null3"/>
              <w:spacing w:after="195"/>
              <w:ind w:firstLine="240"/>
              <w:jc w:val="left"/>
            </w:pPr>
            <w:r>
              <w:rPr/>
              <w:t>5）根据城市桥梁技术状况确定下次检测的时间；</w:t>
            </w:r>
          </w:p>
          <w:p>
            <w:pPr>
              <w:pStyle w:val="null3"/>
              <w:spacing w:after="195"/>
              <w:ind w:firstLine="240"/>
              <w:jc w:val="left"/>
            </w:pPr>
            <w:r>
              <w:rPr/>
              <w:t>6）常规定期检测的主要范围包括：桥面系、上部结构及下部结构；</w:t>
            </w:r>
          </w:p>
          <w:p>
            <w:pPr>
              <w:pStyle w:val="null3"/>
              <w:spacing w:after="195"/>
              <w:ind w:firstLine="240"/>
              <w:jc w:val="left"/>
            </w:pPr>
            <w:r>
              <w:rPr/>
              <w:t>7）根据常规定期检测的结果，进行桥梁技术状况的评估和分级。</w:t>
            </w:r>
          </w:p>
          <w:p>
            <w:pPr>
              <w:pStyle w:val="null3"/>
              <w:spacing w:after="195"/>
              <w:jc w:val="left"/>
            </w:pPr>
            <w:r>
              <w:rPr/>
              <w:t>3、桥梁结构定期检测主要工作内容及要求：</w:t>
            </w:r>
          </w:p>
          <w:p>
            <w:pPr>
              <w:pStyle w:val="null3"/>
              <w:spacing w:after="195"/>
              <w:ind w:firstLine="240"/>
              <w:jc w:val="left"/>
            </w:pPr>
            <w:r>
              <w:rPr/>
              <w:t>1）查阅历次检测报告和常规定期检测中提出的建议；</w:t>
            </w:r>
          </w:p>
          <w:p>
            <w:pPr>
              <w:pStyle w:val="null3"/>
              <w:spacing w:after="195"/>
              <w:ind w:firstLine="240"/>
              <w:jc w:val="left"/>
            </w:pPr>
            <w:r>
              <w:rPr/>
              <w:t>2）根据常规定期检测中桥梁状况评定结果，进行梁体线型、墩柱沉降及结构构件的检测；</w:t>
            </w:r>
          </w:p>
          <w:p>
            <w:pPr>
              <w:pStyle w:val="null3"/>
              <w:spacing w:after="195"/>
              <w:ind w:firstLine="240"/>
              <w:jc w:val="left"/>
            </w:pPr>
            <w:r>
              <w:rPr/>
              <w:t>3）通过材料试验检测确认材料特性、退化的程度和退化的性质；</w:t>
            </w:r>
          </w:p>
          <w:p>
            <w:pPr>
              <w:pStyle w:val="null3"/>
              <w:spacing w:after="195"/>
              <w:ind w:firstLine="240"/>
              <w:jc w:val="left"/>
            </w:pPr>
            <w:r>
              <w:rPr/>
              <w:t>4）对桥梁进行结构检算；</w:t>
            </w:r>
          </w:p>
          <w:p>
            <w:pPr>
              <w:pStyle w:val="null3"/>
              <w:spacing w:after="195"/>
              <w:ind w:firstLine="240"/>
              <w:jc w:val="left"/>
            </w:pPr>
            <w:r>
              <w:rPr/>
              <w:t>5）分析确定退化的原因，以及对结构性能和耐久性的影响；</w:t>
            </w:r>
          </w:p>
          <w:p>
            <w:pPr>
              <w:pStyle w:val="null3"/>
              <w:spacing w:after="195"/>
              <w:ind w:firstLine="240"/>
              <w:jc w:val="left"/>
            </w:pPr>
            <w:r>
              <w:rPr/>
              <w:t>6）对可能影响结构正常工作的构件，评价其在下一次检测之前的可能退化情况；如构件在下一次检测前可能失效，应立即报告桥梁养护管理部门；</w:t>
            </w:r>
          </w:p>
          <w:p>
            <w:pPr>
              <w:pStyle w:val="null3"/>
              <w:spacing w:after="195"/>
              <w:ind w:firstLine="240"/>
              <w:jc w:val="left"/>
            </w:pPr>
            <w:r>
              <w:rPr/>
              <w:t>7）通过综合检测评定，确定具有潜在退化可能或已处于退化状况的桥梁构件，提出相应的养护措施。</w:t>
            </w:r>
          </w:p>
          <w:p>
            <w:pPr>
              <w:pStyle w:val="null3"/>
              <w:spacing w:after="195"/>
              <w:jc w:val="left"/>
            </w:pPr>
            <w:r>
              <w:rPr/>
              <w:t>4、提交成果要求：检测成果为每座桥单独编制的桥梁检测报告。</w:t>
            </w:r>
          </w:p>
          <w:p>
            <w:pPr>
              <w:pStyle w:val="null3"/>
              <w:jc w:val="both"/>
            </w:pPr>
            <w:r>
              <w:rPr/>
              <w:t>5、完成检测相关业务后免费提供为期一年的7天*24小时应急保障服务。</w:t>
            </w:r>
          </w:p>
        </w:tc>
      </w:tr>
    </w:tbl>
    <w:p>
      <w:pPr>
        <w:pStyle w:val="null3"/>
        <w:outlineLvl w:val="2"/>
      </w:pPr>
      <w:r>
        <w:rPr>
          <w:sz w:val="28"/>
          <w:b/>
        </w:rPr>
        <w:t>3.2.3人员配置要求</w:t>
      </w:r>
    </w:p>
    <w:p>
      <w:pPr>
        <w:pStyle w:val="null3"/>
      </w:pPr>
      <w:r>
        <w:rPr/>
        <w:t>采购包1：</w:t>
      </w:r>
    </w:p>
    <w:p>
      <w:pPr>
        <w:pStyle w:val="null3"/>
      </w:pPr>
      <w:r>
        <w:rPr/>
        <w:t>满足实施本项目人员配置要求。</w:t>
      </w:r>
    </w:p>
    <w:p>
      <w:pPr>
        <w:pStyle w:val="null3"/>
        <w:outlineLvl w:val="2"/>
      </w:pPr>
      <w:r>
        <w:rPr>
          <w:sz w:val="28"/>
          <w:b/>
        </w:rPr>
        <w:t>3.2.4设施设备要求</w:t>
      </w:r>
    </w:p>
    <w:p>
      <w:pPr>
        <w:pStyle w:val="null3"/>
      </w:pPr>
      <w:r>
        <w:rPr/>
        <w:t>采购包1：</w:t>
      </w:r>
    </w:p>
    <w:p>
      <w:pPr>
        <w:pStyle w:val="null3"/>
      </w:pPr>
      <w:r>
        <w:rPr/>
        <w:t>满足实施本项目设施设备要求。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自合同签订之日起15日历天内完成检测工作并出具相关检测报告，具体各工作节点时限以采购人要求为准</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服务标准：所供的成果文件必须保证符合国家相关程序和相关规定。2、所提供相关成果文件确保真实性、可靠性。3、桥梁检测报告经验收合格后，正式移交。4、验收中如发现桥梁检测工作质量不符合规定，应无偿补充完善，按要求重新编制检测报告，并经验收后移交。</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检测单位向业主提供正式检测报告，检测工作全部完成，经甲方确认后</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执行。2、乙方履约延误。1）如乙方事先未征得甲方同意并得到甲方的谅解而单方面延迟交货，将按违约终止合同。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未提供服务的服务费用的百分之零点五（0.5%）计收，直至提供服务为止。误期赔偿费的最高限额为合同价格的百分之五（5%）。一旦达到误期赔偿费的最高限额，甲方可终止合同。3）违约终止合同：未按合同要求提供服务质量不能满足技术要求，甲方会同监督机构有权终止合同，对乙方违约行为进行追究，同时按政府采购法的有关规定进行相应的处罚。</w:t>
      </w:r>
    </w:p>
    <w:p>
      <w:pPr>
        <w:pStyle w:val="null3"/>
        <w:outlineLvl w:val="2"/>
      </w:pPr>
      <w:r>
        <w:rPr>
          <w:sz w:val="28"/>
          <w:b/>
        </w:rPr>
        <w:t>3.4其他要求</w:t>
      </w:r>
    </w:p>
    <w:p>
      <w:pPr>
        <w:pStyle w:val="null3"/>
      </w:pPr>
      <w:r>
        <w:rPr/>
        <w:t>成交供应商应向代理机构提交三份（一正二副）竞争性磋商响应文件纸质版，纸质版竞争性磋商响应文件应与电子化交易系统上传电子版一致。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2022或2023年度经审计的财务报告（需具有“二维码”赋码查验功能），②可提供截至响应文件提交截止日一年内银行出具的资信证明，③供应商注册时间截至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参与的供应商（联合体）服务全部由符合政策要求的中小微企业承接。项目所属行业为：其他未列明行业。划分标准： 从业人员300人以下的为中小微型企业。其中，从业人员100人及以上的为中型企业;从业人员10人及以上的为小型企业;从业人员10人以下的为微型企业。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2</w:t>
            </w:r>
          </w:p>
        </w:tc>
        <w:tc>
          <w:tcPr>
            <w:tcW w:type="dxa" w:w="2492"/>
          </w:tcPr>
          <w:p>
            <w:pPr>
              <w:pStyle w:val="null3"/>
            </w:pPr>
            <w:r>
              <w:rPr/>
              <w:t>社保资金缴纳证明</w:t>
            </w:r>
          </w:p>
        </w:tc>
        <w:tc>
          <w:tcPr>
            <w:tcW w:type="dxa" w:w="3322"/>
          </w:tcPr>
          <w:p>
            <w:pPr>
              <w:pStyle w:val="null3"/>
            </w:pPr>
            <w:r>
              <w:rPr/>
              <w:t>提交社保资金所属日期在竞争性磋商响应文件截止时间前一年内至少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税款所属日期在竞争性磋商响应文件截止时间前一年内至少一个月的纳税证明或完税证明，纳税证明或完税证明上应有代收机构或税务机关的公章或业务专用章。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4</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履约能力承诺</w:t>
            </w:r>
          </w:p>
        </w:tc>
        <w:tc>
          <w:tcPr>
            <w:tcW w:type="dxa" w:w="3322"/>
          </w:tcPr>
          <w:p>
            <w:pPr>
              <w:pStyle w:val="null3"/>
            </w:pPr>
            <w:r>
              <w:rPr/>
              <w:t>提交具有履行合同所必需的设备和专业技术能力的承诺。供应商需在项目电子化交易系统中按要求填写《响应函》完成承诺并进行电子签章。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法定代表人（主要负责人）委托授权书\身份证明</w:t>
            </w:r>
          </w:p>
        </w:tc>
        <w:tc>
          <w:tcPr>
            <w:tcW w:type="dxa" w:w="3322"/>
          </w:tcPr>
          <w:p>
            <w:pPr>
              <w:pStyle w:val="null3"/>
            </w:pPr>
            <w:r>
              <w:rPr/>
              <w:t>法定代表人（主要负责人）委托代理人参加投标时，应提供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7</w:t>
            </w:r>
          </w:p>
        </w:tc>
        <w:tc>
          <w:tcPr>
            <w:tcW w:type="dxa" w:w="2492"/>
          </w:tcPr>
          <w:p>
            <w:pPr>
              <w:pStyle w:val="null3"/>
            </w:pPr>
            <w:r>
              <w:rPr/>
              <w:t>信用记录查询结果</w:t>
            </w:r>
          </w:p>
        </w:tc>
        <w:tc>
          <w:tcPr>
            <w:tcW w:type="dxa" w:w="3322"/>
          </w:tcPr>
          <w:p>
            <w:pPr>
              <w:pStyle w:val="null3"/>
            </w:pPr>
            <w:r>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t>资格证明材料</w:t>
            </w:r>
          </w:p>
        </w:tc>
      </w:tr>
      <w:tr>
        <w:tc>
          <w:tcPr>
            <w:tcW w:type="dxa" w:w="831"/>
          </w:tcPr>
          <w:p>
            <w:pPr>
              <w:pStyle w:val="null3"/>
            </w:pPr>
            <w:r>
              <w:rPr/>
              <w:t>8</w:t>
            </w:r>
          </w:p>
        </w:tc>
        <w:tc>
          <w:tcPr>
            <w:tcW w:type="dxa" w:w="2492"/>
          </w:tcPr>
          <w:p>
            <w:pPr>
              <w:pStyle w:val="null3"/>
            </w:pPr>
            <w:r>
              <w:rPr/>
              <w:t>非联合体磋商声明</w:t>
            </w:r>
          </w:p>
        </w:tc>
        <w:tc>
          <w:tcPr>
            <w:tcW w:type="dxa" w:w="3322"/>
          </w:tcPr>
          <w:p>
            <w:pPr>
              <w:pStyle w:val="null3"/>
            </w:pPr>
            <w:r>
              <w:rPr/>
              <w:t>提交非联合体形式参加本项目磋商的声明函。供应商需在项目电子化交易系统中按要求上传相应证明文件并进行电子签章。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9</w:t>
            </w:r>
          </w:p>
        </w:tc>
        <w:tc>
          <w:tcPr>
            <w:tcW w:type="dxa" w:w="2492"/>
          </w:tcPr>
          <w:p>
            <w:pPr>
              <w:pStyle w:val="null3"/>
            </w:pPr>
            <w:r>
              <w:rPr/>
              <w:t>企业资质</w:t>
            </w:r>
          </w:p>
        </w:tc>
        <w:tc>
          <w:tcPr>
            <w:tcW w:type="dxa" w:w="3322"/>
          </w:tcPr>
          <w:p>
            <w:pPr>
              <w:pStyle w:val="null3"/>
            </w:pPr>
            <w:r>
              <w:rPr/>
              <w:t>具有交通运输主管部门颁发的有效期内的“公路工程综合甲级”工程试验检测机构资质，或“公路工程桥梁隧道工程专项”工程试验检测机构资质。同时需具有省级或以上主管部门颁发的有效期内的CMA计量认证证书。供应商需在项目电子化交易系统中按要求上传相应证明文件并进行电子签章。</w:t>
            </w:r>
          </w:p>
        </w:tc>
        <w:tc>
          <w:tcPr>
            <w:tcW w:type="dxa" w:w="1661"/>
          </w:tcPr>
          <w:p>
            <w:pPr>
              <w:pStyle w:val="null3"/>
            </w:pPr>
            <w:r>
              <w:rPr/>
              <w:t>资格证明材料</w:t>
            </w:r>
          </w:p>
        </w:tc>
      </w:tr>
      <w:tr>
        <w:tc>
          <w:tcPr>
            <w:tcW w:type="dxa" w:w="831"/>
          </w:tcPr>
          <w:p>
            <w:pPr>
              <w:pStyle w:val="null3"/>
            </w:pPr>
            <w:r>
              <w:rPr/>
              <w:t>10</w:t>
            </w:r>
          </w:p>
        </w:tc>
        <w:tc>
          <w:tcPr>
            <w:tcW w:type="dxa" w:w="2492"/>
          </w:tcPr>
          <w:p>
            <w:pPr>
              <w:pStyle w:val="null3"/>
            </w:pPr>
            <w:r>
              <w:rPr/>
              <w:t>拟派项目负责人资质</w:t>
            </w:r>
          </w:p>
        </w:tc>
        <w:tc>
          <w:tcPr>
            <w:tcW w:type="dxa" w:w="3322"/>
          </w:tcPr>
          <w:p>
            <w:pPr>
              <w:pStyle w:val="null3"/>
            </w:pPr>
            <w:r>
              <w:rPr/>
              <w:t>具有相关专业高级工程师职称，同时需具有交通运输行政主管部门核发的桥梁隧道工程专业公路水运工程试验检测师证书。供应商需在项目电子化交易系统中按要求上传相应证明文件并进行电子签章。</w:t>
            </w:r>
          </w:p>
        </w:tc>
        <w:tc>
          <w:tcPr>
            <w:tcW w:type="dxa" w:w="1661"/>
          </w:tcPr>
          <w:p>
            <w:pPr>
              <w:pStyle w:val="null3"/>
            </w:pPr>
            <w:r>
              <w:rPr/>
              <w:t>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费用明细表 标的清单 报价表</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资格证明材料 响应函</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供应商磋商有效期与法人授权书有效期一致且不少于90天。供应商需在项目电子化交易系统中按要求填写《响应函》完成承诺并进行电子签章。供应商需在项目电子化交易系统中按要求上传相应证明文件并进行电子签章。</w:t>
            </w:r>
          </w:p>
        </w:tc>
        <w:tc>
          <w:tcPr>
            <w:tcW w:type="dxa" w:w="1661"/>
          </w:tcPr>
          <w:p>
            <w:pPr>
              <w:pStyle w:val="null3"/>
            </w:pPr>
            <w:r>
              <w:rPr/>
              <w:t>资格证明材料 响应函</w:t>
            </w:r>
          </w:p>
        </w:tc>
      </w:tr>
      <w:tr>
        <w:tc>
          <w:tcPr>
            <w:tcW w:type="dxa" w:w="831"/>
          </w:tcPr>
          <w:p>
            <w:pPr>
              <w:pStyle w:val="null3"/>
            </w:pPr>
            <w:r>
              <w:rPr/>
              <w:t>4</w:t>
            </w:r>
          </w:p>
        </w:tc>
        <w:tc>
          <w:tcPr>
            <w:tcW w:type="dxa" w:w="2492"/>
          </w:tcPr>
          <w:p>
            <w:pPr>
              <w:pStyle w:val="null3"/>
            </w:pPr>
            <w:r>
              <w:rPr/>
              <w:t>响应有效性</w:t>
            </w:r>
          </w:p>
        </w:tc>
        <w:tc>
          <w:tcPr>
            <w:tcW w:type="dxa" w:w="3322"/>
          </w:tcPr>
          <w:p>
            <w:pPr>
              <w:pStyle w:val="null3"/>
            </w:pPr>
            <w:r>
              <w:rPr/>
              <w:t>磋商响应文件内容应全面响应磋商文件要求，且无未实质性响应及无效标的情形。</w:t>
            </w:r>
          </w:p>
        </w:tc>
        <w:tc>
          <w:tcPr>
            <w:tcW w:type="dxa" w:w="1661"/>
          </w:tcPr>
          <w:p>
            <w:pPr>
              <w:pStyle w:val="null3"/>
            </w:pPr>
            <w:r>
              <w:rPr/>
              <w:t>商务响应偏离表 供应商承诺书 合同条款响应偏离表</w:t>
            </w:r>
          </w:p>
        </w:tc>
      </w:tr>
      <w:tr>
        <w:tc>
          <w:tcPr>
            <w:tcW w:type="dxa" w:w="831"/>
          </w:tcPr>
          <w:p>
            <w:pPr>
              <w:pStyle w:val="null3"/>
            </w:pPr>
            <w:r>
              <w:rPr/>
              <w:t>5</w:t>
            </w:r>
          </w:p>
        </w:tc>
        <w:tc>
          <w:tcPr>
            <w:tcW w:type="dxa" w:w="2492"/>
          </w:tcPr>
          <w:p>
            <w:pPr>
              <w:pStyle w:val="null3"/>
            </w:pPr>
            <w:r>
              <w:rPr/>
              <w:t>报价唯一</w:t>
            </w:r>
          </w:p>
        </w:tc>
        <w:tc>
          <w:tcPr>
            <w:tcW w:type="dxa" w:w="3322"/>
          </w:tcPr>
          <w:p>
            <w:pPr>
              <w:pStyle w:val="null3"/>
            </w:pPr>
            <w:r>
              <w:rPr/>
              <w:t>只能有一个有效报价。</w:t>
            </w:r>
          </w:p>
        </w:tc>
        <w:tc>
          <w:tcPr>
            <w:tcW w:type="dxa" w:w="1661"/>
          </w:tcPr>
          <w:p>
            <w:pPr>
              <w:pStyle w:val="null3"/>
            </w:pPr>
            <w:r>
              <w:rPr/>
              <w:t>费用明细表 标的清单 报价表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供应商需在项目电子化交易系统中按要求填写《报价表》、《标的清单》并进行电子签章。</w:t>
            </w:r>
          </w:p>
        </w:tc>
        <w:tc>
          <w:tcPr>
            <w:tcW w:type="dxa" w:w="1661"/>
          </w:tcPr>
          <w:p>
            <w:pPr>
              <w:pStyle w:val="null3"/>
            </w:pPr>
            <w:r>
              <w:rPr/>
              <w:t>标的清单 报价表</w:t>
            </w:r>
          </w:p>
        </w:tc>
      </w:tr>
      <w:tr>
        <w:tc>
          <w:tcPr>
            <w:tcW w:type="dxa" w:w="831"/>
          </w:tcPr>
          <w:p>
            <w:pPr>
              <w:pStyle w:val="null3"/>
            </w:pPr>
            <w:r>
              <w:rPr/>
              <w:t>7</w:t>
            </w:r>
          </w:p>
        </w:tc>
        <w:tc>
          <w:tcPr>
            <w:tcW w:type="dxa" w:w="2492"/>
          </w:tcPr>
          <w:p>
            <w:pPr>
              <w:pStyle w:val="null3"/>
            </w:pPr>
            <w:r>
              <w:rPr/>
              <w:t>签字盖章</w:t>
            </w:r>
          </w:p>
        </w:tc>
        <w:tc>
          <w:tcPr>
            <w:tcW w:type="dxa" w:w="3322"/>
          </w:tcPr>
          <w:p>
            <w:pPr>
              <w:pStyle w:val="null3"/>
            </w:pPr>
            <w:r>
              <w:rPr/>
              <w:t>供应商需在项目电子化交易系统中按要求编制磋商响应文件并进行电子签章。</w:t>
            </w:r>
          </w:p>
        </w:tc>
        <w:tc>
          <w:tcPr>
            <w:tcW w:type="dxa" w:w="1661"/>
          </w:tcPr>
          <w:p>
            <w:pPr>
              <w:pStyle w:val="null3"/>
            </w:pPr>
            <w:r>
              <w:rPr/>
              <w:t>响应文件封面</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项目理解与整体工作思路</w:t>
            </w:r>
          </w:p>
        </w:tc>
        <w:tc>
          <w:tcPr>
            <w:tcW w:type="dxa" w:w="2492"/>
          </w:tcPr>
          <w:p>
            <w:pPr>
              <w:pStyle w:val="null3"/>
            </w:pPr>
            <w:r>
              <w:rPr/>
              <w:t>1.项目理解 5分 对项目的理解全面、深刻，得5分； 对项目的理解到位，较为全面，得4分 对项目的理解基本到位，得3分； 对项目的理解理解不到位，有偏差，得2分； 未提供相关内容，得0分。 2.整体工作思路 5分 整体工作思路清晰、逻辑性强，得5分； 对整体工作思路有较全面阐述，内容符合逻辑，得4分； 对整体工作思路有阐述与分析，但逻辑性不强，得3分； 整体工作思路不清晰，阐述简单，内容有欠缺之处，得2分； 未提供相关内容，得0分。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检测服务方案</w:t>
            </w:r>
          </w:p>
        </w:tc>
        <w:tc>
          <w:tcPr>
            <w:tcW w:type="dxa" w:w="2492"/>
          </w:tcPr>
          <w:p>
            <w:pPr>
              <w:pStyle w:val="null3"/>
            </w:pPr>
            <w:r>
              <w:rPr/>
              <w:t>1.桥梁常规定期检测方案：5分 针对服务要求“主要工作内容及要求”中各项内容的工作流程清晰、设计合理、问题分析全面，解决方案科学，得5分； 针对服务要求“主要工作内容及要求”中各项内容有工作流程、有问题分析，解决方案内容较丰富、合理，得4分； 方案笼统，针对“主要工作内容及要求”中每项内容的工作流程及问题分析不全面、有缺失，解决方案的阐述简单、基本合理，得3分； 方案笼统，虽有整体工作流程和问题分析，但无针对“主要工作内容及要求”中每项的细分内容，有解决方案但内容简单，部分内容合理性值得商榷，得2分； 未提供，得0分。 2.桥梁结构定期检测方案：5分 针对服务要求“主要工作内容及要求”中各项内容的工作流程清晰、设计合理、问题分析全面，解决方案科学，得5分； 针对服务要求“主要工作内容及要求”中各项内容有工作流程、有问题分析，解决方案内容较丰富、合理，得4分； 方案笼统，针对“主要工作内容及要求”中每项内容的工作流程及问题分析不全面、有缺失，解决方案阐述简单、基本合理，得3分； 方案笼统，虽有整体工作流程和问题分析，但无针对“主要工作内容及要求”中每项内容的细分，有解决方案但内容简单，部分内容合理性值得商榷，得2分；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服务成果文件交付执行方案</w:t>
            </w:r>
          </w:p>
        </w:tc>
        <w:tc>
          <w:tcPr>
            <w:tcW w:type="dxa" w:w="2492"/>
          </w:tcPr>
          <w:p>
            <w:pPr>
              <w:pStyle w:val="null3"/>
            </w:pPr>
            <w:r>
              <w:rPr/>
              <w:t>方案内容完善、条理清晰、切实可行、科学合理，得10分； 方案较细致、有条理，合理可行，得8分； 方案笼统、部分内容缺乏条理， 基本可行，得6分； 方案笼统，缺乏条理，可行性差，得3分； 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设备配置</w:t>
            </w:r>
          </w:p>
        </w:tc>
        <w:tc>
          <w:tcPr>
            <w:tcW w:type="dxa" w:w="2492"/>
          </w:tcPr>
          <w:p>
            <w:pPr>
              <w:pStyle w:val="null3"/>
            </w:pPr>
            <w:r>
              <w:rPr/>
              <w:t>配备设备种类、功能、数量完全满足项目需求及进度要求，针对每台设备有完整清晰的关于用途、功能、来源（自有、租借）的描述，相关证明材料（发票或租借协议等）完整，得10分； 配备设备种类、功能、数量满足项目需求及进度要求，针对每台设备有关于用途、功能、来源（自有、租借）的描述，有相关证明材料（发票或租借协议等）但有少量缺失，得8分； 配备设备种类、功能、数量基本满足项目需求及进度要求，针对每台设备有简单关于用途、功能、来源（自有、租借）的描述，部分证明材料（发票或租借协议等）缺失，得6分； 配备设备种类、功能、数量勉强满足项目需求及进度要求，无针对每台设备关于用途、功能、来源（自有、租借）的描述，大量证明材料（发票或租借协议等）缺失，得3分； 未提供相关内容的， 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安全及质量保证措施</w:t>
            </w:r>
          </w:p>
        </w:tc>
        <w:tc>
          <w:tcPr>
            <w:tcW w:type="dxa" w:w="2492"/>
          </w:tcPr>
          <w:p>
            <w:pPr>
              <w:pStyle w:val="null3"/>
            </w:pPr>
            <w:r>
              <w:rPr/>
              <w:t>1.安全保证措施：5分 安全管理制度健全，安全保证措施目标清晰、内容完整、科学合理、针对性及可操作性强，得5分； 安全管理制度较完备，安全保证措施内容合理，有较强的针对性及可操作性，得4分； 有安全管理制度，安全保证措施内容不全面，针对性及可操作性较弱，得3分； 无安全管理制度相关内容，安全保证措施内容简单，合理性差，针对性及可操作性差，得2分； 未提供相关内容，得0分。 2.质量保证措施：5分 质量管理制度健全，质量保证措施目标清晰、内容完整、科学合理、针对性及可操作性强，得5分； 质量管理制度较完备，质量保证措施内容合理，有较强的针对性及可操作性，得4分； 有质量管理制度，质量保证措施内容不全面，针对性及可操作性较弱，得3分； 无质量管理制度相关内容，质量保证措施内容简单，合理性差，针对性及可操作性差，得2分； 未提供相关内容，得0分。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进度计划</w:t>
            </w:r>
          </w:p>
        </w:tc>
        <w:tc>
          <w:tcPr>
            <w:tcW w:type="dxa" w:w="2492"/>
          </w:tcPr>
          <w:p>
            <w:pPr>
              <w:pStyle w:val="null3"/>
            </w:pPr>
            <w:r>
              <w:rPr/>
              <w:t>进度计划科学合理、逻辑性强，完全满足服务要求，得10分； 进度计划合理、符合逻辑、较好满足服务要求， 得8分； 进度计划合理性较差，基本满足服务要求， 得6分； 进度计划有缺陷，勉强满足服务要求，得3分； 未提供相关内容，得0分。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拟投入的项目团队人员情况</w:t>
            </w:r>
          </w:p>
        </w:tc>
        <w:tc>
          <w:tcPr>
            <w:tcW w:type="dxa" w:w="2492"/>
          </w:tcPr>
          <w:p>
            <w:pPr>
              <w:pStyle w:val="null3"/>
            </w:pPr>
            <w:r>
              <w:rPr/>
              <w:t>人员数量及配置科学合理，完全满足服务及进度要求，专业技术人员相关证明材料完整齐全，得10分； 人员数量及配置较为合理，能较好满足服务及进度要求，专业技术人员相关证明材料较为齐全，得8分； 人员数量及配置基本合理，能够满足服务及进度要求，专业技术人员相关证明材料有部分缺失，得6分； 人员数量及配置合理性差，勉强满足服务及进度要求，专业技术人员相关证明材料大量缺失，得3分； 未提供相关资料，得0分。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保密承诺及措施</w:t>
            </w:r>
          </w:p>
        </w:tc>
        <w:tc>
          <w:tcPr>
            <w:tcW w:type="dxa" w:w="2492"/>
          </w:tcPr>
          <w:p>
            <w:pPr>
              <w:pStyle w:val="null3"/>
            </w:pPr>
            <w:r>
              <w:rPr/>
              <w:t>1.保密承诺：4分 保密承诺内容详尽全面，合理得当，得4分； 保密承诺内容较为全面、合理，得3分； 保密承诺内容少，得2分 未提供承诺，得0分。 2.保密措施：4分 保密措施内容详尽全面，合理得当，得4分； 保密措施内容较为全面、合理，得3分； 保密措施内容少，得2分 未提供相关内容，得0分。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应急方案</w:t>
            </w:r>
          </w:p>
        </w:tc>
        <w:tc>
          <w:tcPr>
            <w:tcW w:type="dxa" w:w="2492"/>
          </w:tcPr>
          <w:p>
            <w:pPr>
              <w:pStyle w:val="null3"/>
            </w:pPr>
            <w:r>
              <w:rPr/>
              <w:t>有针对项目实施过程中的各类突发事件的应急措施。 方案科学合理，针对性及可行性强，得7分； 方案较为合理，具备针对性及可行性，得5分； 方案基本合理，针对性及可行性较差，得3分； 未提供相关内容，得0分。</w:t>
            </w:r>
          </w:p>
        </w:tc>
        <w:tc>
          <w:tcPr>
            <w:tcW w:type="dxa" w:w="831"/>
          </w:tcPr>
          <w:p>
            <w:pPr>
              <w:pStyle w:val="null3"/>
              <w:jc w:val="right"/>
            </w:pPr>
            <w:r>
              <w:rPr/>
              <w:t>7.0000</w:t>
            </w:r>
          </w:p>
        </w:tc>
        <w:tc>
          <w:tcPr>
            <w:tcW w:type="dxa" w:w="831"/>
          </w:tcPr>
          <w:p>
            <w:pPr>
              <w:pStyle w:val="null3"/>
            </w:pPr>
            <w:r>
              <w:rPr/>
              <w:t>主观</w:t>
            </w:r>
          </w:p>
        </w:tc>
        <w:tc>
          <w:tcPr>
            <w:tcW w:type="dxa" w:w="1661"/>
          </w:tcPr>
          <w:p>
            <w:pPr>
              <w:pStyle w:val="null3"/>
            </w:pPr>
            <w:r>
              <w:rPr/>
              <w:t>技术（服务）方案说明书</w:t>
            </w:r>
          </w:p>
          <w:p>
            <w:pPr>
              <w:pStyle w:val="null3"/>
            </w:pPr>
            <w:r>
              <w:rPr/>
              <w:t>其它资料</w:t>
            </w:r>
          </w:p>
        </w:tc>
      </w:tr>
      <w:tr>
        <w:tc>
          <w:tcPr>
            <w:tcW w:type="dxa" w:w="831"/>
            <w:vMerge/>
          </w:tcPr>
          <w:p/>
        </w:tc>
        <w:tc>
          <w:tcPr>
            <w:tcW w:type="dxa" w:w="1661"/>
          </w:tcPr>
          <w:p>
            <w:pPr>
              <w:pStyle w:val="null3"/>
            </w:pPr>
            <w:r>
              <w:rPr/>
              <w:t>业绩</w:t>
            </w:r>
          </w:p>
        </w:tc>
        <w:tc>
          <w:tcPr>
            <w:tcW w:type="dxa" w:w="2492"/>
          </w:tcPr>
          <w:p>
            <w:pPr>
              <w:pStyle w:val="null3"/>
            </w:pPr>
            <w:r>
              <w:rPr/>
              <w:t>供应商2021年9月至今同类项目业绩；每提供1份计1分，最高得5分。 业绩证明（以合同或中标/成交通知书为准，须在磋商响应文件中附以上证明材料的扫描件加盖单位公章，日期认定以合同或中标/成交通知书签署日期为准）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技术（服务）方案说明书</w:t>
            </w:r>
          </w:p>
          <w:p>
            <w:pPr>
              <w:pStyle w:val="null3"/>
            </w:pPr>
            <w:r>
              <w:rPr/>
              <w:t>其它资料</w:t>
            </w:r>
          </w:p>
        </w:tc>
      </w:tr>
      <w:tr>
        <w:tc>
          <w:tcPr>
            <w:tcW w:type="dxa" w:w="831"/>
          </w:tcPr>
          <w:p>
            <w:pPr>
              <w:pStyle w:val="null3"/>
            </w:pPr>
            <w:r>
              <w:rPr/>
              <w:t>价格分</w:t>
            </w:r>
          </w:p>
        </w:tc>
        <w:tc>
          <w:tcPr>
            <w:tcW w:type="dxa" w:w="1661"/>
          </w:tcPr>
          <w:p>
            <w:pPr>
              <w:pStyle w:val="null3"/>
            </w:pPr>
            <w:r>
              <w:rPr/>
              <w:t>投标价格得分</w:t>
            </w:r>
          </w:p>
        </w:tc>
        <w:tc>
          <w:tcPr>
            <w:tcW w:type="dxa" w:w="2492"/>
          </w:tcPr>
          <w:p>
            <w:pPr>
              <w:pStyle w:val="null3"/>
            </w:pPr>
            <w:r>
              <w:rPr/>
              <w:t>价格分采用低价优先法计算，即满足磋商文件要求且磋商报价最低的供应商的价格为磋商基准价，其价格分为满分。其他供应商的价格分统一按照下列公式计算：磋商报价得分=磋商基准价/磋商报价*100%*10。 价格分计算：四舍五入，保留两位小数。</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费用明细表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详见附件：费用明细表</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详见附件：供应商承诺书</w:t>
      </w:r>
    </w:p>
    <w:p>
      <w:pPr>
        <w:pStyle w:val="null3"/>
        <w:ind w:firstLine="960"/>
      </w:pPr>
      <w:r>
        <w:rPr/>
        <w:t>详见附件：资格证明材料</w:t>
      </w:r>
    </w:p>
    <w:p>
      <w:pPr>
        <w:pStyle w:val="null3"/>
        <w:ind w:firstLine="960"/>
      </w:pPr>
      <w:r>
        <w:rPr/>
        <w:t>详见附件：技术（服务）方案说明书</w:t>
      </w:r>
    </w:p>
    <w:p>
      <w:pPr>
        <w:pStyle w:val="null3"/>
        <w:ind w:firstLine="960"/>
      </w:pPr>
      <w:r>
        <w:rPr/>
        <w:t>详见附件：商务响应偏离表</w:t>
      </w:r>
    </w:p>
    <w:p>
      <w:pPr>
        <w:pStyle w:val="null3"/>
        <w:ind w:firstLine="960"/>
      </w:pPr>
      <w:r>
        <w:rPr/>
        <w:t>详见附件：合同条款响应偏离表</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