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16858D">
      <w:pPr>
        <w:spacing w:line="360" w:lineRule="auto"/>
        <w:ind w:left="1080" w:leftChars="257" w:hanging="540"/>
        <w:jc w:val="center"/>
        <w:outlineLvl w:val="0"/>
        <w:rPr>
          <w:rFonts w:ascii="仿宋" w:hAnsi="仿宋" w:eastAsia="仿宋"/>
          <w:sz w:val="32"/>
          <w:szCs w:val="32"/>
          <w:highlight w:val="none"/>
        </w:rPr>
      </w:pPr>
      <w:bookmarkStart w:id="0" w:name="_Toc6865"/>
      <w:bookmarkStart w:id="1" w:name="_Toc515647833"/>
      <w:bookmarkStart w:id="2" w:name="_Toc532044541"/>
      <w:bookmarkStart w:id="3" w:name="_Toc532473757"/>
      <w:bookmarkStart w:id="4" w:name="_Toc4796"/>
      <w:bookmarkStart w:id="5" w:name="_Toc138593910"/>
      <w:r>
        <w:rPr>
          <w:rStyle w:val="10"/>
          <w:rFonts w:ascii="仿宋" w:hAnsi="仿宋" w:eastAsia="仿宋"/>
          <w:szCs w:val="32"/>
          <w:highlight w:val="none"/>
        </w:rPr>
        <w:t>拟签订</w:t>
      </w:r>
      <w:r>
        <w:rPr>
          <w:rStyle w:val="10"/>
          <w:rFonts w:hint="eastAsia" w:ascii="仿宋" w:hAnsi="仿宋" w:eastAsia="仿宋"/>
          <w:szCs w:val="32"/>
          <w:highlight w:val="none"/>
          <w:lang w:val="en-US" w:eastAsia="zh-CN"/>
        </w:rPr>
        <w:t>采购</w:t>
      </w:r>
      <w:r>
        <w:rPr>
          <w:rStyle w:val="10"/>
          <w:rFonts w:ascii="仿宋" w:hAnsi="仿宋" w:eastAsia="仿宋"/>
          <w:szCs w:val="32"/>
          <w:highlight w:val="none"/>
        </w:rPr>
        <w:t>合同</w:t>
      </w:r>
      <w:bookmarkEnd w:id="0"/>
      <w:bookmarkEnd w:id="1"/>
      <w:bookmarkEnd w:id="2"/>
      <w:bookmarkEnd w:id="3"/>
      <w:bookmarkEnd w:id="4"/>
      <w:bookmarkStart w:id="6" w:name="_Hlt487972895"/>
      <w:bookmarkEnd w:id="6"/>
      <w:bookmarkStart w:id="7" w:name="_Toc216513788"/>
      <w:bookmarkStart w:id="8" w:name="_Toc487900382"/>
      <w:r>
        <w:rPr>
          <w:rStyle w:val="10"/>
          <w:rFonts w:ascii="仿宋" w:hAnsi="仿宋" w:eastAsia="仿宋"/>
          <w:szCs w:val="32"/>
          <w:highlight w:val="none"/>
        </w:rPr>
        <w:t>文本</w:t>
      </w:r>
      <w:bookmarkEnd w:id="5"/>
    </w:p>
    <w:bookmarkEnd w:id="7"/>
    <w:bookmarkEnd w:id="8"/>
    <w:p w14:paraId="59328731">
      <w:pPr>
        <w:tabs>
          <w:tab w:val="left" w:pos="735"/>
        </w:tabs>
        <w:autoSpaceDE w:val="0"/>
        <w:autoSpaceDN w:val="0"/>
        <w:adjustRightInd w:val="0"/>
        <w:snapToGrid w:val="0"/>
        <w:spacing w:before="312" w:beforeLines="100" w:line="360" w:lineRule="auto"/>
        <w:rPr>
          <w:rFonts w:hint="default" w:ascii="仿宋" w:hAnsi="仿宋" w:eastAsia="仿宋" w:cs="仿宋_GB2312"/>
          <w:sz w:val="24"/>
          <w:highlight w:val="none"/>
          <w:lang w:val="en-US" w:eastAsia="zh-CN"/>
        </w:rPr>
      </w:pPr>
      <w:r>
        <w:rPr>
          <w:rFonts w:hint="eastAsia" w:ascii="仿宋" w:hAnsi="仿宋" w:eastAsia="仿宋" w:cs="仿宋_GB2312"/>
          <w:sz w:val="24"/>
          <w:highlight w:val="none"/>
          <w:lang w:val="zh-CN"/>
        </w:rPr>
        <w:t>甲方：西安市雁塔区城市管理和综合执法局</w:t>
      </w:r>
    </w:p>
    <w:p w14:paraId="5909E101">
      <w:pPr>
        <w:tabs>
          <w:tab w:val="left" w:pos="735"/>
        </w:tabs>
        <w:autoSpaceDE w:val="0"/>
        <w:autoSpaceDN w:val="0"/>
        <w:adjustRightInd w:val="0"/>
        <w:snapToGrid w:val="0"/>
        <w:spacing w:line="360" w:lineRule="auto"/>
        <w:rPr>
          <w:rFonts w:hint="eastAsia" w:ascii="仿宋" w:hAnsi="仿宋" w:eastAsia="仿宋" w:cs="仿宋_GB2312"/>
          <w:bCs/>
          <w:sz w:val="24"/>
          <w:highlight w:val="none"/>
          <w:lang w:val="zh-CN"/>
        </w:rPr>
      </w:pPr>
      <w:r>
        <w:rPr>
          <w:rFonts w:hint="eastAsia" w:ascii="仿宋" w:hAnsi="仿宋" w:eastAsia="仿宋" w:cs="仿宋_GB2312"/>
          <w:sz w:val="24"/>
          <w:highlight w:val="none"/>
          <w:lang w:val="zh-CN"/>
        </w:rPr>
        <w:t>乙方：</w:t>
      </w:r>
      <w:r>
        <w:rPr>
          <w:rFonts w:hint="eastAsia" w:ascii="仿宋" w:hAnsi="仿宋" w:eastAsia="仿宋" w:cs="仿宋_GB2312"/>
          <w:bCs/>
          <w:sz w:val="24"/>
          <w:highlight w:val="none"/>
          <w:lang w:val="zh-CN"/>
        </w:rPr>
        <w:t xml:space="preserve">   </w:t>
      </w:r>
    </w:p>
    <w:p w14:paraId="42774D4C">
      <w:pPr>
        <w:spacing w:line="0" w:lineRule="atLeast"/>
        <w:rPr>
          <w:rFonts w:hint="eastAsia" w:ascii="仿宋" w:hAnsi="仿宋" w:eastAsia="仿宋" w:cs="仿宋_GB2312"/>
          <w:sz w:val="24"/>
          <w:highlight w:val="none"/>
        </w:rPr>
      </w:pPr>
    </w:p>
    <w:p w14:paraId="3FD9DCA4">
      <w:pPr>
        <w:spacing w:line="360" w:lineRule="auto"/>
        <w:ind w:firstLine="480" w:firstLineChars="200"/>
        <w:rPr>
          <w:rFonts w:hint="eastAsia" w:ascii="仿宋" w:hAnsi="仿宋" w:eastAsia="仿宋" w:cs="仿宋_GB2312"/>
          <w:sz w:val="24"/>
          <w:highlight w:val="none"/>
          <w:lang w:val="zh-CN"/>
        </w:rPr>
      </w:pPr>
      <w:r>
        <w:rPr>
          <w:rFonts w:hint="eastAsia" w:ascii="仿宋" w:hAnsi="仿宋" w:eastAsia="仿宋" w:cs="仿宋_GB2312"/>
          <w:sz w:val="24"/>
          <w:highlight w:val="none"/>
          <w:lang w:val="zh-CN"/>
        </w:rPr>
        <w:t>甲乙双方现就</w:t>
      </w:r>
      <w:r>
        <w:rPr>
          <w:rFonts w:hint="eastAsia" w:ascii="仿宋" w:hAnsi="仿宋" w:eastAsia="仿宋" w:cs="仿宋_GB2312"/>
          <w:sz w:val="24"/>
          <w:highlight w:val="none"/>
          <w:u w:val="single"/>
          <w:lang w:val="en-US" w:eastAsia="zh-CN"/>
        </w:rPr>
        <w:t xml:space="preserve"> 2024年雁塔区29座桥梁常规性检测 </w:t>
      </w:r>
      <w:r>
        <w:rPr>
          <w:rFonts w:hint="eastAsia" w:ascii="仿宋" w:hAnsi="仿宋" w:eastAsia="仿宋" w:cs="仿宋_GB2312"/>
          <w:sz w:val="24"/>
          <w:highlight w:val="none"/>
          <w:lang w:val="en-US" w:eastAsia="zh-CN"/>
        </w:rPr>
        <w:t>项目</w:t>
      </w:r>
      <w:r>
        <w:rPr>
          <w:rFonts w:hint="eastAsia" w:ascii="仿宋" w:hAnsi="仿宋" w:eastAsia="仿宋" w:cs="仿宋_GB2312"/>
          <w:sz w:val="24"/>
          <w:highlight w:val="none"/>
          <w:lang w:val="zh-CN"/>
        </w:rPr>
        <w:t>相关事宜达成一致意见。现依据《中华人民共和国民法典》、《中华人民共和国政府采购法》等法律法规之规定，本着合作互利、平等自愿的原则，甲乙双方订立本合同，以资共同遵守：</w:t>
      </w:r>
    </w:p>
    <w:p w14:paraId="17B972FB">
      <w:pPr>
        <w:numPr>
          <w:ilvl w:val="0"/>
          <w:numId w:val="1"/>
        </w:numPr>
        <w:suppressAutoHyphens/>
        <w:spacing w:line="360" w:lineRule="auto"/>
        <w:ind w:firstLine="472" w:firstLineChars="196"/>
        <w:rPr>
          <w:rFonts w:hint="eastAsia" w:ascii="仿宋" w:hAnsi="仿宋" w:eastAsia="仿宋" w:cs="仿宋_GB2312"/>
          <w:b/>
          <w:bCs/>
          <w:sz w:val="24"/>
          <w:highlight w:val="none"/>
        </w:rPr>
      </w:pPr>
      <w:r>
        <w:rPr>
          <w:rFonts w:hint="eastAsia" w:ascii="仿宋" w:hAnsi="仿宋" w:eastAsia="仿宋" w:cs="仿宋_GB2312"/>
          <w:b/>
          <w:bCs/>
          <w:sz w:val="24"/>
          <w:highlight w:val="none"/>
        </w:rPr>
        <w:t>服务范围</w:t>
      </w:r>
    </w:p>
    <w:p w14:paraId="1568A7E6">
      <w:pPr>
        <w:spacing w:line="360" w:lineRule="auto"/>
        <w:ind w:firstLine="480"/>
        <w:rPr>
          <w:rFonts w:hint="eastAsia" w:ascii="仿宋" w:hAnsi="仿宋" w:eastAsia="仿宋" w:cs="仿宋_GB2312"/>
          <w:sz w:val="24"/>
          <w:highlight w:val="none"/>
        </w:rPr>
      </w:pPr>
      <w:r>
        <w:rPr>
          <w:rFonts w:hint="eastAsia" w:ascii="仿宋" w:hAnsi="仿宋" w:eastAsia="仿宋" w:cs="仿宋_GB2312"/>
          <w:sz w:val="24"/>
          <w:highlight w:val="none"/>
        </w:rPr>
        <w:t>根据《城市桥梁养护技术标准》（CJJ  99-2017）要求，对雁塔区辖区内29座桥梁进行检测。</w:t>
      </w:r>
    </w:p>
    <w:p w14:paraId="72D20C30">
      <w:pPr>
        <w:numPr>
          <w:ilvl w:val="0"/>
          <w:numId w:val="1"/>
        </w:numPr>
        <w:suppressAutoHyphens/>
        <w:spacing w:line="360" w:lineRule="auto"/>
        <w:ind w:firstLine="472" w:firstLineChars="196"/>
        <w:rPr>
          <w:rFonts w:hint="eastAsia" w:ascii="仿宋" w:hAnsi="仿宋" w:eastAsia="仿宋" w:cs="仿宋_GB2312"/>
          <w:b/>
          <w:bCs/>
          <w:sz w:val="24"/>
          <w:highlight w:val="none"/>
        </w:rPr>
      </w:pPr>
      <w:r>
        <w:rPr>
          <w:rFonts w:hint="eastAsia" w:ascii="仿宋" w:hAnsi="仿宋" w:eastAsia="仿宋" w:cs="仿宋_GB2312"/>
          <w:b/>
          <w:bCs/>
          <w:sz w:val="24"/>
          <w:highlight w:val="none"/>
        </w:rPr>
        <w:t>服务期限</w:t>
      </w:r>
    </w:p>
    <w:p w14:paraId="3920307D">
      <w:pPr>
        <w:spacing w:line="360" w:lineRule="auto"/>
        <w:ind w:left="412" w:leftChars="196"/>
        <w:rPr>
          <w:rFonts w:hint="eastAsia" w:ascii="仿宋" w:hAnsi="仿宋" w:eastAsia="仿宋" w:cs="仿宋_GB2312"/>
          <w:sz w:val="24"/>
          <w:highlight w:val="none"/>
        </w:rPr>
      </w:pPr>
      <w:r>
        <w:rPr>
          <w:rFonts w:hint="eastAsia" w:ascii="仿宋" w:hAnsi="仿宋" w:eastAsia="仿宋" w:cs="仿宋_GB2312"/>
          <w:sz w:val="24"/>
          <w:highlight w:val="none"/>
        </w:rPr>
        <w:t>服务期限为</w:t>
      </w:r>
      <w:r>
        <w:rPr>
          <w:rFonts w:hint="eastAsia" w:ascii="仿宋" w:hAnsi="仿宋" w:eastAsia="仿宋" w:cs="仿宋_GB2312"/>
          <w:sz w:val="24"/>
          <w:highlight w:val="none"/>
          <w:u w:val="single"/>
          <w:lang w:val="en-US" w:eastAsia="zh-CN"/>
        </w:rPr>
        <w:t xml:space="preserve">         </w:t>
      </w:r>
      <w:r>
        <w:rPr>
          <w:rFonts w:hint="eastAsia" w:ascii="仿宋" w:hAnsi="仿宋" w:eastAsia="仿宋" w:cs="仿宋_GB2312"/>
          <w:sz w:val="24"/>
          <w:highlight w:val="none"/>
        </w:rPr>
        <w:t>。</w:t>
      </w:r>
    </w:p>
    <w:p w14:paraId="0E7E0025">
      <w:pPr>
        <w:spacing w:line="360" w:lineRule="auto"/>
        <w:ind w:firstLine="482" w:firstLineChars="200"/>
        <w:rPr>
          <w:rFonts w:hint="eastAsia" w:ascii="仿宋" w:hAnsi="仿宋" w:eastAsia="仿宋" w:cs="仿宋_GB2312"/>
          <w:b/>
          <w:bCs/>
          <w:sz w:val="24"/>
          <w:highlight w:val="none"/>
        </w:rPr>
      </w:pPr>
      <w:r>
        <w:rPr>
          <w:rFonts w:hint="eastAsia" w:ascii="仿宋" w:hAnsi="仿宋" w:eastAsia="仿宋" w:cs="仿宋_GB2312"/>
          <w:b/>
          <w:bCs/>
          <w:sz w:val="24"/>
          <w:highlight w:val="none"/>
        </w:rPr>
        <w:t>第三条 服务内容</w:t>
      </w:r>
    </w:p>
    <w:p w14:paraId="70417D39">
      <w:pPr>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2024年雁塔区29座桥梁常规性检测包含桥梁常规定期检测</w:t>
      </w:r>
      <w:r>
        <w:rPr>
          <w:rFonts w:hint="eastAsia" w:ascii="仿宋" w:hAnsi="仿宋" w:eastAsia="仿宋" w:cs="仿宋_GB2312"/>
          <w:sz w:val="24"/>
          <w:highlight w:val="none"/>
          <w:lang w:eastAsia="zh-CN"/>
        </w:rPr>
        <w:t>、桥梁结构定期检测，</w:t>
      </w:r>
      <w:r>
        <w:rPr>
          <w:rFonts w:hint="eastAsia" w:ascii="仿宋" w:hAnsi="仿宋" w:eastAsia="仿宋" w:cs="仿宋_GB2312"/>
          <w:sz w:val="24"/>
          <w:highlight w:val="none"/>
        </w:rPr>
        <w:t>具体工作内容如下：</w:t>
      </w:r>
    </w:p>
    <w:p w14:paraId="4C4CA9CD">
      <w:pPr>
        <w:spacing w:line="360" w:lineRule="auto"/>
        <w:ind w:firstLine="480" w:firstLineChars="200"/>
        <w:rPr>
          <w:rFonts w:hint="default" w:ascii="仿宋" w:hAnsi="仿宋" w:eastAsia="仿宋" w:cs="仿宋_GB2312"/>
          <w:sz w:val="24"/>
          <w:highlight w:val="none"/>
          <w:u w:val="single"/>
          <w:lang w:val="en-US" w:eastAsia="zh-CN"/>
        </w:rPr>
      </w:pPr>
      <w:r>
        <w:rPr>
          <w:rFonts w:hint="eastAsia" w:ascii="仿宋" w:hAnsi="仿宋" w:eastAsia="仿宋" w:cs="仿宋_GB2312"/>
          <w:sz w:val="24"/>
          <w:highlight w:val="none"/>
          <w:u w:val="single"/>
          <w:lang w:val="en-US" w:eastAsia="zh-CN"/>
        </w:rPr>
        <w:t xml:space="preserve">                                                             </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7"/>
        <w:gridCol w:w="1547"/>
        <w:gridCol w:w="1548"/>
        <w:gridCol w:w="1548"/>
        <w:gridCol w:w="1548"/>
        <w:gridCol w:w="1548"/>
      </w:tblGrid>
      <w:tr w14:paraId="5E792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47" w:type="dxa"/>
            <w:noWrap w:val="0"/>
            <w:vAlign w:val="top"/>
          </w:tcPr>
          <w:p w14:paraId="2B56798F">
            <w:pPr>
              <w:pStyle w:val="4"/>
              <w:jc w:val="center"/>
              <w:rPr>
                <w:rFonts w:hint="eastAsia" w:ascii="仿宋" w:hAnsi="仿宋" w:eastAsia="仿宋" w:cs="仿宋_GB2312"/>
                <w:sz w:val="21"/>
                <w:szCs w:val="21"/>
                <w:highlight w:val="none"/>
                <w:vertAlign w:val="baseline"/>
                <w:lang w:eastAsia="zh-CN"/>
              </w:rPr>
            </w:pPr>
            <w:r>
              <w:rPr>
                <w:rFonts w:hint="eastAsia" w:ascii="仿宋" w:hAnsi="仿宋" w:eastAsia="仿宋" w:cs="仿宋_GB2312"/>
                <w:sz w:val="21"/>
                <w:szCs w:val="21"/>
                <w:highlight w:val="none"/>
                <w:vertAlign w:val="baseline"/>
                <w:lang w:eastAsia="zh-CN"/>
              </w:rPr>
              <w:t>序号</w:t>
            </w:r>
          </w:p>
        </w:tc>
        <w:tc>
          <w:tcPr>
            <w:tcW w:w="1547" w:type="dxa"/>
            <w:noWrap w:val="0"/>
            <w:vAlign w:val="top"/>
          </w:tcPr>
          <w:p w14:paraId="4C338F4C">
            <w:pPr>
              <w:pStyle w:val="4"/>
              <w:jc w:val="center"/>
              <w:rPr>
                <w:rFonts w:hint="eastAsia" w:ascii="仿宋" w:hAnsi="仿宋" w:eastAsia="仿宋" w:cs="仿宋_GB2312"/>
                <w:sz w:val="21"/>
                <w:szCs w:val="21"/>
                <w:highlight w:val="none"/>
                <w:vertAlign w:val="baseline"/>
                <w:lang w:eastAsia="zh-CN"/>
              </w:rPr>
            </w:pPr>
            <w:r>
              <w:rPr>
                <w:rFonts w:hint="eastAsia" w:ascii="仿宋" w:hAnsi="仿宋" w:eastAsia="仿宋" w:cs="仿宋_GB2312"/>
                <w:sz w:val="21"/>
                <w:szCs w:val="21"/>
                <w:highlight w:val="none"/>
                <w:vertAlign w:val="baseline"/>
                <w:lang w:eastAsia="zh-CN"/>
              </w:rPr>
              <w:t>服务对象</w:t>
            </w:r>
          </w:p>
        </w:tc>
        <w:tc>
          <w:tcPr>
            <w:tcW w:w="1548" w:type="dxa"/>
            <w:noWrap w:val="0"/>
            <w:vAlign w:val="top"/>
          </w:tcPr>
          <w:p w14:paraId="6E26FE39">
            <w:pPr>
              <w:pStyle w:val="4"/>
              <w:jc w:val="center"/>
              <w:rPr>
                <w:rFonts w:hint="eastAsia" w:ascii="仿宋" w:hAnsi="仿宋" w:eastAsia="仿宋" w:cs="仿宋_GB2312"/>
                <w:sz w:val="21"/>
                <w:szCs w:val="21"/>
                <w:highlight w:val="none"/>
                <w:vertAlign w:val="baseline"/>
                <w:lang w:eastAsia="zh-CN"/>
              </w:rPr>
            </w:pPr>
            <w:r>
              <w:rPr>
                <w:rFonts w:hint="eastAsia" w:ascii="仿宋" w:hAnsi="仿宋" w:eastAsia="仿宋" w:cs="仿宋_GB2312"/>
                <w:sz w:val="21"/>
                <w:szCs w:val="21"/>
                <w:highlight w:val="none"/>
                <w:vertAlign w:val="baseline"/>
                <w:lang w:eastAsia="zh-CN"/>
              </w:rPr>
              <w:t>服务内容</w:t>
            </w:r>
          </w:p>
        </w:tc>
        <w:tc>
          <w:tcPr>
            <w:tcW w:w="1548" w:type="dxa"/>
            <w:noWrap w:val="0"/>
            <w:vAlign w:val="top"/>
          </w:tcPr>
          <w:p w14:paraId="1DFF8F48">
            <w:pPr>
              <w:pStyle w:val="4"/>
              <w:jc w:val="center"/>
              <w:rPr>
                <w:rFonts w:hint="eastAsia" w:ascii="仿宋" w:hAnsi="仿宋" w:eastAsia="仿宋" w:cs="仿宋_GB2312"/>
                <w:sz w:val="21"/>
                <w:szCs w:val="21"/>
                <w:highlight w:val="none"/>
                <w:vertAlign w:val="baseline"/>
                <w:lang w:eastAsia="zh-CN"/>
              </w:rPr>
            </w:pPr>
            <w:r>
              <w:rPr>
                <w:rFonts w:hint="eastAsia" w:ascii="仿宋" w:hAnsi="仿宋" w:eastAsia="仿宋" w:cs="仿宋_GB2312"/>
                <w:sz w:val="21"/>
                <w:szCs w:val="21"/>
                <w:highlight w:val="none"/>
                <w:vertAlign w:val="baseline"/>
                <w:lang w:eastAsia="zh-CN"/>
              </w:rPr>
              <w:t>单位</w:t>
            </w:r>
          </w:p>
        </w:tc>
        <w:tc>
          <w:tcPr>
            <w:tcW w:w="1548" w:type="dxa"/>
            <w:noWrap w:val="0"/>
            <w:vAlign w:val="top"/>
          </w:tcPr>
          <w:p w14:paraId="34EF2314">
            <w:pPr>
              <w:pStyle w:val="4"/>
              <w:jc w:val="center"/>
              <w:rPr>
                <w:rFonts w:hint="eastAsia" w:ascii="仿宋" w:hAnsi="仿宋" w:eastAsia="仿宋" w:cs="仿宋_GB2312"/>
                <w:sz w:val="21"/>
                <w:szCs w:val="21"/>
                <w:highlight w:val="none"/>
                <w:vertAlign w:val="baseline"/>
                <w:lang w:eastAsia="zh-CN"/>
              </w:rPr>
            </w:pPr>
            <w:r>
              <w:rPr>
                <w:rFonts w:hint="eastAsia" w:ascii="仿宋" w:hAnsi="仿宋" w:eastAsia="仿宋" w:cs="仿宋_GB2312"/>
                <w:sz w:val="21"/>
                <w:szCs w:val="21"/>
                <w:highlight w:val="none"/>
                <w:vertAlign w:val="baseline"/>
                <w:lang w:eastAsia="zh-CN"/>
              </w:rPr>
              <w:t>数量</w:t>
            </w:r>
          </w:p>
        </w:tc>
        <w:tc>
          <w:tcPr>
            <w:tcW w:w="1548" w:type="dxa"/>
            <w:noWrap w:val="0"/>
            <w:vAlign w:val="top"/>
          </w:tcPr>
          <w:p w14:paraId="73565360">
            <w:pPr>
              <w:pStyle w:val="4"/>
              <w:jc w:val="center"/>
              <w:rPr>
                <w:rFonts w:hint="eastAsia" w:ascii="仿宋" w:hAnsi="仿宋" w:eastAsia="仿宋" w:cs="仿宋_GB2312"/>
                <w:sz w:val="21"/>
                <w:szCs w:val="21"/>
                <w:highlight w:val="none"/>
                <w:vertAlign w:val="baseline"/>
                <w:lang w:eastAsia="zh-CN"/>
              </w:rPr>
            </w:pPr>
            <w:r>
              <w:rPr>
                <w:rFonts w:hint="eastAsia" w:ascii="仿宋" w:hAnsi="仿宋" w:eastAsia="仿宋" w:cs="仿宋_GB2312"/>
                <w:sz w:val="21"/>
                <w:szCs w:val="21"/>
                <w:highlight w:val="none"/>
                <w:vertAlign w:val="baseline"/>
                <w:lang w:val="en-US" w:eastAsia="zh-CN"/>
              </w:rPr>
              <w:t>总</w:t>
            </w:r>
            <w:r>
              <w:rPr>
                <w:rFonts w:hint="eastAsia" w:ascii="仿宋" w:hAnsi="仿宋" w:eastAsia="仿宋" w:cs="仿宋_GB2312"/>
                <w:sz w:val="21"/>
                <w:szCs w:val="21"/>
                <w:highlight w:val="none"/>
                <w:vertAlign w:val="baseline"/>
                <w:lang w:eastAsia="zh-CN"/>
              </w:rPr>
              <w:t>价</w:t>
            </w:r>
          </w:p>
        </w:tc>
      </w:tr>
      <w:tr w14:paraId="591C8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47" w:type="dxa"/>
            <w:noWrap w:val="0"/>
            <w:vAlign w:val="top"/>
          </w:tcPr>
          <w:p w14:paraId="79565434">
            <w:pPr>
              <w:pStyle w:val="4"/>
              <w:jc w:val="center"/>
              <w:rPr>
                <w:rFonts w:hint="eastAsia" w:ascii="仿宋" w:hAnsi="仿宋" w:eastAsia="仿宋" w:cs="仿宋_GB2312"/>
                <w:sz w:val="21"/>
                <w:szCs w:val="21"/>
                <w:highlight w:val="none"/>
                <w:vertAlign w:val="baseline"/>
                <w:lang w:eastAsia="zh-CN"/>
              </w:rPr>
            </w:pPr>
          </w:p>
        </w:tc>
        <w:tc>
          <w:tcPr>
            <w:tcW w:w="1547" w:type="dxa"/>
            <w:noWrap w:val="0"/>
            <w:vAlign w:val="top"/>
          </w:tcPr>
          <w:p w14:paraId="71950B4D">
            <w:pPr>
              <w:pStyle w:val="4"/>
              <w:jc w:val="center"/>
              <w:rPr>
                <w:rFonts w:hint="eastAsia" w:ascii="仿宋" w:hAnsi="仿宋" w:eastAsia="仿宋" w:cs="仿宋_GB2312"/>
                <w:sz w:val="21"/>
                <w:szCs w:val="21"/>
                <w:highlight w:val="none"/>
                <w:vertAlign w:val="baseline"/>
                <w:lang w:eastAsia="zh-CN"/>
              </w:rPr>
            </w:pPr>
          </w:p>
        </w:tc>
        <w:tc>
          <w:tcPr>
            <w:tcW w:w="1548" w:type="dxa"/>
            <w:noWrap w:val="0"/>
            <w:vAlign w:val="top"/>
          </w:tcPr>
          <w:p w14:paraId="03158F43">
            <w:pPr>
              <w:pStyle w:val="4"/>
              <w:jc w:val="center"/>
              <w:rPr>
                <w:rFonts w:hint="eastAsia" w:ascii="仿宋" w:hAnsi="仿宋" w:eastAsia="仿宋" w:cs="仿宋_GB2312"/>
                <w:sz w:val="21"/>
                <w:szCs w:val="21"/>
                <w:highlight w:val="none"/>
                <w:vertAlign w:val="baseline"/>
                <w:lang w:eastAsia="zh-CN"/>
              </w:rPr>
            </w:pPr>
          </w:p>
        </w:tc>
        <w:tc>
          <w:tcPr>
            <w:tcW w:w="1548" w:type="dxa"/>
            <w:noWrap w:val="0"/>
            <w:vAlign w:val="top"/>
          </w:tcPr>
          <w:p w14:paraId="291A0F5E">
            <w:pPr>
              <w:pStyle w:val="4"/>
              <w:jc w:val="center"/>
              <w:rPr>
                <w:rFonts w:hint="eastAsia" w:ascii="仿宋" w:hAnsi="仿宋" w:eastAsia="仿宋" w:cs="仿宋_GB2312"/>
                <w:sz w:val="21"/>
                <w:szCs w:val="21"/>
                <w:highlight w:val="none"/>
                <w:vertAlign w:val="baseline"/>
                <w:lang w:eastAsia="zh-CN"/>
              </w:rPr>
            </w:pPr>
          </w:p>
        </w:tc>
        <w:tc>
          <w:tcPr>
            <w:tcW w:w="1548" w:type="dxa"/>
            <w:noWrap w:val="0"/>
            <w:vAlign w:val="top"/>
          </w:tcPr>
          <w:p w14:paraId="6D9509B3">
            <w:pPr>
              <w:pStyle w:val="4"/>
              <w:jc w:val="center"/>
              <w:rPr>
                <w:rFonts w:hint="eastAsia" w:ascii="仿宋" w:hAnsi="仿宋" w:eastAsia="仿宋" w:cs="仿宋_GB2312"/>
                <w:sz w:val="21"/>
                <w:szCs w:val="21"/>
                <w:highlight w:val="none"/>
                <w:vertAlign w:val="baseline"/>
                <w:lang w:eastAsia="zh-CN"/>
              </w:rPr>
            </w:pPr>
          </w:p>
        </w:tc>
        <w:tc>
          <w:tcPr>
            <w:tcW w:w="1548" w:type="dxa"/>
            <w:noWrap w:val="0"/>
            <w:vAlign w:val="top"/>
          </w:tcPr>
          <w:p w14:paraId="489D9EDF">
            <w:pPr>
              <w:pStyle w:val="4"/>
              <w:jc w:val="center"/>
              <w:rPr>
                <w:rFonts w:hint="eastAsia" w:ascii="仿宋" w:hAnsi="仿宋" w:eastAsia="仿宋" w:cs="仿宋_GB2312"/>
                <w:sz w:val="21"/>
                <w:szCs w:val="21"/>
                <w:highlight w:val="none"/>
                <w:vertAlign w:val="baseline"/>
                <w:lang w:eastAsia="zh-CN"/>
              </w:rPr>
            </w:pPr>
          </w:p>
        </w:tc>
      </w:tr>
    </w:tbl>
    <w:p w14:paraId="3476CC79">
      <w:pPr>
        <w:spacing w:line="360" w:lineRule="auto"/>
        <w:ind w:firstLine="477" w:firstLineChars="198"/>
        <w:rPr>
          <w:rFonts w:hint="eastAsia" w:ascii="仿宋" w:hAnsi="仿宋" w:eastAsia="仿宋" w:cs="仿宋_GB2312"/>
          <w:b/>
          <w:bCs/>
          <w:sz w:val="24"/>
          <w:highlight w:val="none"/>
          <w:lang w:val="zh-CN" w:eastAsia="zh-CN"/>
        </w:rPr>
      </w:pPr>
      <w:r>
        <w:rPr>
          <w:rFonts w:hint="eastAsia" w:ascii="仿宋" w:hAnsi="仿宋" w:eastAsia="仿宋" w:cs="仿宋_GB2312"/>
          <w:b/>
          <w:bCs/>
          <w:sz w:val="24"/>
          <w:highlight w:val="none"/>
        </w:rPr>
        <w:t>第</w:t>
      </w:r>
      <w:r>
        <w:rPr>
          <w:rFonts w:hint="eastAsia" w:ascii="仿宋" w:hAnsi="仿宋" w:eastAsia="仿宋" w:cs="仿宋_GB2312"/>
          <w:b/>
          <w:bCs/>
          <w:sz w:val="24"/>
          <w:highlight w:val="none"/>
          <w:lang w:eastAsia="zh-CN"/>
        </w:rPr>
        <w:t>四</w:t>
      </w:r>
      <w:r>
        <w:rPr>
          <w:rFonts w:hint="eastAsia" w:ascii="仿宋" w:hAnsi="仿宋" w:eastAsia="仿宋" w:cs="仿宋_GB2312"/>
          <w:b/>
          <w:bCs/>
          <w:sz w:val="24"/>
          <w:highlight w:val="none"/>
        </w:rPr>
        <w:t>条 合同</w:t>
      </w:r>
      <w:r>
        <w:rPr>
          <w:rFonts w:hint="eastAsia" w:ascii="仿宋" w:hAnsi="仿宋" w:eastAsia="仿宋" w:cs="仿宋_GB2312"/>
          <w:b/>
          <w:bCs/>
          <w:sz w:val="24"/>
          <w:highlight w:val="none"/>
          <w:lang w:eastAsia="zh-CN"/>
        </w:rPr>
        <w:t>价款及结算</w:t>
      </w:r>
    </w:p>
    <w:p w14:paraId="64C525AB">
      <w:pPr>
        <w:numPr>
          <w:ilvl w:val="0"/>
          <w:numId w:val="0"/>
        </w:numPr>
        <w:suppressAutoHyphens/>
        <w:spacing w:line="360" w:lineRule="auto"/>
        <w:ind w:firstLine="480" w:firstLineChars="200"/>
        <w:rPr>
          <w:rFonts w:hint="eastAsia" w:ascii="仿宋" w:hAnsi="仿宋" w:eastAsia="仿宋" w:cs="仿宋_GB2312"/>
          <w:sz w:val="24"/>
          <w:highlight w:val="none"/>
        </w:rPr>
      </w:pPr>
      <w:r>
        <w:rPr>
          <w:rFonts w:hint="eastAsia" w:ascii="仿宋" w:hAnsi="仿宋" w:eastAsia="仿宋" w:cs="仿宋_GB2312"/>
          <w:sz w:val="24"/>
          <w:highlight w:val="none"/>
        </w:rPr>
        <w:t>1</w:t>
      </w:r>
      <w:r>
        <w:rPr>
          <w:rFonts w:hint="eastAsia" w:ascii="仿宋" w:hAnsi="仿宋" w:eastAsia="仿宋" w:cs="仿宋_GB2312"/>
          <w:sz w:val="24"/>
          <w:highlight w:val="none"/>
          <w:lang w:eastAsia="zh-CN"/>
        </w:rPr>
        <w:t>、</w:t>
      </w:r>
      <w:r>
        <w:rPr>
          <w:rFonts w:hint="eastAsia" w:ascii="仿宋" w:hAnsi="仿宋" w:eastAsia="仿宋" w:cs="仿宋_GB2312"/>
          <w:sz w:val="24"/>
          <w:highlight w:val="none"/>
        </w:rPr>
        <w:t>合同总价包括：完成本项目并达到</w:t>
      </w:r>
      <w:r>
        <w:rPr>
          <w:rFonts w:hint="eastAsia" w:ascii="仿宋" w:hAnsi="仿宋" w:eastAsia="仿宋" w:cs="仿宋_GB2312"/>
          <w:sz w:val="24"/>
          <w:highlight w:val="none"/>
          <w:lang w:val="en-US" w:eastAsia="zh-CN"/>
        </w:rPr>
        <w:t>磋商</w:t>
      </w:r>
      <w:r>
        <w:rPr>
          <w:rFonts w:hint="eastAsia" w:ascii="仿宋" w:hAnsi="仿宋" w:eastAsia="仿宋" w:cs="仿宋_GB2312"/>
          <w:sz w:val="24"/>
          <w:highlight w:val="none"/>
        </w:rPr>
        <w:t>文件要求所需要的全部费用，包括但不限于桥梁检测费、成果出具费、供应商应缴纳的所有税费</w:t>
      </w:r>
      <w:r>
        <w:rPr>
          <w:rFonts w:hint="eastAsia" w:ascii="仿宋" w:hAnsi="仿宋" w:eastAsia="仿宋" w:cs="仿宋_GB2312"/>
          <w:sz w:val="24"/>
          <w:highlight w:val="none"/>
          <w:lang w:eastAsia="zh-CN"/>
        </w:rPr>
        <w:t>、利润</w:t>
      </w:r>
      <w:r>
        <w:rPr>
          <w:rFonts w:hint="eastAsia" w:ascii="仿宋" w:hAnsi="仿宋" w:eastAsia="仿宋" w:cs="仿宋_GB2312"/>
          <w:sz w:val="24"/>
          <w:highlight w:val="none"/>
        </w:rPr>
        <w:t>等费用。合同</w:t>
      </w:r>
      <w:r>
        <w:rPr>
          <w:rFonts w:hint="eastAsia" w:ascii="仿宋" w:hAnsi="仿宋" w:eastAsia="仿宋" w:cs="仿宋_GB2312"/>
          <w:sz w:val="24"/>
          <w:highlight w:val="none"/>
          <w:lang w:val="en-US" w:eastAsia="zh-CN"/>
        </w:rPr>
        <w:t>总</w:t>
      </w:r>
      <w:r>
        <w:rPr>
          <w:rFonts w:hint="eastAsia" w:ascii="仿宋" w:hAnsi="仿宋" w:eastAsia="仿宋" w:cs="仿宋_GB2312"/>
          <w:sz w:val="24"/>
          <w:highlight w:val="none"/>
          <w:lang w:eastAsia="zh-CN"/>
        </w:rPr>
        <w:t>价</w:t>
      </w:r>
      <w:r>
        <w:rPr>
          <w:rFonts w:hint="eastAsia" w:ascii="仿宋" w:hAnsi="仿宋" w:eastAsia="仿宋" w:cs="仿宋_GB2312"/>
          <w:sz w:val="24"/>
          <w:highlight w:val="none"/>
        </w:rPr>
        <w:t>一次性包死，不受市场价格变化因素的影响。</w:t>
      </w:r>
    </w:p>
    <w:p w14:paraId="4A11F9DA">
      <w:pPr>
        <w:numPr>
          <w:ilvl w:val="0"/>
          <w:numId w:val="0"/>
        </w:numPr>
        <w:suppressAutoHyphens/>
        <w:spacing w:line="360" w:lineRule="auto"/>
        <w:ind w:firstLine="480" w:firstLineChars="200"/>
        <w:rPr>
          <w:rFonts w:hint="eastAsia" w:ascii="仿宋" w:hAnsi="仿宋" w:eastAsia="仿宋" w:cs="仿宋_GB2312"/>
          <w:sz w:val="24"/>
          <w:highlight w:val="none"/>
          <w:lang w:val="en-US" w:eastAsia="zh-CN"/>
        </w:rPr>
      </w:pPr>
      <w:r>
        <w:rPr>
          <w:rFonts w:hint="eastAsia" w:ascii="仿宋" w:hAnsi="仿宋" w:eastAsia="仿宋" w:cs="仿宋_GB2312"/>
          <w:sz w:val="24"/>
          <w:highlight w:val="none"/>
          <w:lang w:val="en-US" w:eastAsia="zh-CN"/>
        </w:rPr>
        <w:t>2、检测单位向业主提供正式检测报告，检测工作全部完成，经甲方确认后，达到付款条件起 15</w:t>
      </w:r>
      <w:bookmarkStart w:id="10" w:name="_GoBack"/>
      <w:bookmarkEnd w:id="10"/>
      <w:r>
        <w:rPr>
          <w:rFonts w:hint="eastAsia" w:ascii="仿宋" w:hAnsi="仿宋" w:eastAsia="仿宋" w:cs="仿宋_GB2312"/>
          <w:sz w:val="24"/>
          <w:highlight w:val="none"/>
          <w:lang w:val="en-US" w:eastAsia="zh-CN"/>
        </w:rPr>
        <w:t xml:space="preserve"> 日内，支付合同总金额的100.00%，付款前，乙方必须开具符合税务及财政要求的全额正式税务发票，甲方根据结算付款审批程序办理，经审批后予以支付。</w:t>
      </w:r>
    </w:p>
    <w:p w14:paraId="52E9C5AE">
      <w:pPr>
        <w:spacing w:line="360" w:lineRule="auto"/>
        <w:ind w:firstLine="477" w:firstLineChars="198"/>
        <w:rPr>
          <w:rFonts w:hint="eastAsia" w:ascii="仿宋" w:hAnsi="仿宋" w:eastAsia="仿宋" w:cs="仿宋_GB2312"/>
          <w:b/>
          <w:sz w:val="24"/>
          <w:highlight w:val="none"/>
        </w:rPr>
      </w:pPr>
      <w:r>
        <w:rPr>
          <w:rFonts w:hint="eastAsia" w:ascii="仿宋" w:hAnsi="仿宋" w:eastAsia="仿宋" w:cs="仿宋_GB2312"/>
          <w:b/>
          <w:sz w:val="24"/>
          <w:highlight w:val="none"/>
        </w:rPr>
        <w:t>第</w:t>
      </w:r>
      <w:r>
        <w:rPr>
          <w:rFonts w:hint="eastAsia" w:ascii="仿宋" w:hAnsi="仿宋" w:eastAsia="仿宋" w:cs="仿宋_GB2312"/>
          <w:b/>
          <w:sz w:val="24"/>
          <w:highlight w:val="none"/>
          <w:lang w:eastAsia="zh-CN"/>
        </w:rPr>
        <w:t>五</w:t>
      </w:r>
      <w:r>
        <w:rPr>
          <w:rFonts w:hint="eastAsia" w:ascii="仿宋" w:hAnsi="仿宋" w:eastAsia="仿宋" w:cs="仿宋_GB2312"/>
          <w:b/>
          <w:sz w:val="24"/>
          <w:highlight w:val="none"/>
        </w:rPr>
        <w:t>条 双方权利义务</w:t>
      </w:r>
    </w:p>
    <w:p w14:paraId="4050EEAF">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（一）甲方权利、义务：</w:t>
      </w:r>
    </w:p>
    <w:p w14:paraId="422658FF">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1、甲方负责提供需要检测的所辖道路及桥梁名称，明确乙方工作责任范围。</w:t>
      </w:r>
    </w:p>
    <w:p w14:paraId="682282BA">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2、甲方要求乙方到现场进行检测，甲方应向乙方提供相关资料，做好检测的准备工作，并派有关人员做好检测的配合工作。</w:t>
      </w:r>
    </w:p>
    <w:p w14:paraId="5295A0C0">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3、甲方应按合同约定方式及时支付检测评价费用。</w:t>
      </w:r>
    </w:p>
    <w:p w14:paraId="0F4AB2A7">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4、甲方负责指定专人对乙方工作进行监督和检查，及时组织验收。</w:t>
      </w:r>
    </w:p>
    <w:p w14:paraId="6BC1C133">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（二）乙方权利、义务：</w:t>
      </w:r>
    </w:p>
    <w:p w14:paraId="2F201545">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1、根据</w:t>
      </w:r>
      <w:r>
        <w:rPr>
          <w:rFonts w:hint="eastAsia" w:ascii="仿宋" w:hAnsi="仿宋" w:eastAsia="仿宋" w:cs="仿宋_GB2312"/>
          <w:sz w:val="24"/>
          <w:highlight w:val="none"/>
          <w:lang w:eastAsia="zh-CN"/>
        </w:rPr>
        <w:t>投标</w:t>
      </w:r>
      <w:r>
        <w:rPr>
          <w:rFonts w:hint="eastAsia" w:ascii="仿宋" w:hAnsi="仿宋" w:eastAsia="仿宋" w:cs="仿宋_GB2312"/>
          <w:sz w:val="24"/>
          <w:highlight w:val="none"/>
        </w:rPr>
        <w:t>文件的承诺向甲方委派项目负责人、检测结果主要分析人员和检测技术人员。在履行本合同义务的期间，应运用合理的技能，认真、勤奋的工作。</w:t>
      </w:r>
    </w:p>
    <w:p w14:paraId="16B9D75E">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2、乙方应严格按照国家有关技术规范、标准进行试验检测，对试验检测报告的质量负责。</w:t>
      </w:r>
    </w:p>
    <w:p w14:paraId="45A9C877">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3、乙方应按规定时间向甲方提交各种书面试验检测报告，并确保检测报告真实、准确，按规定的</w:t>
      </w:r>
      <w:r>
        <w:rPr>
          <w:rFonts w:hint="eastAsia" w:ascii="仿宋" w:hAnsi="仿宋" w:eastAsia="仿宋" w:cs="仿宋_GB2312"/>
          <w:sz w:val="24"/>
          <w:highlight w:val="none"/>
          <w:lang w:eastAsia="zh-CN"/>
        </w:rPr>
        <w:t>要求</w:t>
      </w:r>
      <w:r>
        <w:rPr>
          <w:rFonts w:hint="eastAsia" w:ascii="仿宋" w:hAnsi="仿宋" w:eastAsia="仿宋" w:cs="仿宋_GB2312"/>
          <w:sz w:val="24"/>
          <w:highlight w:val="none"/>
        </w:rPr>
        <w:t>检测，检测结果符合实际状况，不得出现弄虚作假行为。否则，甲方可每次直接从应付款项中扣款</w:t>
      </w:r>
      <w:r>
        <w:rPr>
          <w:rFonts w:hint="eastAsia" w:ascii="仿宋" w:hAnsi="仿宋" w:eastAsia="仿宋" w:cs="仿宋_GB2312"/>
          <w:sz w:val="24"/>
          <w:highlight w:val="none"/>
          <w:u w:val="single"/>
          <w:lang w:val="en-US" w:eastAsia="zh-CN"/>
        </w:rPr>
        <w:t xml:space="preserve">    </w:t>
      </w:r>
      <w:r>
        <w:rPr>
          <w:rFonts w:hint="eastAsia" w:ascii="仿宋" w:hAnsi="仿宋" w:eastAsia="仿宋" w:cs="仿宋_GB2312"/>
          <w:sz w:val="24"/>
          <w:highlight w:val="none"/>
        </w:rPr>
        <w:t>万元，同时甲方有权单方解除本合同。</w:t>
      </w:r>
    </w:p>
    <w:p w14:paraId="5C3E47FC">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4、在本合同期内或合同终止后，未征得有关方同意，不得泄漏与本项目、本合同有关的技术、资料等，不得以任何形式侵害各方的知识产权。</w:t>
      </w:r>
    </w:p>
    <w:p w14:paraId="03DB2EE1">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5、乙方应全面准确的探测发现</w:t>
      </w:r>
      <w:r>
        <w:rPr>
          <w:rFonts w:hint="eastAsia" w:ascii="仿宋" w:hAnsi="仿宋" w:eastAsia="仿宋" w:cs="仿宋_GB2312"/>
          <w:sz w:val="24"/>
          <w:highlight w:val="none"/>
          <w:lang w:eastAsia="zh-CN"/>
        </w:rPr>
        <w:t>桥梁等</w:t>
      </w:r>
      <w:r>
        <w:rPr>
          <w:rFonts w:hint="eastAsia" w:ascii="仿宋" w:hAnsi="仿宋" w:eastAsia="仿宋" w:cs="仿宋_GB2312"/>
          <w:sz w:val="24"/>
          <w:highlight w:val="none"/>
        </w:rPr>
        <w:t>存在的各类隐患</w:t>
      </w:r>
      <w:r>
        <w:rPr>
          <w:rFonts w:hint="eastAsia" w:ascii="仿宋" w:hAnsi="仿宋" w:eastAsia="仿宋" w:cs="仿宋_GB2312"/>
          <w:sz w:val="24"/>
          <w:highlight w:val="none"/>
          <w:lang w:eastAsia="zh-CN"/>
        </w:rPr>
        <w:t>、缺陷、损伤等</w:t>
      </w:r>
      <w:r>
        <w:rPr>
          <w:rFonts w:hint="eastAsia" w:ascii="仿宋" w:hAnsi="仿宋" w:eastAsia="仿宋" w:cs="仿宋_GB2312"/>
          <w:sz w:val="24"/>
          <w:highlight w:val="none"/>
        </w:rPr>
        <w:t>情况，因乙方原因</w:t>
      </w:r>
      <w:r>
        <w:rPr>
          <w:rFonts w:hint="eastAsia" w:ascii="仿宋" w:hAnsi="仿宋" w:eastAsia="仿宋" w:cs="仿宋_GB2312"/>
          <w:sz w:val="24"/>
          <w:highlight w:val="none"/>
          <w:lang w:eastAsia="zh-CN"/>
        </w:rPr>
        <w:t>导致</w:t>
      </w:r>
      <w:r>
        <w:rPr>
          <w:rFonts w:hint="eastAsia" w:ascii="仿宋" w:hAnsi="仿宋" w:eastAsia="仿宋" w:cs="仿宋_GB2312"/>
          <w:sz w:val="24"/>
          <w:highlight w:val="none"/>
        </w:rPr>
        <w:t>隐患未检出、检测的病害类型、危险程度、病害位置等信息存在较大偏差的，或者给任意第三方造成损害的，乙方承担全部赔偿责任。</w:t>
      </w:r>
    </w:p>
    <w:p w14:paraId="0CCE6742">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6、乙方完成检测工作后成立后续服务组在提交规定的检测成果时开始对甲方就检测结果提出的质疑进行解答或复测。</w:t>
      </w:r>
    </w:p>
    <w:p w14:paraId="5985000F">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7</w:t>
      </w:r>
      <w:r>
        <w:rPr>
          <w:rFonts w:hint="eastAsia" w:ascii="仿宋" w:hAnsi="仿宋" w:eastAsia="仿宋" w:cs="仿宋_GB2312"/>
          <w:sz w:val="24"/>
          <w:highlight w:val="none"/>
        </w:rPr>
        <w:t>、乙方应向甲方出具甲方所需的纸质报告份数和必要的电子版本。</w:t>
      </w:r>
    </w:p>
    <w:p w14:paraId="1EFA4111">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8</w:t>
      </w:r>
      <w:r>
        <w:rPr>
          <w:rFonts w:hint="eastAsia" w:ascii="仿宋" w:hAnsi="仿宋" w:eastAsia="仿宋" w:cs="仿宋_GB2312"/>
          <w:sz w:val="24"/>
          <w:highlight w:val="none"/>
        </w:rPr>
        <w:t>、乙方在履行本合同过程中，对甲方、乙方或是任意第三方的财产或人身安全造成损害的，由乙方承担全部赔偿责任。</w:t>
      </w:r>
    </w:p>
    <w:p w14:paraId="390819B0">
      <w:pPr>
        <w:spacing w:line="360" w:lineRule="auto"/>
        <w:ind w:firstLine="477" w:firstLineChars="198"/>
        <w:rPr>
          <w:rFonts w:hint="eastAsia" w:ascii="仿宋" w:hAnsi="仿宋" w:eastAsia="仿宋" w:cs="仿宋_GB2312"/>
          <w:b/>
          <w:sz w:val="24"/>
          <w:highlight w:val="none"/>
          <w:lang w:eastAsia="zh-CN"/>
        </w:rPr>
      </w:pPr>
      <w:r>
        <w:rPr>
          <w:rFonts w:hint="eastAsia" w:ascii="仿宋" w:hAnsi="仿宋" w:eastAsia="仿宋" w:cs="仿宋_GB2312"/>
          <w:b/>
          <w:sz w:val="24"/>
          <w:highlight w:val="none"/>
        </w:rPr>
        <w:t>第</w:t>
      </w:r>
      <w:r>
        <w:rPr>
          <w:rFonts w:hint="eastAsia" w:ascii="仿宋" w:hAnsi="仿宋" w:eastAsia="仿宋" w:cs="仿宋_GB2312"/>
          <w:b/>
          <w:sz w:val="24"/>
          <w:highlight w:val="none"/>
          <w:lang w:eastAsia="zh-CN"/>
        </w:rPr>
        <w:t>六</w:t>
      </w:r>
      <w:r>
        <w:rPr>
          <w:rFonts w:hint="eastAsia" w:ascii="仿宋" w:hAnsi="仿宋" w:eastAsia="仿宋" w:cs="仿宋_GB2312"/>
          <w:b/>
          <w:sz w:val="24"/>
          <w:highlight w:val="none"/>
        </w:rPr>
        <w:t xml:space="preserve">条 </w:t>
      </w:r>
      <w:r>
        <w:rPr>
          <w:rFonts w:hint="eastAsia" w:ascii="仿宋" w:hAnsi="仿宋" w:eastAsia="仿宋" w:cs="仿宋_GB2312"/>
          <w:b/>
          <w:sz w:val="24"/>
          <w:highlight w:val="none"/>
          <w:lang w:eastAsia="zh-CN"/>
        </w:rPr>
        <w:t>质量保证</w:t>
      </w:r>
    </w:p>
    <w:p w14:paraId="3678B38E">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乙方所供服务必须执行下列条款：</w:t>
      </w:r>
    </w:p>
    <w:p w14:paraId="1895C53A">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1、</w:t>
      </w:r>
      <w:r>
        <w:rPr>
          <w:rFonts w:hint="eastAsia" w:ascii="仿宋" w:hAnsi="仿宋" w:eastAsia="仿宋" w:cs="仿宋_GB2312"/>
          <w:sz w:val="24"/>
          <w:highlight w:val="none"/>
        </w:rPr>
        <w:t>服务方案和方式科学、可行，人员配置合理，全面满足要求。</w:t>
      </w:r>
    </w:p>
    <w:p w14:paraId="62D6F9F2">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2、</w:t>
      </w:r>
      <w:r>
        <w:rPr>
          <w:rFonts w:hint="eastAsia" w:ascii="仿宋" w:hAnsi="仿宋" w:eastAsia="仿宋" w:cs="仿宋_GB2312"/>
          <w:sz w:val="24"/>
          <w:highlight w:val="none"/>
        </w:rPr>
        <w:t>符合有关服务规范</w:t>
      </w:r>
      <w:r>
        <w:rPr>
          <w:rFonts w:hint="eastAsia" w:ascii="仿宋" w:hAnsi="仿宋" w:eastAsia="仿宋" w:cs="仿宋_GB2312"/>
          <w:sz w:val="24"/>
          <w:highlight w:val="none"/>
          <w:lang w:eastAsia="zh-CN"/>
        </w:rPr>
        <w:t>及甲方</w:t>
      </w:r>
      <w:r>
        <w:rPr>
          <w:rFonts w:hint="eastAsia" w:ascii="仿宋" w:hAnsi="仿宋" w:eastAsia="仿宋" w:cs="仿宋_GB2312"/>
          <w:sz w:val="24"/>
          <w:highlight w:val="none"/>
        </w:rPr>
        <w:t>要求，确保各项服务达到最佳运行效果。</w:t>
      </w:r>
    </w:p>
    <w:p w14:paraId="08B1A52A">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3、</w:t>
      </w:r>
      <w:r>
        <w:rPr>
          <w:rFonts w:hint="eastAsia" w:ascii="仿宋" w:hAnsi="仿宋" w:eastAsia="仿宋" w:cs="仿宋_GB2312"/>
          <w:sz w:val="24"/>
          <w:highlight w:val="none"/>
        </w:rPr>
        <w:t>乙方提供的服务，若发生侵权而产生的一切后果，由乙方负责。甲方保留索赔权。</w:t>
      </w:r>
    </w:p>
    <w:p w14:paraId="79091F55">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4、</w:t>
      </w:r>
      <w:r>
        <w:rPr>
          <w:rFonts w:hint="eastAsia" w:ascii="仿宋" w:hAnsi="仿宋" w:eastAsia="仿宋" w:cs="仿宋_GB2312"/>
          <w:sz w:val="24"/>
          <w:highlight w:val="none"/>
        </w:rPr>
        <w:t>服务承诺内容：依据招标文件及</w:t>
      </w:r>
      <w:r>
        <w:rPr>
          <w:rFonts w:hint="eastAsia" w:ascii="仿宋" w:hAnsi="仿宋" w:eastAsia="仿宋" w:cs="仿宋_GB2312"/>
          <w:sz w:val="24"/>
          <w:highlight w:val="none"/>
          <w:lang w:eastAsia="zh-CN"/>
        </w:rPr>
        <w:t>投标</w:t>
      </w:r>
      <w:r>
        <w:rPr>
          <w:rFonts w:hint="eastAsia" w:ascii="仿宋" w:hAnsi="仿宋" w:eastAsia="仿宋" w:cs="仿宋_GB2312"/>
          <w:sz w:val="24"/>
          <w:highlight w:val="none"/>
        </w:rPr>
        <w:t>文件内容提供服务。</w:t>
      </w:r>
    </w:p>
    <w:p w14:paraId="13CA4ADA">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5、</w:t>
      </w:r>
      <w:r>
        <w:rPr>
          <w:rFonts w:hint="eastAsia" w:ascii="仿宋" w:hAnsi="仿宋" w:eastAsia="仿宋" w:cs="仿宋_GB2312"/>
          <w:sz w:val="24"/>
          <w:highlight w:val="none"/>
        </w:rPr>
        <w:t>乙方应对检测结果提供质保3个月，质保期内，对甲方提出的问题，乙方应立即投入检测人员与设备进行检测与复核，积极配合甲方后期的桥梁养护管理工作，提供技术支持。</w:t>
      </w:r>
    </w:p>
    <w:p w14:paraId="6C037071">
      <w:pPr>
        <w:spacing w:line="360" w:lineRule="auto"/>
        <w:ind w:firstLine="477" w:firstLineChars="198"/>
        <w:rPr>
          <w:rFonts w:hint="eastAsia" w:ascii="仿宋" w:hAnsi="仿宋" w:eastAsia="仿宋" w:cs="仿宋_GB2312"/>
          <w:b/>
          <w:sz w:val="24"/>
          <w:highlight w:val="none"/>
          <w:lang w:eastAsia="zh-CN"/>
        </w:rPr>
      </w:pPr>
      <w:r>
        <w:rPr>
          <w:rFonts w:hint="eastAsia" w:ascii="仿宋" w:hAnsi="仿宋" w:eastAsia="仿宋" w:cs="仿宋_GB2312"/>
          <w:b/>
          <w:sz w:val="24"/>
          <w:highlight w:val="none"/>
        </w:rPr>
        <w:t>第</w:t>
      </w:r>
      <w:r>
        <w:rPr>
          <w:rFonts w:hint="eastAsia" w:ascii="仿宋" w:hAnsi="仿宋" w:eastAsia="仿宋" w:cs="仿宋_GB2312"/>
          <w:b/>
          <w:sz w:val="24"/>
          <w:highlight w:val="none"/>
          <w:lang w:eastAsia="zh-CN"/>
        </w:rPr>
        <w:t>七</w:t>
      </w:r>
      <w:r>
        <w:rPr>
          <w:rFonts w:hint="eastAsia" w:ascii="仿宋" w:hAnsi="仿宋" w:eastAsia="仿宋" w:cs="仿宋_GB2312"/>
          <w:b/>
          <w:sz w:val="24"/>
          <w:highlight w:val="none"/>
        </w:rPr>
        <w:t xml:space="preserve">条 </w:t>
      </w:r>
      <w:r>
        <w:rPr>
          <w:rFonts w:hint="eastAsia" w:ascii="仿宋" w:hAnsi="仿宋" w:eastAsia="仿宋" w:cs="仿宋_GB2312"/>
          <w:b/>
          <w:sz w:val="24"/>
          <w:highlight w:val="none"/>
          <w:lang w:eastAsia="zh-CN"/>
        </w:rPr>
        <w:t>验收</w:t>
      </w:r>
    </w:p>
    <w:p w14:paraId="04819055">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1、</w:t>
      </w:r>
      <w:r>
        <w:rPr>
          <w:rFonts w:hint="eastAsia" w:ascii="仿宋" w:hAnsi="仿宋" w:eastAsia="仿宋" w:cs="仿宋_GB2312"/>
          <w:sz w:val="24"/>
          <w:highlight w:val="none"/>
        </w:rPr>
        <w:t>服务内容完成后先由乙方进行自检，自检合格后邀请甲方进行验收。甲方确认乙方的自检内容后，组织乙方（必要时请有关专家）进行最终验收，验收时乙方应派</w:t>
      </w:r>
      <w:r>
        <w:rPr>
          <w:rFonts w:hint="eastAsia" w:ascii="仿宋" w:hAnsi="仿宋" w:eastAsia="仿宋" w:cs="仿宋_GB2312"/>
          <w:sz w:val="24"/>
          <w:highlight w:val="none"/>
          <w:lang w:eastAsia="zh-CN"/>
        </w:rPr>
        <w:t>人</w:t>
      </w:r>
      <w:r>
        <w:rPr>
          <w:rFonts w:hint="eastAsia" w:ascii="仿宋" w:hAnsi="仿宋" w:eastAsia="仿宋" w:cs="仿宋_GB2312"/>
          <w:sz w:val="24"/>
          <w:highlight w:val="none"/>
        </w:rPr>
        <w:t>参加，共同对验收结果进行确认，并承担相关责任（必要时甲方可委托具有相关资质的第三方检测机构/技术专家对产品/设备进行系统验收，由此产生的相关费用由乙方承担，需要国家法定检验部门进行检验或验收的由乙方负责联系）。</w:t>
      </w:r>
    </w:p>
    <w:p w14:paraId="1B2EBE8F">
      <w:pPr>
        <w:spacing w:line="360" w:lineRule="auto"/>
        <w:ind w:firstLine="475" w:firstLineChars="198"/>
        <w:rPr>
          <w:rFonts w:hint="eastAsia" w:ascii="仿宋" w:hAnsi="仿宋" w:eastAsia="仿宋" w:cs="仿宋_GB2312"/>
          <w:sz w:val="24"/>
          <w:highlight w:val="none"/>
          <w:lang w:val="en-US" w:eastAsia="zh-CN"/>
        </w:rPr>
      </w:pPr>
      <w:r>
        <w:rPr>
          <w:rFonts w:hint="eastAsia" w:ascii="仿宋" w:hAnsi="仿宋" w:eastAsia="仿宋" w:cs="仿宋_GB2312"/>
          <w:sz w:val="24"/>
          <w:highlight w:val="none"/>
          <w:lang w:val="en-US" w:eastAsia="zh-CN"/>
        </w:rPr>
        <w:t>2、所供的成果文件必须保证符合国家相关程序和相关规定。</w:t>
      </w:r>
    </w:p>
    <w:p w14:paraId="5A9AD312">
      <w:pPr>
        <w:spacing w:line="360" w:lineRule="auto"/>
        <w:ind w:firstLine="475" w:firstLineChars="198"/>
        <w:rPr>
          <w:rFonts w:hint="eastAsia" w:ascii="仿宋" w:hAnsi="仿宋" w:eastAsia="仿宋" w:cs="仿宋_GB2312"/>
          <w:sz w:val="24"/>
          <w:highlight w:val="none"/>
          <w:lang w:val="en-US" w:eastAsia="zh-CN"/>
        </w:rPr>
      </w:pPr>
      <w:r>
        <w:rPr>
          <w:rFonts w:hint="eastAsia" w:ascii="仿宋" w:hAnsi="仿宋" w:eastAsia="仿宋" w:cs="仿宋_GB2312"/>
          <w:sz w:val="24"/>
          <w:highlight w:val="none"/>
          <w:lang w:val="en-US" w:eastAsia="zh-CN"/>
        </w:rPr>
        <w:t>3、所提供相关成果文件确保真实性、可靠性。</w:t>
      </w:r>
    </w:p>
    <w:p w14:paraId="5BAE4021">
      <w:pPr>
        <w:spacing w:line="360" w:lineRule="auto"/>
        <w:ind w:firstLine="475" w:firstLineChars="198"/>
        <w:rPr>
          <w:rFonts w:hint="eastAsia" w:ascii="仿宋" w:hAnsi="仿宋" w:eastAsia="仿宋" w:cs="仿宋_GB2312"/>
          <w:sz w:val="24"/>
          <w:highlight w:val="none"/>
          <w:lang w:val="en-US" w:eastAsia="zh-CN"/>
        </w:rPr>
      </w:pPr>
      <w:r>
        <w:rPr>
          <w:rFonts w:hint="eastAsia" w:ascii="仿宋" w:hAnsi="仿宋" w:eastAsia="仿宋" w:cs="仿宋_GB2312"/>
          <w:sz w:val="24"/>
          <w:highlight w:val="none"/>
          <w:lang w:val="en-US" w:eastAsia="zh-CN"/>
        </w:rPr>
        <w:t>4、桥梁检测报告经验收合格后，正式移交。</w:t>
      </w:r>
    </w:p>
    <w:p w14:paraId="2C5AB048">
      <w:pPr>
        <w:spacing w:line="360" w:lineRule="auto"/>
        <w:ind w:firstLine="475" w:firstLineChars="198"/>
        <w:rPr>
          <w:rFonts w:hint="eastAsia" w:ascii="仿宋" w:hAnsi="仿宋" w:eastAsia="仿宋" w:cs="仿宋_GB2312"/>
          <w:sz w:val="24"/>
          <w:highlight w:val="none"/>
          <w:lang w:val="en-US" w:eastAsia="zh-CN"/>
        </w:rPr>
      </w:pPr>
      <w:r>
        <w:rPr>
          <w:rFonts w:hint="eastAsia" w:ascii="仿宋" w:hAnsi="仿宋" w:eastAsia="仿宋" w:cs="仿宋_GB2312"/>
          <w:sz w:val="24"/>
          <w:highlight w:val="none"/>
          <w:lang w:val="en-US" w:eastAsia="zh-CN"/>
        </w:rPr>
        <w:t>5、验收中如发现桥梁检测工作质量不符合规定，应无偿补充完善，按要求重新编制检测报告，并经验收后移交。</w:t>
      </w:r>
    </w:p>
    <w:p w14:paraId="3D4AD854">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6、</w:t>
      </w:r>
      <w:r>
        <w:rPr>
          <w:rFonts w:hint="eastAsia" w:ascii="仿宋" w:hAnsi="仿宋" w:eastAsia="仿宋" w:cs="仿宋_GB2312"/>
          <w:sz w:val="24"/>
          <w:highlight w:val="none"/>
        </w:rPr>
        <w:t>乙方向甲方提交服务实施过程中的所有资料。以便甲方日后管理和维护。</w:t>
      </w:r>
    </w:p>
    <w:p w14:paraId="2EA42048">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7、</w:t>
      </w:r>
      <w:r>
        <w:rPr>
          <w:rFonts w:hint="eastAsia" w:ascii="仿宋" w:hAnsi="仿宋" w:eastAsia="仿宋" w:cs="仿宋_GB2312"/>
          <w:sz w:val="24"/>
          <w:highlight w:val="none"/>
        </w:rPr>
        <w:t>验收依据：</w:t>
      </w:r>
    </w:p>
    <w:p w14:paraId="44D02D25">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磋商</w:t>
      </w:r>
      <w:r>
        <w:rPr>
          <w:rFonts w:hint="eastAsia" w:ascii="仿宋" w:hAnsi="仿宋" w:eastAsia="仿宋" w:cs="仿宋_GB2312"/>
          <w:sz w:val="24"/>
          <w:highlight w:val="none"/>
        </w:rPr>
        <w:t>文件、</w:t>
      </w:r>
      <w:r>
        <w:rPr>
          <w:rFonts w:hint="eastAsia" w:ascii="仿宋" w:hAnsi="仿宋" w:eastAsia="仿宋" w:cs="仿宋_GB2312"/>
          <w:sz w:val="24"/>
          <w:highlight w:val="none"/>
          <w:lang w:val="en-US" w:eastAsia="zh-CN"/>
        </w:rPr>
        <w:t>响应</w:t>
      </w:r>
      <w:r>
        <w:rPr>
          <w:rFonts w:hint="eastAsia" w:ascii="仿宋" w:hAnsi="仿宋" w:eastAsia="仿宋" w:cs="仿宋_GB2312"/>
          <w:sz w:val="24"/>
          <w:highlight w:val="none"/>
        </w:rPr>
        <w:t>文件、澄清表（函）；</w:t>
      </w:r>
    </w:p>
    <w:p w14:paraId="300CFAE5">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本合同及附件文本</w:t>
      </w:r>
      <w:r>
        <w:rPr>
          <w:rFonts w:hint="eastAsia" w:ascii="仿宋" w:hAnsi="仿宋" w:eastAsia="仿宋" w:cs="仿宋_GB2312"/>
          <w:sz w:val="24"/>
          <w:highlight w:val="none"/>
          <w:lang w:eastAsia="zh-CN"/>
        </w:rPr>
        <w:t>、补充文件</w:t>
      </w:r>
      <w:r>
        <w:rPr>
          <w:rFonts w:hint="eastAsia" w:ascii="仿宋" w:hAnsi="仿宋" w:eastAsia="仿宋" w:cs="仿宋_GB2312"/>
          <w:sz w:val="24"/>
          <w:highlight w:val="none"/>
        </w:rPr>
        <w:t>；</w:t>
      </w:r>
    </w:p>
    <w:p w14:paraId="2B7CDDEF">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国家</w:t>
      </w:r>
      <w:r>
        <w:rPr>
          <w:rFonts w:hint="eastAsia" w:ascii="仿宋" w:hAnsi="仿宋" w:eastAsia="仿宋" w:cs="仿宋_GB2312"/>
          <w:sz w:val="24"/>
          <w:highlight w:val="none"/>
          <w:lang w:eastAsia="zh-CN"/>
        </w:rPr>
        <w:t>及省市</w:t>
      </w:r>
      <w:r>
        <w:rPr>
          <w:rFonts w:hint="eastAsia" w:ascii="仿宋" w:hAnsi="仿宋" w:eastAsia="仿宋" w:cs="仿宋_GB2312"/>
          <w:sz w:val="24"/>
          <w:highlight w:val="none"/>
        </w:rPr>
        <w:t>相应的标准、规范。</w:t>
      </w:r>
    </w:p>
    <w:p w14:paraId="1D9D06E6">
      <w:pPr>
        <w:spacing w:line="360" w:lineRule="auto"/>
        <w:ind w:firstLine="477" w:firstLineChars="198"/>
        <w:rPr>
          <w:rFonts w:hint="eastAsia" w:ascii="仿宋" w:hAnsi="仿宋" w:eastAsia="仿宋" w:cs="仿宋_GB2312"/>
          <w:b/>
          <w:sz w:val="24"/>
          <w:highlight w:val="none"/>
          <w:lang w:eastAsia="zh-CN"/>
        </w:rPr>
      </w:pPr>
      <w:r>
        <w:rPr>
          <w:rFonts w:hint="eastAsia" w:ascii="仿宋" w:hAnsi="仿宋" w:eastAsia="仿宋" w:cs="仿宋_GB2312"/>
          <w:b/>
          <w:sz w:val="24"/>
          <w:highlight w:val="none"/>
        </w:rPr>
        <w:t>第</w:t>
      </w:r>
      <w:r>
        <w:rPr>
          <w:rFonts w:hint="eastAsia" w:ascii="仿宋" w:hAnsi="仿宋" w:eastAsia="仿宋" w:cs="仿宋_GB2312"/>
          <w:b/>
          <w:sz w:val="24"/>
          <w:highlight w:val="none"/>
          <w:lang w:eastAsia="zh-CN"/>
        </w:rPr>
        <w:t>八</w:t>
      </w:r>
      <w:r>
        <w:rPr>
          <w:rFonts w:hint="eastAsia" w:ascii="仿宋" w:hAnsi="仿宋" w:eastAsia="仿宋" w:cs="仿宋_GB2312"/>
          <w:b/>
          <w:sz w:val="24"/>
          <w:highlight w:val="none"/>
        </w:rPr>
        <w:t xml:space="preserve">条 </w:t>
      </w:r>
      <w:r>
        <w:rPr>
          <w:rFonts w:hint="eastAsia" w:ascii="仿宋" w:hAnsi="仿宋" w:eastAsia="仿宋" w:cs="仿宋_GB2312"/>
          <w:b/>
          <w:sz w:val="24"/>
          <w:highlight w:val="none"/>
          <w:lang w:eastAsia="zh-CN"/>
        </w:rPr>
        <w:t>违约责任</w:t>
      </w:r>
    </w:p>
    <w:p w14:paraId="64D6AE3C">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1、按《中华人民共和国民法典》中的相关条款执行。</w:t>
      </w:r>
    </w:p>
    <w:p w14:paraId="1BF3C709">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2、乙方履约延误。</w:t>
      </w:r>
    </w:p>
    <w:p w14:paraId="582C3E1C">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1）如乙方事先未征得甲方同意并得到甲方的谅解而单方面延迟交货，将按违约终止合同。</w:t>
      </w:r>
    </w:p>
    <w:p w14:paraId="7C5D9143">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未提供服务的服务费用的百分之零点五（0.5%）计收，直至提供服务为止。误期赔偿费的最高限额为合同价格的百分之五（5%）。一旦达到误期赔偿费的最高限额，甲方可终止合同。</w:t>
      </w:r>
    </w:p>
    <w:p w14:paraId="74948B54">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3）违约终止合同：未按合同要求提供服务质量不能满足技术要求，甲方会同监督机构有权终止合同，对乙方违约行为进行追究，同时按政府采购法的有关规定进行相应的处罚。</w:t>
      </w:r>
    </w:p>
    <w:p w14:paraId="6FF40D87">
      <w:pPr>
        <w:spacing w:line="360" w:lineRule="auto"/>
        <w:ind w:firstLine="477" w:firstLineChars="198"/>
        <w:rPr>
          <w:rFonts w:hint="eastAsia" w:ascii="仿宋" w:hAnsi="仿宋" w:eastAsia="仿宋" w:cs="仿宋_GB2312"/>
          <w:b/>
          <w:sz w:val="24"/>
          <w:highlight w:val="none"/>
        </w:rPr>
      </w:pPr>
      <w:r>
        <w:rPr>
          <w:rFonts w:hint="eastAsia" w:ascii="仿宋" w:hAnsi="仿宋" w:eastAsia="仿宋" w:cs="仿宋_GB2312"/>
          <w:b/>
          <w:sz w:val="24"/>
          <w:highlight w:val="none"/>
        </w:rPr>
        <w:t>第</w:t>
      </w:r>
      <w:r>
        <w:rPr>
          <w:rFonts w:hint="eastAsia" w:ascii="仿宋" w:hAnsi="仿宋" w:eastAsia="仿宋" w:cs="仿宋_GB2312"/>
          <w:b/>
          <w:sz w:val="24"/>
          <w:highlight w:val="none"/>
          <w:lang w:eastAsia="zh-CN"/>
        </w:rPr>
        <w:t>九</w:t>
      </w:r>
      <w:r>
        <w:rPr>
          <w:rFonts w:hint="eastAsia" w:ascii="仿宋" w:hAnsi="仿宋" w:eastAsia="仿宋" w:cs="仿宋_GB2312"/>
          <w:b/>
          <w:sz w:val="24"/>
          <w:highlight w:val="none"/>
        </w:rPr>
        <w:t>条 不可抗力</w:t>
      </w:r>
    </w:p>
    <w:p w14:paraId="5C13C983">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遇不可抗力或不可归责于乙方原因而造成的</w:t>
      </w:r>
      <w:r>
        <w:rPr>
          <w:rFonts w:hint="eastAsia" w:ascii="仿宋" w:hAnsi="仿宋" w:eastAsia="仿宋" w:cs="仿宋_GB2312"/>
          <w:sz w:val="24"/>
          <w:highlight w:val="none"/>
          <w:lang w:eastAsia="zh-CN"/>
        </w:rPr>
        <w:t>服务达不到要求或其他损失</w:t>
      </w:r>
      <w:r>
        <w:rPr>
          <w:rFonts w:hint="eastAsia" w:ascii="仿宋" w:hAnsi="仿宋" w:eastAsia="仿宋" w:cs="仿宋_GB2312"/>
          <w:sz w:val="24"/>
          <w:highlight w:val="none"/>
        </w:rPr>
        <w:t>，乙方应及时向甲方说明情况。遇投保财产损坏、灭失的，有关赔偿责任认定应以保险公司理赔调查为准，按保险法和有关法律规定予以赔付。</w:t>
      </w:r>
    </w:p>
    <w:p w14:paraId="43F4BF82">
      <w:pPr>
        <w:spacing w:line="360" w:lineRule="auto"/>
        <w:ind w:firstLine="477" w:firstLineChars="198"/>
        <w:rPr>
          <w:rFonts w:hint="eastAsia" w:ascii="仿宋" w:hAnsi="仿宋" w:eastAsia="仿宋" w:cs="仿宋_GB2312"/>
          <w:b/>
          <w:sz w:val="24"/>
          <w:highlight w:val="none"/>
        </w:rPr>
      </w:pPr>
      <w:r>
        <w:rPr>
          <w:rFonts w:hint="eastAsia" w:ascii="仿宋" w:hAnsi="仿宋" w:eastAsia="仿宋" w:cs="仿宋_GB2312"/>
          <w:b/>
          <w:sz w:val="24"/>
          <w:highlight w:val="none"/>
        </w:rPr>
        <w:t>第</w:t>
      </w:r>
      <w:r>
        <w:rPr>
          <w:rFonts w:hint="eastAsia" w:ascii="仿宋" w:hAnsi="仿宋" w:eastAsia="仿宋" w:cs="仿宋_GB2312"/>
          <w:b/>
          <w:sz w:val="24"/>
          <w:highlight w:val="none"/>
          <w:lang w:eastAsia="zh-CN"/>
        </w:rPr>
        <w:t>十</w:t>
      </w:r>
      <w:r>
        <w:rPr>
          <w:rFonts w:hint="eastAsia" w:ascii="仿宋" w:hAnsi="仿宋" w:eastAsia="仿宋" w:cs="仿宋_GB2312"/>
          <w:b/>
          <w:sz w:val="24"/>
          <w:highlight w:val="none"/>
        </w:rPr>
        <w:t>条 合同的变更或者解除</w:t>
      </w:r>
    </w:p>
    <w:p w14:paraId="0E101215">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1、</w:t>
      </w:r>
      <w:r>
        <w:rPr>
          <w:rFonts w:hint="eastAsia" w:ascii="仿宋" w:hAnsi="仿宋" w:eastAsia="仿宋" w:cs="仿宋_GB2312"/>
          <w:sz w:val="24"/>
          <w:highlight w:val="none"/>
        </w:rPr>
        <w:t>合同任何一方对本合同进行变更或者解除的，须经双方协商一致，签订变更或者解除协议。</w:t>
      </w:r>
    </w:p>
    <w:p w14:paraId="64251A4D">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lang w:val="en-US" w:eastAsia="zh-CN"/>
        </w:rPr>
        <w:t>2、</w:t>
      </w:r>
      <w:r>
        <w:rPr>
          <w:rFonts w:hint="eastAsia" w:ascii="仿宋" w:hAnsi="仿宋" w:eastAsia="仿宋" w:cs="仿宋_GB2312"/>
          <w:sz w:val="24"/>
          <w:highlight w:val="none"/>
          <w:lang w:eastAsia="zh-CN"/>
        </w:rPr>
        <w:t>服务</w:t>
      </w:r>
      <w:r>
        <w:rPr>
          <w:rFonts w:hint="eastAsia" w:ascii="仿宋" w:hAnsi="仿宋" w:eastAsia="仿宋" w:cs="仿宋_GB2312"/>
          <w:sz w:val="24"/>
          <w:highlight w:val="none"/>
        </w:rPr>
        <w:t>期间，合同任何一方不得单方提前终止本合同，因一方的原因致使本合同终止或者无法正常履行的，违约方应当赔偿因此给守约方造成的损失。</w:t>
      </w:r>
    </w:p>
    <w:p w14:paraId="346E24C5">
      <w:pPr>
        <w:spacing w:line="360" w:lineRule="auto"/>
        <w:ind w:firstLine="477" w:firstLineChars="198"/>
        <w:rPr>
          <w:rFonts w:hint="eastAsia" w:ascii="仿宋" w:hAnsi="仿宋" w:eastAsia="仿宋" w:cs="仿宋_GB2312"/>
          <w:b/>
          <w:sz w:val="24"/>
          <w:highlight w:val="none"/>
        </w:rPr>
      </w:pPr>
      <w:r>
        <w:rPr>
          <w:rFonts w:hint="eastAsia" w:ascii="仿宋" w:hAnsi="仿宋" w:eastAsia="仿宋" w:cs="仿宋_GB2312"/>
          <w:b/>
          <w:sz w:val="24"/>
          <w:highlight w:val="none"/>
        </w:rPr>
        <w:t>第十</w:t>
      </w:r>
      <w:r>
        <w:rPr>
          <w:rFonts w:hint="eastAsia" w:ascii="仿宋" w:hAnsi="仿宋" w:eastAsia="仿宋" w:cs="仿宋_GB2312"/>
          <w:b/>
          <w:sz w:val="24"/>
          <w:highlight w:val="none"/>
          <w:lang w:eastAsia="zh-CN"/>
        </w:rPr>
        <w:t>一</w:t>
      </w:r>
      <w:r>
        <w:rPr>
          <w:rFonts w:hint="eastAsia" w:ascii="仿宋" w:hAnsi="仿宋" w:eastAsia="仿宋" w:cs="仿宋_GB2312"/>
          <w:b/>
          <w:sz w:val="24"/>
          <w:highlight w:val="none"/>
        </w:rPr>
        <w:t>条 争议解决</w:t>
      </w:r>
    </w:p>
    <w:p w14:paraId="4BBF4DB9">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 xml:space="preserve">因本合同发生争执的，由双方协商解决，协商不成的，任何一方均有权向甲方所在地有管辖权的人民法院提出诉讼。 </w:t>
      </w:r>
    </w:p>
    <w:p w14:paraId="53347F6B">
      <w:pPr>
        <w:spacing w:line="360" w:lineRule="auto"/>
        <w:ind w:firstLine="477" w:firstLineChars="198"/>
        <w:rPr>
          <w:rFonts w:hint="eastAsia" w:ascii="仿宋" w:hAnsi="仿宋" w:eastAsia="仿宋" w:cs="仿宋_GB2312"/>
          <w:b/>
          <w:sz w:val="24"/>
          <w:highlight w:val="none"/>
          <w:lang w:val="zh-CN"/>
        </w:rPr>
      </w:pPr>
      <w:bookmarkStart w:id="9" w:name="_Toc510168661"/>
      <w:r>
        <w:rPr>
          <w:rFonts w:hint="eastAsia" w:ascii="仿宋" w:hAnsi="仿宋" w:eastAsia="仿宋" w:cs="仿宋_GB2312"/>
          <w:b/>
          <w:sz w:val="24"/>
          <w:highlight w:val="none"/>
          <w:lang w:val="zh-CN"/>
        </w:rPr>
        <w:t>第十</w:t>
      </w:r>
      <w:r>
        <w:rPr>
          <w:rFonts w:hint="eastAsia" w:ascii="仿宋" w:hAnsi="仿宋" w:eastAsia="仿宋" w:cs="仿宋_GB2312"/>
          <w:b/>
          <w:sz w:val="24"/>
          <w:highlight w:val="none"/>
          <w:lang w:eastAsia="zh-CN"/>
        </w:rPr>
        <w:t>二</w:t>
      </w:r>
      <w:r>
        <w:rPr>
          <w:rFonts w:hint="eastAsia" w:ascii="仿宋" w:hAnsi="仿宋" w:eastAsia="仿宋" w:cs="仿宋_GB2312"/>
          <w:b/>
          <w:sz w:val="24"/>
          <w:highlight w:val="none"/>
          <w:lang w:val="zh-CN"/>
        </w:rPr>
        <w:t>条</w:t>
      </w:r>
      <w:r>
        <w:rPr>
          <w:rFonts w:hint="eastAsia" w:ascii="仿宋" w:hAnsi="仿宋" w:eastAsia="仿宋" w:cs="仿宋_GB2312"/>
          <w:b/>
          <w:sz w:val="24"/>
          <w:highlight w:val="none"/>
        </w:rPr>
        <w:t xml:space="preserve"> </w:t>
      </w:r>
      <w:r>
        <w:rPr>
          <w:rFonts w:hint="eastAsia" w:ascii="仿宋" w:hAnsi="仿宋" w:eastAsia="仿宋" w:cs="仿宋_GB2312"/>
          <w:b/>
          <w:sz w:val="24"/>
          <w:highlight w:val="none"/>
          <w:lang w:val="zh-CN"/>
        </w:rPr>
        <w:t>合同生效及其它</w:t>
      </w:r>
      <w:bookmarkEnd w:id="9"/>
    </w:p>
    <w:p w14:paraId="13227A88">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（一）本合同未尽事宜，由双方协商签订补充协议，补充协议与本协议不一致的，以补充协议为准。</w:t>
      </w:r>
    </w:p>
    <w:p w14:paraId="388FCBA4">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（二）合同附件与本合同具有同等法律效力。</w:t>
      </w:r>
    </w:p>
    <w:p w14:paraId="096626B7">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（三）本合同正本一式</w:t>
      </w:r>
      <w:r>
        <w:rPr>
          <w:rFonts w:hint="eastAsia" w:ascii="仿宋" w:hAnsi="仿宋" w:eastAsia="仿宋" w:cs="仿宋_GB2312"/>
          <w:sz w:val="24"/>
          <w:highlight w:val="none"/>
          <w:u w:val="single"/>
          <w:lang w:val="en-US" w:eastAsia="zh-CN"/>
        </w:rPr>
        <w:t xml:space="preserve">   </w:t>
      </w:r>
      <w:r>
        <w:rPr>
          <w:rFonts w:hint="eastAsia" w:ascii="仿宋" w:hAnsi="仿宋" w:eastAsia="仿宋" w:cs="仿宋_GB2312"/>
          <w:sz w:val="24"/>
          <w:highlight w:val="none"/>
        </w:rPr>
        <w:t>份，甲方执</w:t>
      </w:r>
      <w:r>
        <w:rPr>
          <w:rFonts w:hint="eastAsia" w:ascii="仿宋" w:hAnsi="仿宋" w:eastAsia="仿宋" w:cs="仿宋_GB2312"/>
          <w:sz w:val="24"/>
          <w:highlight w:val="none"/>
          <w:u w:val="single"/>
          <w:lang w:val="en-US" w:eastAsia="zh-CN"/>
        </w:rPr>
        <w:t xml:space="preserve">   </w:t>
      </w:r>
      <w:r>
        <w:rPr>
          <w:rFonts w:hint="eastAsia" w:ascii="仿宋" w:hAnsi="仿宋" w:eastAsia="仿宋" w:cs="仿宋_GB2312"/>
          <w:sz w:val="24"/>
          <w:highlight w:val="none"/>
        </w:rPr>
        <w:t>份，乙方执</w:t>
      </w:r>
      <w:r>
        <w:rPr>
          <w:rFonts w:hint="eastAsia" w:ascii="仿宋" w:hAnsi="仿宋" w:eastAsia="仿宋" w:cs="仿宋_GB2312"/>
          <w:sz w:val="24"/>
          <w:highlight w:val="none"/>
          <w:u w:val="single"/>
          <w:lang w:val="en-US" w:eastAsia="zh-CN"/>
        </w:rPr>
        <w:t xml:space="preserve">   </w:t>
      </w:r>
      <w:r>
        <w:rPr>
          <w:rFonts w:hint="eastAsia" w:ascii="仿宋" w:hAnsi="仿宋" w:eastAsia="仿宋" w:cs="仿宋_GB2312"/>
          <w:sz w:val="24"/>
          <w:highlight w:val="none"/>
        </w:rPr>
        <w:t>份。</w:t>
      </w:r>
    </w:p>
    <w:p w14:paraId="47439129">
      <w:pPr>
        <w:spacing w:line="360" w:lineRule="auto"/>
        <w:ind w:firstLine="475" w:firstLineChars="198"/>
        <w:rPr>
          <w:rFonts w:hint="eastAsia" w:ascii="仿宋" w:hAnsi="仿宋" w:eastAsia="仿宋" w:cs="仿宋_GB2312"/>
          <w:sz w:val="24"/>
          <w:highlight w:val="none"/>
        </w:rPr>
      </w:pPr>
      <w:r>
        <w:rPr>
          <w:rFonts w:hint="eastAsia" w:ascii="仿宋" w:hAnsi="仿宋" w:eastAsia="仿宋" w:cs="仿宋_GB2312"/>
          <w:sz w:val="24"/>
          <w:highlight w:val="none"/>
        </w:rPr>
        <w:t>（四）合同经甲乙双方盖章、签字后生效，合同签订地点为</w:t>
      </w:r>
      <w:r>
        <w:rPr>
          <w:rFonts w:hint="eastAsia" w:ascii="仿宋" w:hAnsi="仿宋" w:eastAsia="仿宋" w:cs="仿宋_GB2312"/>
          <w:sz w:val="24"/>
          <w:highlight w:val="none"/>
          <w:u w:val="single"/>
          <w:lang w:val="en-US" w:eastAsia="zh-CN"/>
        </w:rPr>
        <w:t xml:space="preserve">         </w:t>
      </w:r>
      <w:r>
        <w:rPr>
          <w:rFonts w:hint="eastAsia" w:ascii="仿宋" w:hAnsi="仿宋" w:eastAsia="仿宋" w:cs="仿宋_GB2312"/>
          <w:sz w:val="24"/>
          <w:highlight w:val="none"/>
        </w:rPr>
        <w:t>。</w:t>
      </w:r>
    </w:p>
    <w:p w14:paraId="7E259F76">
      <w:pPr>
        <w:widowControl/>
        <w:tabs>
          <w:tab w:val="left" w:pos="8391"/>
        </w:tabs>
        <w:autoSpaceDE w:val="0"/>
        <w:autoSpaceDN w:val="0"/>
        <w:snapToGrid w:val="0"/>
        <w:spacing w:line="360" w:lineRule="auto"/>
        <w:ind w:right="-69"/>
        <w:textAlignment w:val="bottom"/>
        <w:rPr>
          <w:rFonts w:hint="eastAsia" w:ascii="仿宋" w:hAnsi="仿宋" w:eastAsia="仿宋" w:cs="仿宋_GB2312"/>
          <w:sz w:val="24"/>
          <w:highlight w:val="none"/>
        </w:rPr>
      </w:pPr>
    </w:p>
    <w:p w14:paraId="636539D9">
      <w:pPr>
        <w:spacing w:line="360" w:lineRule="auto"/>
        <w:ind w:firstLine="475" w:firstLineChars="198"/>
        <w:rPr>
          <w:rFonts w:ascii="仿宋" w:hAnsi="仿宋" w:eastAsia="仿宋" w:cs="仿宋_GB2312"/>
          <w:sz w:val="24"/>
          <w:highlight w:val="none"/>
        </w:rPr>
      </w:pPr>
    </w:p>
    <w:p w14:paraId="48B88D4B">
      <w:pPr>
        <w:widowControl/>
        <w:tabs>
          <w:tab w:val="left" w:pos="8391"/>
        </w:tabs>
        <w:autoSpaceDE w:val="0"/>
        <w:autoSpaceDN w:val="0"/>
        <w:snapToGrid w:val="0"/>
        <w:spacing w:line="510" w:lineRule="exact"/>
        <w:ind w:right="-69" w:firstLine="200"/>
        <w:textAlignment w:val="bottom"/>
        <w:rPr>
          <w:rFonts w:hint="eastAsia" w:ascii="仿宋" w:hAnsi="仿宋" w:eastAsia="仿宋" w:cs="仿宋_GB2312"/>
          <w:sz w:val="24"/>
          <w:highlight w:val="none"/>
        </w:rPr>
      </w:pPr>
      <w:r>
        <w:rPr>
          <w:rFonts w:hint="eastAsia" w:ascii="仿宋" w:hAnsi="仿宋" w:eastAsia="仿宋" w:cs="仿宋_GB2312"/>
          <w:sz w:val="24"/>
          <w:highlight w:val="none"/>
        </w:rPr>
        <w:t>（以下无正文）</w:t>
      </w:r>
    </w:p>
    <w:p w14:paraId="585BA36D">
      <w:pPr>
        <w:widowControl/>
        <w:tabs>
          <w:tab w:val="left" w:pos="8391"/>
        </w:tabs>
        <w:autoSpaceDE w:val="0"/>
        <w:autoSpaceDN w:val="0"/>
        <w:snapToGrid w:val="0"/>
        <w:spacing w:line="510" w:lineRule="exact"/>
        <w:ind w:right="-69" w:firstLine="200"/>
        <w:textAlignment w:val="bottom"/>
        <w:rPr>
          <w:rFonts w:hint="eastAsia" w:ascii="仿宋" w:hAnsi="仿宋" w:eastAsia="仿宋" w:cs="宋体"/>
          <w:sz w:val="24"/>
          <w:highlight w:val="none"/>
        </w:rPr>
      </w:pPr>
      <w:r>
        <w:rPr>
          <w:rFonts w:hint="eastAsia" w:ascii="仿宋" w:hAnsi="仿宋" w:eastAsia="仿宋" w:cs="宋体"/>
          <w:kern w:val="0"/>
          <w:sz w:val="24"/>
          <w:highlight w:val="none"/>
        </w:rPr>
        <w:t>（本页为签署页</w:t>
      </w:r>
      <w:r>
        <w:rPr>
          <w:rFonts w:hint="eastAsia" w:ascii="仿宋" w:hAnsi="仿宋" w:eastAsia="仿宋" w:cs="宋体"/>
          <w:sz w:val="24"/>
          <w:highlight w:val="none"/>
        </w:rPr>
        <w:t>）</w:t>
      </w:r>
    </w:p>
    <w:p w14:paraId="206110EB">
      <w:pPr>
        <w:widowControl/>
        <w:tabs>
          <w:tab w:val="left" w:pos="8391"/>
        </w:tabs>
        <w:autoSpaceDE w:val="0"/>
        <w:autoSpaceDN w:val="0"/>
        <w:snapToGrid w:val="0"/>
        <w:spacing w:line="510" w:lineRule="exact"/>
        <w:ind w:right="-69" w:firstLine="840" w:firstLineChars="350"/>
        <w:textAlignment w:val="bottom"/>
        <w:rPr>
          <w:rFonts w:hint="eastAsia" w:ascii="仿宋" w:hAnsi="仿宋" w:eastAsia="仿宋" w:cs="宋体"/>
          <w:kern w:val="0"/>
          <w:sz w:val="24"/>
          <w:highlight w:val="none"/>
        </w:rPr>
      </w:pPr>
    </w:p>
    <w:p w14:paraId="07944394">
      <w:pPr>
        <w:widowControl/>
        <w:tabs>
          <w:tab w:val="left" w:pos="8391"/>
        </w:tabs>
        <w:autoSpaceDE w:val="0"/>
        <w:autoSpaceDN w:val="0"/>
        <w:snapToGrid w:val="0"/>
        <w:spacing w:line="510" w:lineRule="exact"/>
        <w:ind w:right="-69" w:firstLine="840" w:firstLineChars="350"/>
        <w:textAlignment w:val="bottom"/>
        <w:rPr>
          <w:rFonts w:hint="eastAsia" w:ascii="仿宋" w:hAnsi="仿宋" w:eastAsia="仿宋" w:cs="宋体"/>
          <w:kern w:val="0"/>
          <w:sz w:val="24"/>
          <w:highlight w:val="none"/>
        </w:rPr>
      </w:pPr>
    </w:p>
    <w:tbl>
      <w:tblPr>
        <w:tblStyle w:val="7"/>
        <w:tblW w:w="0" w:type="auto"/>
        <w:jc w:val="center"/>
        <w:tblLayout w:type="fixed"/>
        <w:tblCellMar>
          <w:top w:w="0" w:type="dxa"/>
          <w:left w:w="108" w:type="dxa"/>
          <w:bottom w:w="0" w:type="dxa"/>
          <w:right w:w="108" w:type="dxa"/>
        </w:tblCellMar>
      </w:tblPr>
      <w:tblGrid>
        <w:gridCol w:w="4928"/>
        <w:gridCol w:w="5345"/>
      </w:tblGrid>
      <w:tr w14:paraId="04E85B34">
        <w:trPr>
          <w:jc w:val="center"/>
        </w:trPr>
        <w:tc>
          <w:tcPr>
            <w:tcW w:w="4928" w:type="dxa"/>
            <w:noWrap w:val="0"/>
            <w:vAlign w:val="top"/>
          </w:tcPr>
          <w:p w14:paraId="2B3E7C3C">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lang w:val="zh-CN"/>
              </w:rPr>
            </w:pPr>
            <w:r>
              <w:rPr>
                <w:rFonts w:hint="eastAsia" w:ascii="仿宋" w:hAnsi="仿宋" w:eastAsia="仿宋" w:cs="宋体"/>
                <w:kern w:val="0"/>
                <w:sz w:val="24"/>
                <w:highlight w:val="none"/>
              </w:rPr>
              <w:t>甲方（盖章）:</w:t>
            </w:r>
          </w:p>
          <w:p w14:paraId="3A4F00DD">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62CFF68E">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71766E8E">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法定代表人：</w:t>
            </w:r>
          </w:p>
          <w:p w14:paraId="26264542">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（或委托人）</w:t>
            </w:r>
          </w:p>
          <w:p w14:paraId="421D07BE">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5371157C">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3FEDA3ED">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开户银行：</w:t>
            </w:r>
          </w:p>
          <w:p w14:paraId="6981282D">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帐    号：</w:t>
            </w:r>
          </w:p>
          <w:p w14:paraId="30730E74">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地    址：</w:t>
            </w:r>
          </w:p>
          <w:p w14:paraId="30B5685B">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电    话：</w:t>
            </w:r>
          </w:p>
        </w:tc>
        <w:tc>
          <w:tcPr>
            <w:tcW w:w="5345" w:type="dxa"/>
            <w:noWrap w:val="0"/>
            <w:vAlign w:val="top"/>
          </w:tcPr>
          <w:p w14:paraId="5A5A7DB0">
            <w:pPr>
              <w:widowControl/>
              <w:autoSpaceDE w:val="0"/>
              <w:autoSpaceDN w:val="0"/>
              <w:snapToGrid w:val="0"/>
              <w:spacing w:line="510" w:lineRule="exact"/>
              <w:ind w:right="-154" w:firstLine="240" w:firstLineChars="100"/>
              <w:textAlignment w:val="bottom"/>
              <w:rPr>
                <w:rFonts w:hint="eastAsia" w:ascii="仿宋" w:hAnsi="仿宋" w:eastAsia="仿宋" w:cs="宋体"/>
                <w:kern w:val="0"/>
                <w:sz w:val="24"/>
                <w:highlight w:val="none"/>
                <w:lang w:val="zh-CN"/>
              </w:rPr>
            </w:pPr>
            <w:r>
              <w:rPr>
                <w:rFonts w:hint="eastAsia" w:ascii="仿宋" w:hAnsi="仿宋" w:eastAsia="仿宋" w:cs="宋体"/>
                <w:kern w:val="0"/>
                <w:sz w:val="24"/>
                <w:highlight w:val="none"/>
              </w:rPr>
              <w:t xml:space="preserve">乙方（盖章）: </w:t>
            </w:r>
          </w:p>
          <w:p w14:paraId="1BA8DB74">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7FABDE45">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53D0C543">
            <w:pPr>
              <w:widowControl/>
              <w:autoSpaceDE w:val="0"/>
              <w:autoSpaceDN w:val="0"/>
              <w:snapToGrid w:val="0"/>
              <w:spacing w:line="510" w:lineRule="exact"/>
              <w:ind w:right="-154" w:firstLine="240" w:firstLineChars="1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法定代表人：</w:t>
            </w:r>
          </w:p>
          <w:p w14:paraId="5B99BBDA">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（或委托人）</w:t>
            </w:r>
          </w:p>
          <w:p w14:paraId="757CA6FF">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4E3DE904">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p w14:paraId="2868DCB8">
            <w:pPr>
              <w:widowControl/>
              <w:autoSpaceDE w:val="0"/>
              <w:autoSpaceDN w:val="0"/>
              <w:snapToGrid w:val="0"/>
              <w:spacing w:line="510" w:lineRule="exact"/>
              <w:ind w:right="-154" w:firstLine="240" w:firstLineChars="1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开户银行：</w:t>
            </w:r>
          </w:p>
          <w:p w14:paraId="203F6783">
            <w:pPr>
              <w:widowControl/>
              <w:autoSpaceDE w:val="0"/>
              <w:autoSpaceDN w:val="0"/>
              <w:snapToGrid w:val="0"/>
              <w:spacing w:line="510" w:lineRule="exact"/>
              <w:ind w:right="-154" w:firstLine="240" w:firstLineChars="1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帐    号：</w:t>
            </w:r>
          </w:p>
          <w:p w14:paraId="71D69A8A">
            <w:pPr>
              <w:widowControl/>
              <w:autoSpaceDE w:val="0"/>
              <w:autoSpaceDN w:val="0"/>
              <w:snapToGrid w:val="0"/>
              <w:spacing w:line="510" w:lineRule="exact"/>
              <w:ind w:right="-154" w:firstLine="240" w:firstLineChars="1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地    址：</w:t>
            </w:r>
          </w:p>
          <w:p w14:paraId="5086F658">
            <w:pPr>
              <w:widowControl/>
              <w:autoSpaceDE w:val="0"/>
              <w:autoSpaceDN w:val="0"/>
              <w:snapToGrid w:val="0"/>
              <w:spacing w:line="510" w:lineRule="exact"/>
              <w:ind w:right="-154" w:firstLine="240" w:firstLineChars="100"/>
              <w:textAlignment w:val="bottom"/>
              <w:rPr>
                <w:rFonts w:hint="eastAsia" w:ascii="仿宋" w:hAnsi="仿宋" w:eastAsia="仿宋" w:cs="宋体"/>
                <w:kern w:val="0"/>
                <w:sz w:val="24"/>
                <w:highlight w:val="none"/>
              </w:rPr>
            </w:pPr>
            <w:r>
              <w:rPr>
                <w:rFonts w:hint="eastAsia" w:ascii="仿宋" w:hAnsi="仿宋" w:eastAsia="仿宋" w:cs="宋体"/>
                <w:kern w:val="0"/>
                <w:sz w:val="24"/>
                <w:highlight w:val="none"/>
              </w:rPr>
              <w:t>电    话：</w:t>
            </w:r>
          </w:p>
          <w:p w14:paraId="2520B871">
            <w:pPr>
              <w:widowControl/>
              <w:autoSpaceDE w:val="0"/>
              <w:autoSpaceDN w:val="0"/>
              <w:snapToGrid w:val="0"/>
              <w:spacing w:line="510" w:lineRule="exact"/>
              <w:ind w:right="-154" w:firstLine="200"/>
              <w:textAlignment w:val="bottom"/>
              <w:rPr>
                <w:rFonts w:hint="eastAsia" w:ascii="仿宋" w:hAnsi="仿宋" w:eastAsia="仿宋" w:cs="宋体"/>
                <w:kern w:val="0"/>
                <w:sz w:val="24"/>
                <w:highlight w:val="none"/>
              </w:rPr>
            </w:pPr>
          </w:p>
        </w:tc>
      </w:tr>
    </w:tbl>
    <w:p w14:paraId="28A6E663">
      <w:pPr>
        <w:pStyle w:val="6"/>
        <w:spacing w:before="0" w:after="0" w:line="360" w:lineRule="auto"/>
        <w:jc w:val="left"/>
        <w:rPr>
          <w:rFonts w:ascii="仿宋" w:hAnsi="仿宋" w:eastAsia="仿宋" w:cs="黑体"/>
          <w:sz w:val="24"/>
          <w:highlight w:val="none"/>
        </w:rPr>
      </w:pPr>
    </w:p>
    <w:p w14:paraId="7D61773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roma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FE056D"/>
    <w:multiLevelType w:val="singleLevel"/>
    <w:tmpl w:val="D1FE056D"/>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280788E"/>
    <w:rsid w:val="03566D09"/>
    <w:rsid w:val="049C7DEF"/>
    <w:rsid w:val="0D085403"/>
    <w:rsid w:val="0E6F05A5"/>
    <w:rsid w:val="121D3D00"/>
    <w:rsid w:val="1C533032"/>
    <w:rsid w:val="1CF961DC"/>
    <w:rsid w:val="23F603CF"/>
    <w:rsid w:val="26834513"/>
    <w:rsid w:val="26B648E9"/>
    <w:rsid w:val="2A426494"/>
    <w:rsid w:val="2BE75544"/>
    <w:rsid w:val="2C4B7881"/>
    <w:rsid w:val="2D524C40"/>
    <w:rsid w:val="2E1F7FCE"/>
    <w:rsid w:val="330E785B"/>
    <w:rsid w:val="38933405"/>
    <w:rsid w:val="38CE5AC2"/>
    <w:rsid w:val="3A4F2C33"/>
    <w:rsid w:val="3BDD426E"/>
    <w:rsid w:val="3C8D1F88"/>
    <w:rsid w:val="3FE45BCB"/>
    <w:rsid w:val="418F600A"/>
    <w:rsid w:val="432B4475"/>
    <w:rsid w:val="44254A04"/>
    <w:rsid w:val="4651318A"/>
    <w:rsid w:val="49B52386"/>
    <w:rsid w:val="4B6E4EE3"/>
    <w:rsid w:val="4E4E74AE"/>
    <w:rsid w:val="5280788E"/>
    <w:rsid w:val="55284354"/>
    <w:rsid w:val="5BCD387C"/>
    <w:rsid w:val="5D4E06D0"/>
    <w:rsid w:val="68220C4C"/>
    <w:rsid w:val="6A503CD9"/>
    <w:rsid w:val="6B9D2F4E"/>
    <w:rsid w:val="70025A76"/>
    <w:rsid w:val="70E76A1A"/>
    <w:rsid w:val="75ED4AD2"/>
    <w:rsid w:val="7644531F"/>
    <w:rsid w:val="77FC0FFD"/>
    <w:rsid w:val="7AC8166A"/>
    <w:rsid w:val="7BD06A28"/>
    <w:rsid w:val="7ECB34D7"/>
    <w:rsid w:val="7F361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0"/>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basedOn w:val="1"/>
    <w:next w:val="3"/>
    <w:qFormat/>
    <w:uiPriority w:val="99"/>
    <w:pPr>
      <w:tabs>
        <w:tab w:val="left" w:pos="567"/>
      </w:tabs>
      <w:spacing w:before="120" w:line="22" w:lineRule="atLeast"/>
    </w:pPr>
    <w:rPr>
      <w:rFonts w:ascii="宋体" w:hAnsi="宋体"/>
      <w:sz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0"/>
    <w:pPr>
      <w:spacing w:before="240" w:after="60"/>
      <w:jc w:val="center"/>
      <w:outlineLvl w:val="0"/>
    </w:pPr>
    <w:rPr>
      <w:rFonts w:ascii="Cambria" w:hAnsi="Cambria"/>
      <w:b/>
      <w:bCs/>
      <w:sz w:val="32"/>
      <w:szCs w:val="32"/>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Char"/>
    <w:link w:val="2"/>
    <w:qFormat/>
    <w:uiPriority w:val="0"/>
    <w:rPr>
      <w:rFonts w:ascii="宋体"/>
      <w:b/>
      <w:kern w:val="44"/>
      <w:sz w:val="32"/>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2610</Words>
  <Characters>2638</Characters>
  <Lines>0</Lines>
  <Paragraphs>0</Paragraphs>
  <TotalTime>0</TotalTime>
  <ScaleCrop>false</ScaleCrop>
  <LinksUpToDate>false</LinksUpToDate>
  <CharactersWithSpaces>2775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2024-08-20T02:29:00Z</dcterms:created>
  <dc:creator>Dream</dc:creator>
  <cp:lastModifiedBy>Dream</cp:lastModifiedBy>
  <dcterms:modified xsi:type="dcterms:W3CDTF">2024-09-12T01:38:30Z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636D41A024DA40DAAF757E532AA9F2C2_11</vt:lpwstr>
  </property>
</Properties>
</file>