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雁塔分局七氟丙烷气体消防灭火设备安装项目(二次)</w:t>
      </w:r>
    </w:p>
    <w:p>
      <w:pPr>
        <w:pStyle w:val="null3"/>
        <w:jc w:val="center"/>
        <w:outlineLvl w:val="2"/>
      </w:pPr>
      <w:r>
        <w:rPr>
          <w:sz w:val="28"/>
          <w:b/>
        </w:rPr>
        <w:t>采购项目编号：</w:t>
      </w:r>
      <w:r>
        <w:rPr>
          <w:sz w:val="28"/>
          <w:b/>
        </w:rPr>
        <w:t>SXKS2024-ZC0703.1B1</w:t>
      </w:r>
      <w:r>
        <w:br/>
      </w:r>
      <w:r>
        <w:br/>
      </w:r>
      <w:r>
        <w:br/>
      </w:r>
    </w:p>
    <w:p>
      <w:pPr>
        <w:pStyle w:val="null3"/>
        <w:jc w:val="center"/>
        <w:outlineLvl w:val="2"/>
      </w:pPr>
      <w:r>
        <w:rPr>
          <w:sz w:val="28"/>
          <w:b/>
        </w:rPr>
        <w:t>西安市公安局雁塔分局</w:t>
      </w:r>
    </w:p>
    <w:p>
      <w:pPr>
        <w:pStyle w:val="null3"/>
        <w:jc w:val="center"/>
        <w:outlineLvl w:val="2"/>
      </w:pPr>
      <w:r>
        <w:rPr>
          <w:sz w:val="28"/>
          <w:b/>
        </w:rPr>
        <w:t>陕西坤硕项目管理有限公司</w:t>
      </w:r>
      <w:r>
        <w:rPr>
          <w:sz w:val="28"/>
          <w:b/>
        </w:rPr>
        <w:t>共同编制</w:t>
      </w:r>
    </w:p>
    <w:p>
      <w:pPr>
        <w:pStyle w:val="null3"/>
        <w:jc w:val="center"/>
        <w:outlineLvl w:val="2"/>
      </w:pPr>
      <w:r>
        <w:rPr>
          <w:sz w:val="28"/>
          <w:b/>
        </w:rPr>
        <w:t>2024年08月23日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陕西坤硕项目管理有限公司</w:t>
      </w:r>
      <w:r>
        <w:rPr/>
        <w:t>（以下简称“代理机构”）受</w:t>
      </w:r>
      <w:r>
        <w:rPr/>
        <w:t>西安市公安局雁塔分局</w:t>
      </w:r>
      <w:r>
        <w:rPr/>
        <w:t>委托，拟对</w:t>
      </w:r>
      <w:r>
        <w:rPr/>
        <w:t>雁塔分局七氟丙烷气体消防灭火设备安装项目(二次)</w:t>
      </w:r>
      <w:r>
        <w:rPr/>
        <w:t>采用竞争性磋商采购方式进行采购，兹邀请供应商参加本项目的竞争性磋商。</w:t>
      </w:r>
    </w:p>
    <w:p>
      <w:pPr>
        <w:pStyle w:val="null3"/>
        <w:outlineLvl w:val="2"/>
      </w:pPr>
      <w:r>
        <w:rPr>
          <w:sz w:val="28"/>
          <w:b/>
        </w:rPr>
        <w:t>一、采购项目编号：</w:t>
      </w:r>
      <w:r>
        <w:rPr>
          <w:sz w:val="28"/>
          <w:b/>
        </w:rPr>
        <w:t>SXKS2024-ZC0703.1B1</w:t>
      </w:r>
    </w:p>
    <w:p>
      <w:pPr>
        <w:pStyle w:val="null3"/>
        <w:outlineLvl w:val="2"/>
      </w:pPr>
      <w:r>
        <w:rPr>
          <w:sz w:val="28"/>
          <w:b/>
        </w:rPr>
        <w:t>二、采购项目名称：</w:t>
      </w:r>
      <w:r>
        <w:rPr>
          <w:sz w:val="28"/>
          <w:b/>
        </w:rPr>
        <w:t>雁塔分局七氟丙烷气体消防灭火设备安装项目(二次)</w:t>
      </w:r>
    </w:p>
    <w:p>
      <w:pPr>
        <w:pStyle w:val="null3"/>
        <w:outlineLvl w:val="2"/>
      </w:pPr>
      <w:r>
        <w:rPr>
          <w:sz w:val="28"/>
          <w:b/>
        </w:rPr>
        <w:t>三、磋商项目简介</w:t>
      </w:r>
    </w:p>
    <w:p>
      <w:pPr>
        <w:pStyle w:val="null3"/>
        <w:ind w:firstLine="480"/>
      </w:pPr>
      <w:r>
        <w:rPr/>
        <w:t>西安市公安局雁塔分局七氟丙烷气体消防灭火设备安装项目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采购包1（雁塔分局七氟丙烷气体消防灭火设备安装项目）：属于专门面向中小企业采购。</w:t>
      </w:r>
    </w:p>
    <w:p>
      <w:pPr>
        <w:pStyle w:val="null3"/>
        <w:ind w:firstLine="480"/>
      </w:pPr>
      <w:r>
        <w:rPr/>
        <w:t>（三）本项目的特定资格要求：</w:t>
      </w:r>
    </w:p>
    <w:p>
      <w:pPr>
        <w:pStyle w:val="null3"/>
      </w:pPr>
      <w:r>
        <w:rPr/>
        <w:t>采购包1：</w:t>
      </w:r>
    </w:p>
    <w:p>
      <w:pPr>
        <w:pStyle w:val="null3"/>
      </w:pPr>
      <w:r>
        <w:rPr/>
        <w:t>1、1拟派项目经理具有机电二级及以上注册建造师资格。 2供应商须具备消防设施工程专业承包二级及以上资质，且具备有效的安全生产许可证。：提供相关证书及拟派项目负责人相关证书</w:t>
      </w:r>
    </w:p>
    <w:p>
      <w:pPr>
        <w:pStyle w:val="null3"/>
      </w:pPr>
      <w:r>
        <w:rPr/>
        <w:t>2、供应商不得在“信用中国” 网站被列 入失信惩戒对象记录名单和不得在 “ 中国政府采购网”被列入政府采购 严重违法失信行为记录名单。：供应商需在项目电子化交易系统中按要求上传 相应证明文件并进行电子签章。</w:t>
      </w:r>
    </w:p>
    <w:p>
      <w:pPr>
        <w:pStyle w:val="null3"/>
      </w:pPr>
      <w:r>
        <w:rPr/>
        <w:t>3、法定代表人（负责人）或其授权代理人：法定代表人或负责人直接参加磋商的，须出具 法人或负责人身份证明、法人或负责人身份证 原件及复印件（加盖单位公章）；法定代表人 或负责人授权代表参加磋商的，须出具法定代 表人或负责人授权书（附法定代表人或负责人 身份证复印件加盖单位公章）及被授权人身份证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西安市公安局雁塔分局</w:t>
      </w:r>
    </w:p>
    <w:p>
      <w:pPr>
        <w:pStyle w:val="null3"/>
      </w:pPr>
      <w:r>
        <w:rPr/>
        <w:t xml:space="preserve"> 地址： </w:t>
      </w:r>
      <w:r>
        <w:rPr/>
        <w:t>雁塔区翠华路333号</w:t>
      </w:r>
    </w:p>
    <w:p>
      <w:pPr>
        <w:pStyle w:val="null3"/>
      </w:pPr>
      <w:r>
        <w:rPr/>
        <w:t xml:space="preserve"> 邮编： </w:t>
      </w:r>
      <w:r>
        <w:rPr/>
        <w:t>710061</w:t>
      </w:r>
    </w:p>
    <w:p>
      <w:pPr>
        <w:pStyle w:val="null3"/>
      </w:pPr>
      <w:r>
        <w:rPr/>
        <w:t xml:space="preserve"> 联系人： </w:t>
      </w:r>
      <w:r>
        <w:rPr/>
        <w:t>西安市公安局雁塔分局经办</w:t>
      </w:r>
    </w:p>
    <w:p>
      <w:pPr>
        <w:pStyle w:val="null3"/>
      </w:pPr>
      <w:r>
        <w:rPr/>
        <w:t xml:space="preserve"> 联系电话： </w:t>
      </w:r>
      <w:r>
        <w:rPr/>
        <w:t>18591898230</w:t>
      </w:r>
    </w:p>
    <w:p>
      <w:pPr>
        <w:pStyle w:val="null3"/>
        <w:outlineLvl w:val="3"/>
      </w:pPr>
      <w:r>
        <w:rPr>
          <w:sz w:val="24"/>
          <w:b/>
        </w:rPr>
        <w:t>代理机构：</w:t>
      </w:r>
      <w:r>
        <w:rPr>
          <w:sz w:val="24"/>
          <w:b/>
        </w:rPr>
        <w:t>陕西坤硕项目管理有限公司</w:t>
      </w:r>
    </w:p>
    <w:p>
      <w:pPr>
        <w:pStyle w:val="null3"/>
      </w:pPr>
      <w:r>
        <w:rPr/>
        <w:t xml:space="preserve"> 地址： </w:t>
      </w:r>
      <w:r>
        <w:rPr/>
        <w:t>西安市雁塔区电子西街源来淮扬菜4层（陕西坤硕）</w:t>
      </w:r>
    </w:p>
    <w:p>
      <w:pPr>
        <w:pStyle w:val="null3"/>
      </w:pPr>
      <w:r>
        <w:rPr/>
        <w:t xml:space="preserve"> 邮编： </w:t>
      </w:r>
      <w:r>
        <w:rPr/>
        <w:t>710000</w:t>
      </w:r>
    </w:p>
    <w:p>
      <w:pPr>
        <w:pStyle w:val="null3"/>
      </w:pPr>
      <w:r>
        <w:rPr/>
        <w:t xml:space="preserve"> 联系人： </w:t>
      </w:r>
      <w:r>
        <w:rPr/>
        <w:t>杨阳</w:t>
      </w:r>
    </w:p>
    <w:p>
      <w:pPr>
        <w:pStyle w:val="null3"/>
      </w:pPr>
      <w:r>
        <w:rPr/>
        <w:t xml:space="preserve"> 联系电话： </w:t>
      </w:r>
      <w:r>
        <w:rPr/>
        <w:t>029-88216834</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代理服务费收费标准：本项目代理服务费按国家计委颁发的《招标代理服务收费管理暂行办法 》（计价格[2002]1980号）和国家发展改革委员会办公厅颁发的《关于招标代理服务收费有关 问题的通知》（发改办价格[2003]857号）规定收取。由本项目成交供应商在领取成交通知书前向采购代理机构一次性支付。</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西安市公安局雁塔分局</w:t>
      </w:r>
      <w:r>
        <w:rPr/>
        <w:t>和</w:t>
      </w:r>
      <w:r>
        <w:rPr/>
        <w:t>陕西坤硕项目管理有限公司</w:t>
      </w:r>
      <w:r>
        <w:rPr/>
        <w:t>享有。对磋商文件中供应商参加本次政府采购活动应当具备的条件，磋商项目技术、服务、商务及其他要求，评审细则及标准由</w:t>
      </w:r>
      <w:r>
        <w:rPr/>
        <w:t>西安市公安局雁塔分局</w:t>
      </w:r>
      <w:r>
        <w:rPr/>
        <w:t>负责解释。除上述磋商文件内容，其他内容由</w:t>
      </w:r>
      <w:r>
        <w:rPr/>
        <w:t>陕西坤硕项目管理有限公司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西安市公安局雁塔分局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陕西坤硕项目管理有限公司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按合同要求，按标准完成。</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陕西坤硕项目管理有限公司</w:t>
      </w:r>
      <w:r>
        <w:rPr/>
        <w:t xml:space="preserve"> 负责答复；供应商对采购过程的询问、质疑由</w:t>
      </w:r>
      <w:r>
        <w:rPr/>
        <w:t>陕西坤硕项目管理有限公司</w:t>
      </w:r>
      <w:r>
        <w:rPr/>
        <w:t xml:space="preserve"> 负责答复；供应商对采购结果的询问、质疑由 </w:t>
      </w:r>
      <w:r>
        <w:rPr/>
        <w:t>陕西坤硕项目管理有限公司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联系人：陕西坤硕项目管理有限公司</w:t>
      </w:r>
    </w:p>
    <w:p>
      <w:pPr>
        <w:pStyle w:val="null3"/>
      </w:pPr>
      <w:r>
        <w:rPr/>
        <w:t>联系电话：029-88216834</w:t>
      </w:r>
    </w:p>
    <w:p>
      <w:pPr>
        <w:pStyle w:val="null3"/>
      </w:pPr>
      <w:r>
        <w:rPr/>
        <w:t>地址： 西安市雁塔区电子城街道电子西街源来淮扬菜4层（陕西坤硕）</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190,000.00</w:t>
      </w:r>
    </w:p>
    <w:p>
      <w:pPr>
        <w:pStyle w:val="null3"/>
      </w:pPr>
      <w:r>
        <w:rPr/>
        <w:t>采购包最高限价（元）: 190,000.00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雁塔分局七氟丙烷气体灭火设备</w:t>
            </w:r>
          </w:p>
        </w:tc>
        <w:tc>
          <w:tcPr>
            <w:tcW w:type="dxa" w:w="1384"/>
          </w:tcPr>
          <w:p>
            <w:pPr>
              <w:pStyle w:val="null3"/>
              <w:jc w:val="right"/>
            </w:pPr>
            <w:r>
              <w:rPr/>
              <w:t>1.00</w:t>
            </w:r>
          </w:p>
        </w:tc>
        <w:tc>
          <w:tcPr>
            <w:tcW w:type="dxa" w:w="1384"/>
          </w:tcPr>
          <w:p>
            <w:pPr>
              <w:pStyle w:val="null3"/>
              <w:jc w:val="right"/>
            </w:pPr>
            <w:r>
              <w:rPr/>
              <w:t>190,000.00</w:t>
            </w:r>
          </w:p>
        </w:tc>
        <w:tc>
          <w:tcPr>
            <w:tcW w:type="dxa" w:w="1384"/>
          </w:tcPr>
          <w:p>
            <w:pPr>
              <w:pStyle w:val="null3"/>
            </w:pPr>
            <w:r>
              <w:rPr/>
              <w:t>项</w:t>
            </w:r>
          </w:p>
        </w:tc>
        <w:tc>
          <w:tcPr>
            <w:tcW w:type="dxa" w:w="1384"/>
          </w:tcPr>
          <w:p>
            <w:pPr>
              <w:pStyle w:val="null3"/>
            </w:pPr>
            <w:r>
              <w:rPr/>
              <w:t>其他未列明行业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标的名称：雁塔分局七氟丙烷气体灭火设备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after="120"/>
              <w:jc w:val="center"/>
              <w:outlineLvl w:val="0"/>
            </w:pPr>
            <w:r>
              <w:rPr>
                <w:sz w:val="48"/>
                <w:b/>
              </w:rPr>
              <w:t xml:space="preserve"> </w:t>
            </w:r>
          </w:p>
          <w:p>
            <w:pPr>
              <w:pStyle w:val="null3"/>
              <w:ind w:firstLine="482"/>
              <w:jc w:val="left"/>
            </w:pPr>
            <w:r>
              <w:rPr>
                <w:rFonts w:ascii="仿宋" w:hAnsi="仿宋" w:cs="仿宋" w:eastAsia="仿宋"/>
                <w:sz w:val="24"/>
                <w:b/>
                <w:color w:val="000000"/>
              </w:rPr>
              <w:t>一、项目概况及总体要求</w:t>
            </w:r>
          </w:p>
          <w:p>
            <w:pPr>
              <w:pStyle w:val="null3"/>
              <w:ind w:firstLine="480"/>
              <w:jc w:val="left"/>
            </w:pPr>
            <w:r>
              <w:rPr>
                <w:rFonts w:ascii="仿宋" w:hAnsi="仿宋" w:cs="仿宋" w:eastAsia="仿宋"/>
                <w:sz w:val="24"/>
                <w:color w:val="000000"/>
              </w:rPr>
              <w:t>采购内容：感温探测器、感烟探测器、声光报警器、气体释放报警器、气体灭火控制器、泄压口和七氟丙烷无管网装置。详见附件。</w:t>
            </w:r>
          </w:p>
          <w:p>
            <w:pPr>
              <w:pStyle w:val="null3"/>
              <w:ind w:firstLine="480"/>
              <w:jc w:val="left"/>
            </w:pPr>
            <w:r>
              <w:rPr>
                <w:rFonts w:ascii="仿宋" w:hAnsi="仿宋" w:cs="仿宋" w:eastAsia="仿宋"/>
                <w:sz w:val="24"/>
                <w:color w:val="000000"/>
              </w:rPr>
              <w:t>主要功能或目标：符合防火要求，达到行业要求。</w:t>
            </w:r>
          </w:p>
          <w:p>
            <w:pPr>
              <w:pStyle w:val="null3"/>
              <w:ind w:firstLine="480"/>
              <w:jc w:val="left"/>
            </w:pPr>
            <w:r>
              <w:rPr>
                <w:rFonts w:ascii="仿宋" w:hAnsi="仿宋" w:cs="仿宋" w:eastAsia="仿宋"/>
                <w:sz w:val="24"/>
                <w:color w:val="000000"/>
              </w:rPr>
              <w:t>需满足的要求：符合防火标准，达到行业要求。</w:t>
            </w:r>
          </w:p>
          <w:p>
            <w:pPr>
              <w:pStyle w:val="null3"/>
              <w:ind w:firstLine="482"/>
              <w:jc w:val="left"/>
            </w:pPr>
            <w:r>
              <w:rPr>
                <w:rFonts w:ascii="仿宋" w:hAnsi="仿宋" w:cs="仿宋" w:eastAsia="仿宋"/>
                <w:sz w:val="24"/>
                <w:b/>
                <w:color w:val="000000"/>
              </w:rPr>
              <w:t>二、商务要求</w:t>
            </w:r>
          </w:p>
          <w:p>
            <w:pPr>
              <w:pStyle w:val="null3"/>
              <w:ind w:firstLine="480"/>
              <w:jc w:val="left"/>
            </w:pPr>
            <w:r>
              <w:rPr>
                <w:rFonts w:ascii="仿宋" w:hAnsi="仿宋" w:cs="仿宋" w:eastAsia="仿宋"/>
                <w:sz w:val="24"/>
                <w:color w:val="000000"/>
              </w:rPr>
              <w:t>服务期：自合同签订之日起30天。</w:t>
            </w:r>
          </w:p>
          <w:p>
            <w:pPr>
              <w:pStyle w:val="null3"/>
              <w:ind w:firstLine="480"/>
              <w:jc w:val="left"/>
            </w:pPr>
            <w:r>
              <w:rPr>
                <w:rFonts w:ascii="仿宋" w:hAnsi="仿宋" w:cs="仿宋" w:eastAsia="仿宋"/>
                <w:sz w:val="24"/>
                <w:color w:val="000000"/>
              </w:rPr>
              <w:t>质保期：一年。</w:t>
            </w:r>
          </w:p>
          <w:p>
            <w:pPr>
              <w:pStyle w:val="null3"/>
              <w:ind w:firstLine="480"/>
              <w:jc w:val="left"/>
            </w:pPr>
            <w:r>
              <w:rPr>
                <w:rFonts w:ascii="仿宋" w:hAnsi="仿宋" w:cs="仿宋" w:eastAsia="仿宋"/>
                <w:sz w:val="24"/>
                <w:color w:val="000000"/>
              </w:rPr>
              <w:t>附件1：</w:t>
            </w:r>
          </w:p>
          <w:tbl>
            <w:tblPr>
              <w:tblBorders>
                <w:top w:val="none" w:color="000000" w:sz="4"/>
                <w:left w:val="none" w:color="000000" w:sz="4"/>
                <w:bottom w:val="none" w:color="000000" w:sz="4"/>
                <w:right w:val="none" w:color="000000" w:sz="4"/>
                <w:insideH w:val="none"/>
                <w:insideV w:val="none"/>
              </w:tblBorders>
            </w:tblPr>
            <w:tblGrid>
              <w:gridCol w:w="269"/>
              <w:gridCol w:w="754"/>
              <w:gridCol w:w="510"/>
              <w:gridCol w:w="510"/>
              <w:gridCol w:w="510"/>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序号</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产 品 名 称</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规格型号</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单位</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数量</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七氟丙烷储瓶</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40L</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套</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高压软管</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DN32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套</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电磁阀</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24V</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套</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反馈装置</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柜体及喷头等</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七氟丙烷储瓶</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90L</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套</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高压软管</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DN40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套</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电磁阀</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24V</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套</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反馈装置</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柜体及喷头等</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七氟丙烷储瓶</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120L</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套</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高压软管</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DN50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套</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电磁阀</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24V</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套</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反馈装置</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柜体及喷头等</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七氟丙烷灭火药剂</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kg</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290</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气体灭火主机</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台</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4</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点型感烟探测器</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5</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点型感温探测器</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5</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紧急启停按钮</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4</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放气指示灯</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4</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声光警报器</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36"/>
                    </w:rPr>
                    <w:t>/</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个</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8</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KBG</w:t>
                  </w:r>
                  <w:r>
                    <w:rPr>
                      <w:rFonts w:ascii="宋体" w:hAnsi="宋体" w:cs="宋体" w:eastAsia="宋体"/>
                      <w:sz w:val="22"/>
                      <w:color w:val="161616"/>
                    </w:rPr>
                    <w:t>管</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DN16/DN20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米</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150</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24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金属软管</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DN16/DN20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米</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2"/>
                      <w:color w:val="161616"/>
                    </w:rPr>
                    <w:t>50</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达到采购人要求。</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付款方式：合同签订之日起，5个工作日内，支付合同总金额的40%；送货结束，验收合格后，5个工作日内，支付合同总金额的60%.</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一）具有独立承担民事责任的能力（法人提供合格有效的企业营业执照；其他组织的须提供合法的经营凭证；自然人的提供身份证明文 件）。提供注册登记凭证（提供营业执照或其 他组织经营的合法凭证）。 （二）具有良好的商业信誉和健全的财务会计制度。 （1）提供2022年或2023年的财务报告； （2）或在递交响应文件截止日期前三个月内其基本开户银行出具的资信证明； （3）财政部门认可的政府采购专 业担保机构出具的投标担保函； 以上三种形式的资料提供任何一种即可。（事业法人仅提供部门决算报告即可）； （三）具有依法缴纳社 会保障资金的良好记录。 提供缴费所属日期为递交响应文件截止时间前六个月内任意一个月份（递交响应文件截止时间当月不计入）的缴费凭据或社保机关出具的缴费证明（在法规范围内不需提供的应出具书面说明和证明文件）； （四）具有依法缴纳税收的良好记录。提供缴费所属日期为递交响应文件截止时间前六个月内任意一个月份（递交响应文件截止时间当月不计入）的增值税（或企业所得税）缴费凭据或税务机关出具的完税证明（在法规范围内不需提供的应出具书面说明和证明文件）。（五）具有履行合同所必需的设备和专业技术能力。 （六）参加政府采购活动前3年内在经营活动中没有重大违法记录；</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（1）提供2022年或2023年的财务报告； （2）或在递交响应文件截止日期前三个月内其基本开户银行出具的资信证明； （3）财政部门认可的政府采购专业担保机构出具的投标担保函； 以上三种形式的资料提供任何一种即可。（事业法人仅提供部门决算报告即可）；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1拟派项目经理具有机电二级及以上注册建造师资格。 2供应商须具备消防设施工程专业承包二级及以上资质，且具备有效的安全生产许可证。</w:t>
            </w:r>
          </w:p>
        </w:tc>
        <w:tc>
          <w:tcPr>
            <w:tcW w:type="dxa" w:w="3322"/>
          </w:tcPr>
          <w:p>
            <w:pPr>
              <w:pStyle w:val="null3"/>
            </w:pPr>
            <w:r>
              <w:rPr/>
              <w:t>提供相关证书及拟派项目负责人相关证书</w:t>
            </w:r>
          </w:p>
        </w:tc>
        <w:tc>
          <w:tcPr>
            <w:tcW w:type="dxa" w:w="1661"/>
          </w:tcPr>
          <w:p>
            <w:pPr>
              <w:pStyle w:val="null3"/>
            </w:pPr>
            <w:r>
              <w:rPr/>
              <w:t>供应商须具备的资质证明材料 项目管理机构组成表 响应函 主要人员简历表</w:t>
            </w:r>
          </w:p>
        </w:tc>
      </w:tr>
      <w:tr>
        <w:tc>
          <w:tcPr>
            <w:tcW w:type="dxa" w:w="831"/>
          </w:tcPr>
          <w:p>
            <w:pPr>
              <w:pStyle w:val="null3"/>
            </w:pPr>
            <w:r>
              <w:rPr/>
              <w:t>2</w:t>
            </w:r>
          </w:p>
        </w:tc>
        <w:tc>
          <w:tcPr>
            <w:tcW w:type="dxa" w:w="2492"/>
          </w:tcPr>
          <w:p>
            <w:pPr>
              <w:pStyle w:val="null3"/>
            </w:pPr>
            <w:r>
              <w:rPr/>
              <w:t>供应商不得在“信用中国” 网站被列 入失信惩戒对象记录名单和不得在 “ 中国政府采购网”被列入政府采购 严重违法失信行为记录名单。</w:t>
            </w:r>
          </w:p>
        </w:tc>
        <w:tc>
          <w:tcPr>
            <w:tcW w:type="dxa" w:w="3322"/>
          </w:tcPr>
          <w:p>
            <w:pPr>
              <w:pStyle w:val="null3"/>
            </w:pPr>
            <w:r>
              <w:rPr/>
              <w:t>供应商需在项目电子化交易系统中按要求上传 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法定代表人（负责人）或其授权代理人</w:t>
            </w:r>
          </w:p>
        </w:tc>
        <w:tc>
          <w:tcPr>
            <w:tcW w:type="dxa" w:w="3322"/>
          </w:tcPr>
          <w:p>
            <w:pPr>
              <w:pStyle w:val="null3"/>
            </w:pPr>
            <w:r>
              <w:rPr/>
              <w:t>法定代表人或负责人直接参加磋商的，须出具 法人或负责人身份证明、法人或负责人身份证 原件及复印件（加盖单位公章）；法定代表人 或负责人授权代表参加磋商的，须出具法定代 表人或负责人授权书（附法定代表人或负责人 身份证复印件加盖单位公章）及被授权人身份证</w:t>
            </w:r>
          </w:p>
        </w:tc>
        <w:tc>
          <w:tcPr>
            <w:tcW w:type="dxa" w:w="1661"/>
          </w:tcPr>
          <w:p>
            <w:pPr>
              <w:pStyle w:val="null3"/>
            </w:pPr>
            <w:r>
              <w:rPr/>
              <w:t>法定代表人（负责人）授权书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分项报价表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针对本项目的特点提供详细的项目实施方案（包括但不限于总体 的服务设想、服务定位、服务目标、服务计划等），根据方案的 科学性、合理性、针对性综合评审进行赋分；</w:t>
            </w:r>
          </w:p>
        </w:tc>
        <w:tc>
          <w:tcPr>
            <w:tcW w:type="dxa" w:w="2492"/>
          </w:tcPr>
          <w:p>
            <w:pPr>
              <w:pStyle w:val="null3"/>
            </w:pPr>
            <w:r>
              <w:rPr/>
              <w:t>安排方案详细完整、可行性强，针对性强，能高质量的确保项目质量，计16-20 分； 安排方案比较完整、可行性及针对性较强以保证项目质量，计12-16分； 安排方案基本完整、可行，计8-12 分； 安排方案有缺失，可行，计4-8分。 安排方案不合理、无可行性，得 1-4 分； 未提供不得分。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w:t>
            </w:r>
          </w:p>
        </w:tc>
      </w:tr>
      <w:tr>
        <w:tc>
          <w:tcPr>
            <w:tcW w:type="dxa" w:w="831"/>
            <w:vMerge/>
          </w:tcPr>
          <w:p/>
        </w:tc>
        <w:tc>
          <w:tcPr>
            <w:tcW w:type="dxa" w:w="1661"/>
          </w:tcPr>
          <w:p>
            <w:pPr>
              <w:pStyle w:val="null3"/>
            </w:pPr>
            <w:r>
              <w:rPr/>
              <w:t>确保产品日常供货的措施，磋商小组综合评审进行赋分；</w:t>
            </w:r>
          </w:p>
        </w:tc>
        <w:tc>
          <w:tcPr>
            <w:tcW w:type="dxa" w:w="2492"/>
          </w:tcPr>
          <w:p>
            <w:pPr>
              <w:pStyle w:val="null3"/>
            </w:pPr>
            <w:r>
              <w:rPr/>
              <w:t>措施内容科学可行，有针对性且内容丰富，得 13-16 分； 措施内容科学可行，有一定的针对性，得10-13分； 措施内容比较科学可行，针对性不强，得 7-10 分； 措施内容基本可行，针对性不足，得 4-7 分； 措施内容有缺失，无针对性，得 1-4分； 未提供不得分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w:t>
            </w:r>
          </w:p>
        </w:tc>
      </w:tr>
      <w:tr>
        <w:tc>
          <w:tcPr>
            <w:tcW w:type="dxa" w:w="831"/>
            <w:vMerge/>
          </w:tcPr>
          <w:p/>
        </w:tc>
        <w:tc>
          <w:tcPr>
            <w:tcW w:type="dxa" w:w="1661"/>
          </w:tcPr>
          <w:p>
            <w:pPr>
              <w:pStyle w:val="null3"/>
            </w:pPr>
            <w:r>
              <w:rPr/>
              <w:t>确保产品安全的措施，磋商小组综合评审进行赋分；</w:t>
            </w:r>
          </w:p>
        </w:tc>
        <w:tc>
          <w:tcPr>
            <w:tcW w:type="dxa" w:w="2492"/>
          </w:tcPr>
          <w:p>
            <w:pPr>
              <w:pStyle w:val="null3"/>
            </w:pPr>
            <w:r>
              <w:rPr/>
              <w:t>措施内容科学可行，有针对性且内容丰富，得 8-10 分； 措施内容科学可行，有一定的针对性，得 6-8 分； 措施内容比较科学可行，针对性不强，得 4-6 分； 措施内容基本可行，针对性不足，得 2-4 分；措施内容有缺失，无针对性，得 1-2 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w:t>
            </w:r>
          </w:p>
        </w:tc>
      </w:tr>
      <w:tr>
        <w:tc>
          <w:tcPr>
            <w:tcW w:type="dxa" w:w="831"/>
            <w:vMerge/>
          </w:tcPr>
          <w:p/>
        </w:tc>
        <w:tc>
          <w:tcPr>
            <w:tcW w:type="dxa" w:w="1661"/>
          </w:tcPr>
          <w:p>
            <w:pPr>
              <w:pStyle w:val="null3"/>
            </w:pPr>
            <w:r>
              <w:rPr/>
              <w:t>确保产品按时按质按量供货，货源渠道正常，质量保证的措施，磋商小组综合评审进行赋分；</w:t>
            </w:r>
          </w:p>
        </w:tc>
        <w:tc>
          <w:tcPr>
            <w:tcW w:type="dxa" w:w="2492"/>
          </w:tcPr>
          <w:p>
            <w:pPr>
              <w:pStyle w:val="null3"/>
            </w:pPr>
            <w:r>
              <w:rPr/>
              <w:t>措施内容科学可行，有针对性且内容丰富，得 6-8 分； 措施内容科学可行，有一定的针对性，得 4-6 分； 措施内容比较科学可行，针对性不强，得 2-4 分； 措施内容基本可行，针对性不足，得 1-2 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w:t>
            </w:r>
          </w:p>
        </w:tc>
      </w:tr>
      <w:tr>
        <w:tc>
          <w:tcPr>
            <w:tcW w:type="dxa" w:w="831"/>
            <w:vMerge/>
          </w:tcPr>
          <w:p/>
        </w:tc>
        <w:tc>
          <w:tcPr>
            <w:tcW w:type="dxa" w:w="1661"/>
          </w:tcPr>
          <w:p>
            <w:pPr>
              <w:pStyle w:val="null3"/>
            </w:pPr>
            <w:r>
              <w:rPr/>
              <w:t>针对本项目有完善的①管理体系，②项目组的组织架构、③沟通 方式、④工作职责，进行赋分；</w:t>
            </w:r>
          </w:p>
        </w:tc>
        <w:tc>
          <w:tcPr>
            <w:tcW w:type="dxa" w:w="2492"/>
          </w:tcPr>
          <w:p>
            <w:pPr>
              <w:pStyle w:val="null3"/>
            </w:pPr>
            <w:r>
              <w:rPr/>
              <w:t>针对本项目有完善、合理有效且有针对性的管理制度，工作流程完整、可行、有效的得 8-10 分； 针对本项目有完善、合理的管理体系完善，管理制度、工作流程有一定的可行性和有效性但对上述内容有 1 项缺项的得 6-8 分； 针对本项目较为完善、合理的管理体系完善，管理制度、工作流程有一定的可行性和有效性但对上述内容有 2 项缺项的得 4-6 分； 管理体系基本完善、合理，部分管理制度和工作流程有待完善，缺项3项得 2-4 分； 管理体系不完整，合理性、可行性均较差，缺项 4 项的得 1-2分； 未提供相关内容不得分。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w:t>
            </w:r>
          </w:p>
        </w:tc>
      </w:tr>
      <w:tr>
        <w:tc>
          <w:tcPr>
            <w:tcW w:type="dxa" w:w="831"/>
            <w:vMerge/>
          </w:tcPr>
          <w:p/>
        </w:tc>
        <w:tc>
          <w:tcPr>
            <w:tcW w:type="dxa" w:w="1661"/>
          </w:tcPr>
          <w:p>
            <w:pPr>
              <w:pStyle w:val="null3"/>
            </w:pPr>
            <w:r>
              <w:rPr/>
              <w:t>供应商提供人员配备情况，包含①管理人员、②项目对接人员、 ③售后服务人员等，根据提供的材料应体现人员的项目管理业 绩、从业时间、专业程度等，进行赋分；</w:t>
            </w:r>
          </w:p>
        </w:tc>
        <w:tc>
          <w:tcPr>
            <w:tcW w:type="dxa" w:w="2492"/>
          </w:tcPr>
          <w:p>
            <w:pPr>
              <w:pStyle w:val="null3"/>
            </w:pPr>
            <w:r>
              <w:rPr/>
              <w:t>材料齐全，针对性强得 8-10 分； 材料完善，有一定的针对性，上述人员缺陷 1 项得 6-8 分； 材料较完善，针对性差，上述人员缺陷 2 项得 4-6 分； 材料基本完善，针对性差，上述人员缺陷 3 项得2-4 分； 材料不完善，上述人员缺陷 4 项得 1-2 分； 未提供相关内容不得分。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w:t>
            </w:r>
          </w:p>
        </w:tc>
      </w:tr>
      <w:tr>
        <w:tc>
          <w:tcPr>
            <w:tcW w:type="dxa" w:w="831"/>
            <w:vMerge/>
          </w:tcPr>
          <w:p/>
        </w:tc>
        <w:tc>
          <w:tcPr>
            <w:tcW w:type="dxa" w:w="1661"/>
          </w:tcPr>
          <w:p>
            <w:pPr>
              <w:pStyle w:val="null3"/>
            </w:pPr>
            <w:r>
              <w:rPr/>
              <w:t>针对在服务期间出现的突发状况或问题后的补救措施等方面，有 明确、切实可行的应急措施，进行赋分；</w:t>
            </w:r>
          </w:p>
        </w:tc>
        <w:tc>
          <w:tcPr>
            <w:tcW w:type="dxa" w:w="2492"/>
          </w:tcPr>
          <w:p>
            <w:pPr>
              <w:pStyle w:val="null3"/>
            </w:pPr>
            <w:r>
              <w:rPr/>
              <w:t>措施内容科学可行，有针对性且内容丰富，得 8-10 分； 措施内容科学可行，有一定的针对性，得 6-8 分； 措施内容比较科学可行，针对性不强，得 4-6 分； 措施内容基本可行，针对性不足，得 2-4 分； 措施内容有缺失，无针对性，得 1-2 分； 未提供相关内容不得分。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w:t>
            </w:r>
          </w:p>
        </w:tc>
      </w:tr>
      <w:tr>
        <w:tc>
          <w:tcPr>
            <w:tcW w:type="dxa" w:w="831"/>
            <w:vMerge/>
          </w:tcPr>
          <w:p/>
        </w:tc>
        <w:tc>
          <w:tcPr>
            <w:tcW w:type="dxa" w:w="1661"/>
          </w:tcPr>
          <w:p>
            <w:pPr>
              <w:pStyle w:val="null3"/>
            </w:pPr>
            <w:r>
              <w:rPr/>
              <w:t>供应商需提供 2022年至今类似项目业绩（以合同签订日期为准，供应商所提供合同必须有签订日期）</w:t>
            </w:r>
          </w:p>
        </w:tc>
        <w:tc>
          <w:tcPr>
            <w:tcW w:type="dxa" w:w="2492"/>
          </w:tcPr>
          <w:p>
            <w:pPr>
              <w:pStyle w:val="null3"/>
            </w:pPr>
            <w:r>
              <w:rPr/>
              <w:t>供应商需提供 2022年至今类似项目业绩（以合同签订日期为准，供应商所提供合同必须有签订日期），竞争性磋商响应文件中提供合同复印件，每提供一个 2 分，满分 6分。 未提供不得分。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关于加强政府采购货物和服务项目价格评审管理的通知》（财库[2007]2号）的有关规定：价格分采用低价优先法计算，价格即满足磋商文件要求且磋商价格最低的磋商报价为评审基准价，其价格分为满分。其他供应商的价格分统一按照下列公式计算： 磋商报价得分=（评审基准价/磋商报价）×10 （因落实政府采购政策进行价格调整的，以调整后的价格计算评标基准价和响应报价得分，详见磋商文件本部分政府采购政策评分标准）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详见附件：法定代表人（负责人）授权书</w:t>
      </w:r>
    </w:p>
    <w:p>
      <w:pPr>
        <w:pStyle w:val="null3"/>
        <w:ind w:firstLine="960"/>
      </w:pPr>
      <w:r>
        <w:rPr/>
        <w:t>详见附件：分项报价表</w:t>
      </w:r>
    </w:p>
    <w:p>
      <w:pPr>
        <w:pStyle w:val="null3"/>
        <w:ind w:firstLine="960"/>
      </w:pPr>
      <w:r>
        <w:rPr/>
        <w:t>详见附件：供应商应提交的相关资格证明材料</w:t>
      </w:r>
    </w:p>
    <w:p>
      <w:pPr>
        <w:pStyle w:val="null3"/>
        <w:ind w:firstLine="960"/>
      </w:pPr>
      <w:r>
        <w:rPr/>
        <w:t>详见附件：供应商须具备的资质证明材料</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