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版本号：241209001</w:t>
      </w:r>
      <w:r>
        <w:br/>
      </w:r>
      <w:r>
        <w:br/>
      </w:r>
      <w:r>
        <w:br/>
      </w:r>
      <w:r>
        <w:br/>
      </w:r>
      <w:r>
        <w:br/>
      </w:r>
    </w:p>
    <w:p>
      <w:pPr>
        <w:pStyle w:val="null3"/>
        <w:jc w:val="center"/>
        <w:outlineLvl w:val="0"/>
      </w:pPr>
      <w:r>
        <w:rPr>
          <w:sz w:val="48"/>
          <w:b/>
        </w:rPr>
        <w:t>谈 判 文 件</w:t>
      </w:r>
      <w:r>
        <w:br/>
      </w:r>
      <w:r>
        <w:br/>
      </w:r>
      <w:r>
        <w:br/>
      </w:r>
    </w:p>
    <w:p>
      <w:pPr>
        <w:pStyle w:val="null3"/>
        <w:jc w:val="center"/>
        <w:outlineLvl w:val="1"/>
      </w:pPr>
      <w:r>
        <w:rPr>
          <w:sz w:val="36"/>
          <w:b/>
        </w:rPr>
        <w:t>（货物类）</w:t>
      </w:r>
      <w:r>
        <w:br/>
      </w:r>
      <w:r>
        <w:br/>
      </w:r>
      <w:r>
        <w:br/>
      </w:r>
      <w:r>
        <w:br/>
      </w:r>
      <w:r>
        <w:br/>
      </w:r>
      <w:r>
        <w:br/>
      </w:r>
      <w:r>
        <w:br/>
      </w:r>
      <w:r>
        <w:br/>
      </w:r>
      <w:r>
        <w:br/>
      </w:r>
      <w:r>
        <w:br/>
      </w:r>
      <w:r>
        <w:br/>
      </w:r>
    </w:p>
    <w:p>
      <w:pPr>
        <w:pStyle w:val="null3"/>
        <w:jc w:val="center"/>
        <w:outlineLvl w:val="2"/>
      </w:pPr>
      <w:r>
        <w:rPr>
          <w:sz w:val="28"/>
          <w:b/>
        </w:rPr>
        <w:t>采购项目名称：</w:t>
      </w:r>
      <w:r>
        <w:rPr>
          <w:sz w:val="28"/>
          <w:b/>
        </w:rPr>
        <w:t>2024年义务教育薄弱环节改善与能力提升南综合楼网络、监控、课桌凳、文件柜、办公桌椅等设备</w:t>
      </w:r>
    </w:p>
    <w:p>
      <w:pPr>
        <w:pStyle w:val="null3"/>
        <w:jc w:val="center"/>
        <w:outlineLvl w:val="2"/>
      </w:pPr>
      <w:r>
        <w:rPr>
          <w:sz w:val="28"/>
          <w:b/>
        </w:rPr>
        <w:t>采购项目编号：</w:t>
      </w:r>
      <w:r>
        <w:rPr>
          <w:sz w:val="28"/>
          <w:b/>
        </w:rPr>
        <w:t>HXGJXM2024-ZC-JT1010</w:t>
      </w:r>
      <w:r>
        <w:br/>
      </w:r>
      <w:r>
        <w:br/>
      </w:r>
      <w:r>
        <w:br/>
      </w:r>
    </w:p>
    <w:p>
      <w:pPr>
        <w:pStyle w:val="null3"/>
        <w:jc w:val="center"/>
        <w:outlineLvl w:val="2"/>
      </w:pPr>
      <w:r>
        <w:rPr>
          <w:sz w:val="28"/>
          <w:b/>
        </w:rPr>
        <w:t>西安市第九十八中学</w:t>
      </w:r>
    </w:p>
    <w:p>
      <w:pPr>
        <w:pStyle w:val="null3"/>
        <w:jc w:val="center"/>
        <w:outlineLvl w:val="2"/>
      </w:pPr>
      <w:r>
        <w:rPr>
          <w:sz w:val="28"/>
          <w:b/>
        </w:rPr>
        <w:t>华夏国际项目管理有限公司</w:t>
      </w:r>
      <w:r>
        <w:rPr>
          <w:sz w:val="28"/>
          <w:b/>
        </w:rPr>
        <w:t>共同编制</w:t>
      </w:r>
    </w:p>
    <w:p>
      <w:pPr>
        <w:pStyle w:val="null3"/>
        <w:jc w:val="center"/>
        <w:outlineLvl w:val="2"/>
      </w:pPr>
      <w:r>
        <w:rPr>
          <w:sz w:val="28"/>
          <w:b/>
        </w:rPr>
        <w:t>2024年12月16日</w:t>
      </w:r>
    </w:p>
    <w:p>
      <w:pPr>
        <w:pStyle w:val="null3"/>
      </w:pPr>
      <w:r>
        <w:rPr/>
        <w:t xml:space="preserve"> </w:t>
        <w:br/>
        <w:br w:type="page"/>
      </w:r>
    </w:p>
    <w:p>
      <w:pPr>
        <w:pStyle w:val="null3"/>
        <w:jc w:val="center"/>
        <w:outlineLvl w:val="1"/>
      </w:pPr>
      <w:r>
        <w:rPr>
          <w:sz w:val="36"/>
          <w:b/>
        </w:rPr>
        <w:t>第一章 竞争性谈判邀请</w:t>
      </w:r>
    </w:p>
    <w:p>
      <w:pPr>
        <w:pStyle w:val="null3"/>
        <w:ind w:firstLine="480"/>
      </w:pPr>
      <w:r>
        <w:rPr/>
        <w:t>华夏国际项目管理有限公司</w:t>
      </w:r>
      <w:r>
        <w:rPr/>
        <w:t>（以下简称“代理机构”）受</w:t>
      </w:r>
      <w:r>
        <w:rPr/>
        <w:t>西安市第九十八中学</w:t>
      </w:r>
      <w:r>
        <w:rPr/>
        <w:t>委托，拟对</w:t>
      </w:r>
      <w:r>
        <w:rPr/>
        <w:t>2024年义务教育薄弱环节改善与能力提升南综合楼网络、监控、课桌凳、文件柜、办公桌椅等设备</w:t>
      </w:r>
      <w:r>
        <w:rPr/>
        <w:t>采用竞争性谈判采购方式进行采购，兹邀请供应商参加本项目的竞争性谈判。</w:t>
      </w:r>
    </w:p>
    <w:p>
      <w:pPr>
        <w:pStyle w:val="null3"/>
        <w:outlineLvl w:val="2"/>
      </w:pPr>
      <w:r>
        <w:rPr>
          <w:sz w:val="28"/>
          <w:b/>
        </w:rPr>
        <w:t>一、项目编号：</w:t>
      </w:r>
      <w:r>
        <w:rPr>
          <w:sz w:val="28"/>
          <w:b/>
        </w:rPr>
        <w:t>HXGJXM2024-ZC-JT1010</w:t>
      </w:r>
    </w:p>
    <w:p>
      <w:pPr>
        <w:pStyle w:val="null3"/>
        <w:outlineLvl w:val="2"/>
      </w:pPr>
      <w:r>
        <w:rPr>
          <w:sz w:val="28"/>
          <w:b/>
        </w:rPr>
        <w:t>二、项目名称：</w:t>
      </w:r>
      <w:r>
        <w:rPr>
          <w:sz w:val="28"/>
          <w:b/>
        </w:rPr>
        <w:t>2024年义务教育薄弱环节改善与能力提升南综合楼网络、监控、课桌凳、文件柜、办公桌椅等设备</w:t>
      </w:r>
    </w:p>
    <w:p>
      <w:pPr>
        <w:pStyle w:val="null3"/>
        <w:outlineLvl w:val="2"/>
      </w:pPr>
      <w:r>
        <w:rPr>
          <w:sz w:val="28"/>
          <w:b/>
        </w:rPr>
        <w:t>三、谈判项目简介：</w:t>
      </w:r>
    </w:p>
    <w:p>
      <w:pPr>
        <w:pStyle w:val="null3"/>
        <w:ind w:firstLine="480"/>
      </w:pPr>
      <w:r>
        <w:rPr/>
        <w:t>2024年义务教育薄弱环节改善与能力提升南综合楼网络、监控、课桌凳、文件柜、办公桌椅等设备</w:t>
      </w:r>
    </w:p>
    <w:p>
      <w:pPr>
        <w:pStyle w:val="null3"/>
        <w:outlineLvl w:val="2"/>
      </w:pPr>
      <w:r>
        <w:rPr>
          <w:sz w:val="28"/>
          <w:b/>
        </w:rPr>
        <w:t>四、邀请供应商：</w:t>
      </w:r>
    </w:p>
    <w:p>
      <w:pPr>
        <w:pStyle w:val="null3"/>
      </w:pPr>
      <w:r>
        <w:rPr/>
        <w:t>本次采购采取公告征集邀请谈判的供应商。</w:t>
      </w:r>
    </w:p>
    <w:p>
      <w:pPr>
        <w:pStyle w:val="null3"/>
      </w:pPr>
      <w:r>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sz w:val="28"/>
          <w:b/>
        </w:rPr>
        <w:t>五、供应商参加本次政府采购活动应具备的条件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落实政府采购促进中小企业发展的相关政策：</w:t>
      </w:r>
    </w:p>
    <w:p>
      <w:pPr>
        <w:pStyle w:val="null3"/>
      </w:pPr>
      <w:r>
        <w:rPr/>
        <w:t>无</w:t>
      </w:r>
    </w:p>
    <w:p>
      <w:pPr>
        <w:pStyle w:val="null3"/>
        <w:ind w:firstLine="440"/>
        <w:jc w:val="left"/>
      </w:pPr>
      <w:r>
        <w:rPr>
          <w:sz w:val="22"/>
        </w:rPr>
        <w:t>注：监狱企业和残疾人福利性单位视同小微企业，符合中小企业划分标准的个体工商户视同中小企业。</w:t>
      </w:r>
    </w:p>
    <w:p>
      <w:pPr>
        <w:pStyle w:val="null3"/>
        <w:ind w:firstLine="480"/>
      </w:pPr>
      <w:r>
        <w:rPr/>
        <w:t>（三）本项目的特定资格要求：</w:t>
      </w:r>
    </w:p>
    <w:p>
      <w:pPr>
        <w:pStyle w:val="null3"/>
      </w:pPr>
      <w:r>
        <w:rPr/>
        <w:t>采购包1：</w:t>
      </w:r>
    </w:p>
    <w:p>
      <w:pPr>
        <w:pStyle w:val="null3"/>
      </w:pPr>
      <w:r>
        <w:rPr/>
        <w:t>1、法定代表人授权委托书：法定代表人授权委托书：法定代表人授权书（附法定代表人、被授权人身份证复印件；法定代表人直接参加谈判，须提供法定代表人身份证明)（注：被授权人需提供谈判截止日前一年内已缴存的至少一个月的社会保障资金凭证）；</w:t>
      </w:r>
    </w:p>
    <w:p>
      <w:pPr>
        <w:pStyle w:val="null3"/>
      </w:pPr>
      <w:r>
        <w:rPr/>
        <w:t>2、信用记录：供应商未被“信用中国”网站（www.creditchina.gov.cn）列入失信被执 行人和重大税收违法失信主体，未被中国政府采购网（www.ccgp.gov.cn）列入政府采购严重违法失信行为记录名单；（资格审查环节查询相关 信用记录，对列入失信被执行人、重大税收违法失信主体、政府采购严重 违法失信行为记录名单及其他不符合《中华人民共和国政府采购法》第二十二条规定的供应商，采购代理机构将拒绝其参与政府采购活动，查询结果以电子或纸质方式留存）。</w:t>
      </w:r>
    </w:p>
    <w:p>
      <w:pPr>
        <w:pStyle w:val="null3"/>
        <w:outlineLvl w:val="2"/>
      </w:pPr>
      <w:r>
        <w:rPr>
          <w:sz w:val="28"/>
          <w:b/>
        </w:rPr>
        <w:t>六、电子化采购相关事项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七、竞争性谈判文件获取时间、方式及地址</w:t>
      </w:r>
    </w:p>
    <w:p>
      <w:pPr>
        <w:pStyle w:val="null3"/>
        <w:ind w:firstLine="480"/>
      </w:pPr>
      <w:r>
        <w:rPr/>
        <w:t>（一）谈判文件获取时间：详见采购公告或邀请书</w:t>
      </w:r>
    </w:p>
    <w:p>
      <w:pPr>
        <w:pStyle w:val="null3"/>
        <w:ind w:firstLine="480"/>
      </w:pPr>
      <w:r>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t>注：获取的谈判文件主体格式包括pdf、word两种格式版本，其中以pdf格式为准。</w:t>
      </w:r>
    </w:p>
    <w:p>
      <w:pPr>
        <w:pStyle w:val="null3"/>
        <w:outlineLvl w:val="2"/>
      </w:pPr>
      <w:r>
        <w:rPr>
          <w:sz w:val="28"/>
          <w:b/>
        </w:rPr>
        <w:t>八、提交首次响应文件截止时间及开启时间、地点、方式：</w:t>
      </w:r>
    </w:p>
    <w:p>
      <w:pPr>
        <w:pStyle w:val="null3"/>
        <w:ind w:firstLine="480"/>
      </w:pPr>
      <w:r>
        <w:rPr/>
        <w:t>（一）提交首次响应文件截止时间及开启时间：详见采购公告或邀请书</w:t>
      </w:r>
    </w:p>
    <w:p>
      <w:pPr>
        <w:pStyle w:val="null3"/>
        <w:ind w:firstLine="480"/>
      </w:pPr>
      <w:r>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sz w:val="28"/>
          <w:b/>
        </w:rPr>
        <w:t>九、谈判方式</w:t>
      </w:r>
    </w:p>
    <w:p>
      <w:pPr>
        <w:pStyle w:val="null3"/>
        <w:ind w:firstLine="480"/>
      </w:pPr>
      <w:r>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sz w:val="28"/>
          <w:b/>
        </w:rPr>
        <w:t>十、供应商信用融资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sz w:val="28"/>
          <w:b/>
        </w:rPr>
        <w:t>十一、联系方式</w:t>
      </w:r>
    </w:p>
    <w:p>
      <w:pPr>
        <w:pStyle w:val="null3"/>
        <w:outlineLvl w:val="3"/>
      </w:pPr>
      <w:r>
        <w:rPr>
          <w:sz w:val="24"/>
          <w:b/>
        </w:rPr>
        <w:t xml:space="preserve">采购人： </w:t>
      </w:r>
      <w:r>
        <w:rPr>
          <w:sz w:val="24"/>
          <w:b/>
        </w:rPr>
        <w:t>西安市第九十八中学</w:t>
      </w:r>
    </w:p>
    <w:p>
      <w:pPr>
        <w:pStyle w:val="null3"/>
      </w:pPr>
      <w:r>
        <w:rPr/>
        <w:t xml:space="preserve"> 地址： </w:t>
      </w:r>
      <w:r>
        <w:rPr/>
        <w:t>陕西省西安市朱雀大街272号</w:t>
      </w:r>
    </w:p>
    <w:p>
      <w:pPr>
        <w:pStyle w:val="null3"/>
      </w:pPr>
      <w:r>
        <w:rPr/>
        <w:t xml:space="preserve"> 邮编： </w:t>
      </w:r>
      <w:r>
        <w:rPr/>
        <w:t>710061</w:t>
      </w:r>
    </w:p>
    <w:p>
      <w:pPr>
        <w:pStyle w:val="null3"/>
      </w:pPr>
      <w:r>
        <w:rPr/>
        <w:t xml:space="preserve"> 联系人： </w:t>
      </w:r>
      <w:r>
        <w:rPr/>
        <w:t>陶老师</w:t>
      </w:r>
    </w:p>
    <w:p>
      <w:pPr>
        <w:pStyle w:val="null3"/>
      </w:pPr>
      <w:r>
        <w:rPr/>
        <w:t xml:space="preserve"> 联系电话： </w:t>
      </w:r>
      <w:r>
        <w:rPr/>
        <w:t>029-85251690</w:t>
      </w:r>
    </w:p>
    <w:p>
      <w:pPr>
        <w:pStyle w:val="null3"/>
        <w:outlineLvl w:val="3"/>
      </w:pPr>
      <w:r>
        <w:rPr>
          <w:sz w:val="24"/>
          <w:b/>
        </w:rPr>
        <w:t>代理机构：</w:t>
      </w:r>
      <w:r>
        <w:rPr>
          <w:sz w:val="24"/>
          <w:b/>
        </w:rPr>
        <w:t>华夏国际项目管理有限公司</w:t>
      </w:r>
    </w:p>
    <w:p>
      <w:pPr>
        <w:pStyle w:val="null3"/>
      </w:pPr>
      <w:r>
        <w:rPr/>
        <w:t xml:space="preserve"> 地址： </w:t>
      </w:r>
      <w:r>
        <w:rPr/>
        <w:t>西安市莲湖区南二环西段202号九座花园东区1605室</w:t>
      </w:r>
    </w:p>
    <w:p>
      <w:pPr>
        <w:pStyle w:val="null3"/>
      </w:pPr>
      <w:r>
        <w:rPr/>
        <w:t xml:space="preserve"> 邮编： </w:t>
      </w:r>
      <w:r>
        <w:rPr/>
        <w:t>710082</w:t>
      </w:r>
    </w:p>
    <w:p>
      <w:pPr>
        <w:pStyle w:val="null3"/>
      </w:pPr>
      <w:r>
        <w:rPr/>
        <w:t xml:space="preserve"> 联系人： </w:t>
      </w:r>
      <w:r>
        <w:rPr/>
        <w:t>丁杰、雷鸣、康敏茹、张艳萍</w:t>
      </w:r>
    </w:p>
    <w:p>
      <w:pPr>
        <w:pStyle w:val="null3"/>
      </w:pPr>
      <w:r>
        <w:rPr/>
        <w:t xml:space="preserve"> 联系电话： </w:t>
      </w:r>
      <w:r>
        <w:rPr/>
        <w:t>029-88899970/72/73/75-862</w:t>
      </w:r>
    </w:p>
    <w:p>
      <w:pPr>
        <w:pStyle w:val="null3"/>
        <w:outlineLvl w:val="3"/>
      </w:pPr>
      <w:r>
        <w:rPr>
          <w:sz w:val="24"/>
          <w:b/>
        </w:rPr>
        <w:t>采购监督机构：</w:t>
      </w:r>
      <w:r>
        <w:rPr>
          <w:sz w:val="24"/>
          <w:b/>
        </w:rPr>
        <w:t>西安市雁塔区政府采购管理股</w:t>
      </w:r>
    </w:p>
    <w:p>
      <w:pPr>
        <w:pStyle w:val="null3"/>
        <w:ind w:firstLine="480"/>
      </w:pPr>
      <w:r>
        <w:rPr/>
        <w:t>联系人：</w:t>
      </w:r>
      <w:r>
        <w:rPr/>
        <w:t>王佳</w:t>
      </w:r>
    </w:p>
    <w:p>
      <w:pPr>
        <w:pStyle w:val="null3"/>
        <w:ind w:firstLine="480"/>
      </w:pPr>
      <w:r>
        <w:rPr/>
        <w:t>联系电话：</w:t>
      </w:r>
      <w:r>
        <w:rPr/>
        <w:t>85241676</w:t>
      </w:r>
    </w:p>
    <w:p>
      <w:pPr>
        <w:pStyle w:val="null3"/>
      </w:pPr>
      <w:r>
        <w:rPr/>
        <w:t xml:space="preserve"> </w:t>
        <w:br/>
        <w:br w:type="page"/>
      </w:r>
    </w:p>
    <w:p>
      <w:pPr>
        <w:pStyle w:val="null3"/>
        <w:jc w:val="center"/>
        <w:outlineLvl w:val="1"/>
      </w:pPr>
      <w:r>
        <w:rPr>
          <w:sz w:val="36"/>
          <w:b/>
        </w:rPr>
        <w:t>第二章 供应商须知</w:t>
      </w:r>
    </w:p>
    <w:p>
      <w:pPr>
        <w:pStyle w:val="null3"/>
        <w:outlineLvl w:val="2"/>
      </w:pPr>
      <w:r>
        <w:rPr>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采购包1：300,000.00元</w:t>
            </w:r>
            <w:r>
              <w:rPr/>
              <w:t xml:space="preserve"> 供应商采购包报价高于采购包采购预算的，其响应文件将按无效处理。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供应商的采购包响应报价高于最高限价的，其响应文件将按无效处理。</w:t>
            </w:r>
          </w:p>
        </w:tc>
      </w:tr>
      <w:tr>
        <w:tc>
          <w:tcPr>
            <w:tcW w:type="dxa" w:w="1051"/>
          </w:tcPr>
          <w:p>
            <w:pPr>
              <w:pStyle w:val="null3"/>
            </w:pPr>
            <w:r>
              <w:rPr/>
              <w:t>3</w:t>
            </w:r>
          </w:p>
        </w:tc>
        <w:tc>
          <w:tcPr>
            <w:tcW w:type="dxa" w:w="2252"/>
          </w:tcPr>
          <w:p>
            <w:pPr>
              <w:pStyle w:val="null3"/>
            </w:pPr>
            <w:r>
              <w:rPr/>
              <w:t>评审方法</w:t>
            </w:r>
          </w:p>
        </w:tc>
        <w:tc>
          <w:tcPr>
            <w:tcW w:type="dxa" w:w="5004"/>
          </w:tcPr>
          <w:p>
            <w:pPr>
              <w:pStyle w:val="null3"/>
            </w:pPr>
            <w:r>
              <w:rPr/>
              <w:t>最低评标价法(详见第六章)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如以联合体响应的，联合体各方均应当具备本谈判文件要求的资格条件和能力。</w:t>
            </w:r>
          </w:p>
          <w:p>
            <w:pPr>
              <w:pStyle w:val="null3"/>
            </w:pPr>
            <w:r>
              <w:rPr/>
              <w:t xml:space="preserve"> （1）联合体各方均应具有承担本谈判项目必备的条件，如相应的人力、物力、资金等。</w:t>
            </w:r>
          </w:p>
          <w:p>
            <w:pPr>
              <w:pStyle w:val="null3"/>
            </w:pPr>
            <w:r>
              <w:rPr/>
              <w:t xml:space="preserve"> （2）谈判文件对供应商资格条件有特殊要求的，联合体各个成员都应当具备规定的相应资格条件。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t>5</w:t>
            </w:r>
          </w:p>
        </w:tc>
        <w:tc>
          <w:tcPr>
            <w:tcW w:type="dxa" w:w="2252"/>
          </w:tcPr>
          <w:p>
            <w:pPr>
              <w:pStyle w:val="null3"/>
            </w:pPr>
            <w:r>
              <w:rPr/>
              <w:t>落实节能、环保产品政策</w:t>
            </w:r>
          </w:p>
        </w:tc>
        <w:tc>
          <w:tcPr>
            <w:tcW w:type="dxa" w:w="5004"/>
          </w:tcPr>
          <w:p>
            <w:pPr>
              <w:pStyle w:val="null3"/>
            </w:pPr>
            <w:r>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2.本项目采购的</w:t>
            </w:r>
            <w:r>
              <w:rPr/>
              <w:t>/</w:t>
            </w:r>
            <w:r>
              <w:rPr/>
              <w:t>产品属于节能产品政府采购品目清单中应强制采购的产品范围，供应商应当提供国家确定的认证机构出具的、处于有效期之内的节能产品认证证书，否则作无效响应处理。</w:t>
            </w:r>
          </w:p>
          <w:p>
            <w:pPr>
              <w:pStyle w:val="null3"/>
            </w:pPr>
            <w:r>
              <w:rPr/>
              <w:t xml:space="preserve"> 3.本项目采购的</w:t>
            </w:r>
            <w:r>
              <w:rPr/>
              <w:t>/</w:t>
            </w:r>
            <w:r>
              <w:rPr/>
              <w:t>产品属于节能产品政府采购品目清单中应优先采购的产品范围，本项目采购的</w:t>
            </w:r>
            <w:r>
              <w:rPr/>
              <w:t>/</w:t>
            </w:r>
            <w:r>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t>6</w:t>
            </w:r>
          </w:p>
        </w:tc>
        <w:tc>
          <w:tcPr>
            <w:tcW w:type="dxa" w:w="2252"/>
          </w:tcPr>
          <w:p>
            <w:pPr>
              <w:pStyle w:val="null3"/>
            </w:pPr>
            <w:r>
              <w:rPr/>
              <w:t>小微企业（监狱企业、残疾人福利性单位视同小微企业）价格扣除（仅非预留份额采购项目或预留份额采购项目中的非预留部分采购包适用）</w:t>
            </w:r>
          </w:p>
        </w:tc>
        <w:tc>
          <w:tcPr>
            <w:tcW w:type="dxa" w:w="5004"/>
          </w:tcPr>
          <w:p>
            <w:pPr>
              <w:pStyle w:val="null3"/>
            </w:pPr>
            <w:r>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t>关于本项目采购包中执行小微企业（监狱企业、残疾人福利性单位视同小微企业）价格扣除情况、具体扣除比例和规则详见第六章。</w:t>
            </w:r>
          </w:p>
          <w:p>
            <w:pPr>
              <w:pStyle w:val="null3"/>
            </w:pPr>
            <w:r>
              <w:rPr/>
              <w:t>（其他情形）不适用。</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t>核心产品清单详见第三章。</w:t>
            </w:r>
          </w:p>
          <w:p>
            <w:pPr>
              <w:pStyle w:val="null3"/>
            </w:pPr>
            <w:r>
              <w:rPr/>
              <w:t>在符合性审查、有效报价环节提供核心产品品牌不足3个的，视为有效响应供应商不足3家。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t>9</w:t>
            </w:r>
          </w:p>
        </w:tc>
        <w:tc>
          <w:tcPr>
            <w:tcW w:type="dxa" w:w="2252"/>
          </w:tcPr>
          <w:p>
            <w:pPr>
              <w:pStyle w:val="null3"/>
            </w:pPr>
            <w:r>
              <w:rPr/>
              <w:t>谈判保证金</w:t>
            </w:r>
          </w:p>
        </w:tc>
        <w:tc>
          <w:tcPr>
            <w:tcW w:type="dxa" w:w="5004"/>
          </w:tcPr>
          <w:p>
            <w:pPr>
              <w:pStyle w:val="null3"/>
            </w:pPr>
            <w:r>
              <w:rPr/>
              <w:t>缴交方式：否</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采购包1：不缴纳</w:t>
            </w:r>
          </w:p>
        </w:tc>
      </w:tr>
      <w:tr>
        <w:tc>
          <w:tcPr>
            <w:tcW w:type="dxa" w:w="1051"/>
          </w:tcPr>
          <w:p>
            <w:pPr>
              <w:pStyle w:val="null3"/>
            </w:pPr>
            <w:r>
              <w:rPr/>
              <w:t>12</w:t>
            </w:r>
          </w:p>
        </w:tc>
        <w:tc>
          <w:tcPr>
            <w:tcW w:type="dxa" w:w="2252"/>
          </w:tcPr>
          <w:p>
            <w:pPr>
              <w:pStyle w:val="null3"/>
            </w:pPr>
            <w:r>
              <w:rPr/>
              <w:t>响应有效期（实质性要求）</w:t>
            </w:r>
          </w:p>
        </w:tc>
        <w:tc>
          <w:tcPr>
            <w:tcW w:type="dxa" w:w="5004"/>
          </w:tcPr>
          <w:p>
            <w:pPr>
              <w:pStyle w:val="null3"/>
            </w:pPr>
            <w:r>
              <w:rPr/>
              <w:t>提交响应文件的截止之日起不少于</w:t>
            </w:r>
            <w:r>
              <w:rPr/>
              <w:t>90</w:t>
            </w:r>
            <w:r>
              <w:rPr/>
              <w:t>天。</w:t>
            </w:r>
          </w:p>
        </w:tc>
      </w:tr>
      <w:tr>
        <w:tc>
          <w:tcPr>
            <w:tcW w:type="dxa" w:w="1051"/>
          </w:tcPr>
          <w:p>
            <w:pPr>
              <w:pStyle w:val="null3"/>
            </w:pPr>
            <w:r>
              <w:rPr/>
              <w:t>13</w:t>
            </w:r>
          </w:p>
        </w:tc>
        <w:tc>
          <w:tcPr>
            <w:tcW w:type="dxa" w:w="2252"/>
          </w:tcPr>
          <w:p>
            <w:pPr>
              <w:pStyle w:val="null3"/>
            </w:pPr>
            <w:r>
              <w:rPr/>
              <w:t>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代理服务费收费标准：定额收取：6000.00元</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成交通知书</w:t>
            </w:r>
          </w:p>
        </w:tc>
        <w:tc>
          <w:tcPr>
            <w:tcW w:type="dxa" w:w="5004"/>
          </w:tcPr>
          <w:p>
            <w:pPr>
              <w:pStyle w:val="null3"/>
            </w:pPr>
            <w:r>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出现下列情形之一的，采购人或者代理机构应当中止电子化采购活动，并保留相关证明材料备查：</w:t>
            </w:r>
          </w:p>
          <w:p>
            <w:pPr>
              <w:pStyle w:val="null3"/>
            </w:pPr>
            <w:r>
              <w:rPr/>
              <w:t xml:space="preserve"> （一）交易系统发生故障（包括感染病毒、应用或数据库出错）而无法正常使用的；</w:t>
            </w:r>
          </w:p>
          <w:p>
            <w:pPr>
              <w:pStyle w:val="null3"/>
            </w:pPr>
            <w:r>
              <w:rPr/>
              <w:t xml:space="preserve"> （二）因组织场所停电、断网等原因，导致采购活动无法继续通过交易系统实施的；</w:t>
            </w:r>
          </w:p>
          <w:p>
            <w:pPr>
              <w:pStyle w:val="null3"/>
            </w:pPr>
            <w:r>
              <w:rPr/>
              <w:t xml:space="preserve"> （三）其他无法保证电子化交易的公平、公正和安全的情况。</w:t>
            </w:r>
          </w:p>
          <w:p>
            <w:pPr>
              <w:pStyle w:val="null3"/>
            </w:pPr>
            <w:r>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sz w:val="28"/>
          <w:b/>
        </w:rPr>
        <w:t>2.2总则</w:t>
      </w:r>
    </w:p>
    <w:p>
      <w:pPr>
        <w:pStyle w:val="null3"/>
        <w:outlineLvl w:val="3"/>
      </w:pPr>
      <w:r>
        <w:rPr>
          <w:sz w:val="24"/>
          <w:b/>
        </w:rPr>
        <w:t>2.2.1适用范围</w:t>
      </w:r>
    </w:p>
    <w:p>
      <w:pPr>
        <w:pStyle w:val="null3"/>
        <w:ind w:firstLine="480"/>
      </w:pPr>
      <w:r>
        <w:rPr/>
        <w:t>一、本竞争性谈判文件仅适用于本次竞争性谈判采购项目。</w:t>
      </w:r>
    </w:p>
    <w:p>
      <w:pPr>
        <w:pStyle w:val="null3"/>
        <w:ind w:firstLine="480"/>
      </w:pPr>
      <w:r>
        <w:rPr/>
        <w:t>二、本竞争性谈判文件的最终解释权由</w:t>
      </w:r>
      <w:r>
        <w:rPr/>
        <w:t>西安市第九十八中学</w:t>
      </w:r>
      <w:r>
        <w:rPr/>
        <w:t>和</w:t>
      </w:r>
      <w:r>
        <w:rPr/>
        <w:t>华夏国际项目管理有限公司</w:t>
      </w:r>
      <w:r>
        <w:rPr/>
        <w:t>享有。竞争性谈判文件中供应商参加本次政府采购活动应当具备的条件、技术清单、参数、商务及其他要求由</w:t>
      </w:r>
      <w:r>
        <w:rPr/>
        <w:t>西安市第九十八中学</w:t>
      </w:r>
      <w:r>
        <w:rPr/>
        <w:t>负责解释。除上述竞争性谈判文件内容，其他内容由</w:t>
      </w:r>
      <w:r>
        <w:rPr/>
        <w:t>华夏国际项目管理有限公司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一、“采购人”是指依法进行政府采购的各级国家机关、事业单位、团体组织。本次谈判的采购人是</w:t>
      </w:r>
      <w:r>
        <w:rPr/>
        <w:t>西安市第九十八中学</w:t>
      </w:r>
      <w:r>
        <w:rPr/>
        <w:t>。</w:t>
      </w:r>
    </w:p>
    <w:p>
      <w:pPr>
        <w:pStyle w:val="null3"/>
        <w:ind w:firstLine="480"/>
      </w:pPr>
      <w:r>
        <w:rPr/>
        <w:t xml:space="preserve"> 二、“供应商”是指在按照采购公告规定获取谈判文件，拟参加响应和向采购人提供货物、工程或服务的法人、其他组织或自然人。</w:t>
      </w:r>
    </w:p>
    <w:p>
      <w:pPr>
        <w:pStyle w:val="null3"/>
        <w:ind w:firstLine="480"/>
      </w:pPr>
      <w:r>
        <w:rPr/>
        <w:t xml:space="preserve"> 三、“代理机构”是指集中采购机构和集中采购机构以外的代理机构。本项目的代理机构是</w:t>
      </w:r>
      <w:r>
        <w:rPr/>
        <w:t>华夏国际项目管理有限公司</w:t>
      </w:r>
    </w:p>
    <w:p>
      <w:pPr>
        <w:pStyle w:val="null3"/>
        <w:ind w:firstLine="480"/>
      </w:pPr>
      <w:r>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t xml:space="preserve"> 五、“电子评审”是指通过项目电子化交易系统在线完成资格审查小组、谈判小组组建，开展资格和符合性审查、出具谈判报告、推荐成交候选供应商等活动。</w:t>
      </w:r>
    </w:p>
    <w:p>
      <w:pPr>
        <w:pStyle w:val="null3"/>
        <w:outlineLvl w:val="3"/>
      </w:pPr>
      <w:r>
        <w:rPr>
          <w:sz w:val="24"/>
          <w:b/>
        </w:rPr>
        <w:t>2.2.3响应费用（实质性要求）</w:t>
      </w:r>
    </w:p>
    <w:p>
      <w:pPr>
        <w:pStyle w:val="null3"/>
        <w:ind w:firstLine="480"/>
      </w:pPr>
      <w:r>
        <w:rPr/>
        <w:t>供应商应自行承担参加竞争性谈判采购活动的全部费用。</w:t>
      </w:r>
    </w:p>
    <w:p>
      <w:pPr>
        <w:pStyle w:val="null3"/>
        <w:outlineLvl w:val="2"/>
      </w:pPr>
      <w:r>
        <w:rPr>
          <w:sz w:val="28"/>
          <w:b/>
        </w:rPr>
        <w:t>2.3竞争性谈判文件</w:t>
      </w:r>
    </w:p>
    <w:p>
      <w:pPr>
        <w:pStyle w:val="null3"/>
        <w:outlineLvl w:val="3"/>
      </w:pPr>
      <w:r>
        <w:rPr>
          <w:sz w:val="24"/>
          <w:b/>
        </w:rPr>
        <w:t xml:space="preserve"> 2.3.1竞争性谈判文件的构成</w:t>
      </w:r>
    </w:p>
    <w:p>
      <w:pPr>
        <w:pStyle w:val="null3"/>
        <w:ind w:firstLine="480"/>
      </w:pPr>
      <w:r>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t>（一）竞争性谈判邀请；</w:t>
      </w:r>
    </w:p>
    <w:p>
      <w:pPr>
        <w:pStyle w:val="null3"/>
        <w:ind w:firstLine="480"/>
      </w:pPr>
      <w:r>
        <w:rPr/>
        <w:t>（二）供应商须知；</w:t>
      </w:r>
    </w:p>
    <w:p>
      <w:pPr>
        <w:pStyle w:val="null3"/>
        <w:ind w:firstLine="480"/>
      </w:pPr>
      <w:r>
        <w:rPr/>
        <w:t>（三）谈判项目技术、服务、商务及其他要求；</w:t>
      </w:r>
    </w:p>
    <w:p>
      <w:pPr>
        <w:pStyle w:val="null3"/>
        <w:ind w:firstLine="480"/>
      </w:pPr>
      <w:r>
        <w:rPr/>
        <w:t>（四）资格审查；</w:t>
      </w:r>
    </w:p>
    <w:p>
      <w:pPr>
        <w:pStyle w:val="null3"/>
        <w:ind w:firstLine="480"/>
      </w:pPr>
      <w:r>
        <w:rPr/>
        <w:t>（五）谈判过程中可实质性变动的内容；</w:t>
      </w:r>
    </w:p>
    <w:p>
      <w:pPr>
        <w:pStyle w:val="null3"/>
        <w:ind w:firstLine="480"/>
      </w:pPr>
      <w:r>
        <w:rPr/>
        <w:t>（六）谈判办法；</w:t>
      </w:r>
    </w:p>
    <w:p>
      <w:pPr>
        <w:pStyle w:val="null3"/>
        <w:ind w:firstLine="480"/>
      </w:pPr>
      <w:r>
        <w:rPr/>
        <w:t>（七）响应文件格式；</w:t>
      </w:r>
    </w:p>
    <w:p>
      <w:pPr>
        <w:pStyle w:val="null3"/>
        <w:ind w:firstLine="480"/>
      </w:pPr>
      <w:r>
        <w:rPr/>
        <w:t>（八）拟签订采购合同文本。</w:t>
      </w:r>
    </w:p>
    <w:p>
      <w:pPr>
        <w:pStyle w:val="null3"/>
        <w:ind w:firstLine="480"/>
      </w:pPr>
      <w:r>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sz w:val="24"/>
          <w:b/>
        </w:rPr>
        <w:t xml:space="preserve"> 2.3.2竞争性谈判文件的澄清和修改</w:t>
      </w:r>
    </w:p>
    <w:p>
      <w:pPr>
        <w:pStyle w:val="null3"/>
        <w:ind w:firstLine="480"/>
      </w:pPr>
      <w:r>
        <w:rPr/>
        <w:t>一、在提交首次响应文件截止时间前，采购人或者代理机构可以对已发出的谈判文件进行必要的澄清或者修改。</w:t>
      </w:r>
    </w:p>
    <w:p>
      <w:pPr>
        <w:pStyle w:val="null3"/>
      </w:pPr>
      <w:r>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sz w:val="28"/>
          <w:b/>
        </w:rPr>
        <w:t>2.4响应文件</w:t>
      </w:r>
    </w:p>
    <w:p>
      <w:pPr>
        <w:pStyle w:val="null3"/>
        <w:outlineLvl w:val="3"/>
      </w:pPr>
      <w:r>
        <w:rPr>
          <w:sz w:val="24"/>
          <w:b/>
        </w:rPr>
        <w:t xml:space="preserve"> 2.4.1响应文件的语言（实质性要求）</w:t>
      </w:r>
    </w:p>
    <w:p>
      <w:pPr>
        <w:pStyle w:val="null3"/>
        <w:ind w:firstLine="480"/>
      </w:pPr>
      <w:r>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sz w:val="24"/>
          <w:b/>
        </w:rPr>
        <w:t>2.4.2计量单位</w:t>
      </w:r>
    </w:p>
    <w:p>
      <w:pPr>
        <w:pStyle w:val="null3"/>
        <w:ind w:firstLine="480"/>
      </w:pPr>
      <w:r>
        <w:rPr/>
        <w:t>除谈判文件中另有规定外，本项目均采用国家法定的计量单位。</w:t>
      </w:r>
    </w:p>
    <w:p>
      <w:pPr>
        <w:pStyle w:val="null3"/>
        <w:outlineLvl w:val="3"/>
      </w:pPr>
      <w:r>
        <w:rPr>
          <w:sz w:val="24"/>
          <w:b/>
        </w:rPr>
        <w:t>2.4.3响应货币）</w:t>
      </w:r>
    </w:p>
    <w:p>
      <w:pPr>
        <w:pStyle w:val="null3"/>
        <w:ind w:firstLine="480"/>
      </w:pPr>
      <w:r>
        <w:rPr/>
        <w:t>本次项目均以人民币报价。</w:t>
      </w:r>
    </w:p>
    <w:p>
      <w:pPr>
        <w:pStyle w:val="null3"/>
        <w:outlineLvl w:val="3"/>
      </w:pPr>
      <w:r>
        <w:rPr>
          <w:sz w:val="24"/>
          <w:b/>
        </w:rPr>
        <w:t xml:space="preserve"> 2.4.4知识产权</w:t>
      </w:r>
    </w:p>
    <w:p>
      <w:pPr>
        <w:pStyle w:val="null3"/>
        <w:ind w:firstLine="480"/>
      </w:pPr>
      <w:r>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三、如采用供应商所不拥有的知识产权，则在报价中必须包括合法使用该知识产权的相关费用。</w:t>
      </w:r>
    </w:p>
    <w:p>
      <w:pPr>
        <w:pStyle w:val="null3"/>
        <w:ind w:firstLine="480"/>
      </w:pPr>
      <w:r>
        <w:rPr/>
        <w:t xml:space="preserve"> 四、构成本谈判文件的各组成部分，未经采购人书面同意，供应商不得擅自复印或用于非本谈判项目所需的其他目的。</w:t>
      </w:r>
    </w:p>
    <w:p>
      <w:pPr>
        <w:pStyle w:val="null3"/>
        <w:outlineLvl w:val="3"/>
      </w:pPr>
      <w:r>
        <w:rPr>
          <w:sz w:val="24"/>
          <w:b/>
        </w:rPr>
        <w:t>2.4.5响应文件的组成（实质性要求）</w:t>
      </w:r>
    </w:p>
    <w:p>
      <w:pPr>
        <w:pStyle w:val="null3"/>
        <w:ind w:firstLine="480"/>
      </w:pPr>
      <w:r>
        <w:rPr/>
        <w:t>供应商应按照谈判文件的规定和要求编制响应文件。</w:t>
      </w:r>
    </w:p>
    <w:p>
      <w:pPr>
        <w:pStyle w:val="null3"/>
        <w:ind w:firstLine="480"/>
        <w:jc w:val="left"/>
      </w:pPr>
      <w:r>
        <w:rPr/>
        <w:t>响应文件具体内容详见第七章。</w:t>
      </w:r>
    </w:p>
    <w:p>
      <w:pPr>
        <w:pStyle w:val="null3"/>
        <w:outlineLvl w:val="3"/>
      </w:pPr>
      <w:r>
        <w:rPr>
          <w:sz w:val="24"/>
          <w:b/>
        </w:rPr>
        <w:t>2.4.6响应文件格式</w:t>
      </w:r>
    </w:p>
    <w:p>
      <w:pPr>
        <w:pStyle w:val="null3"/>
        <w:ind w:firstLine="480"/>
      </w:pPr>
      <w:r>
        <w:rPr/>
        <w:t>1.供应商应按照谈判文件第七章中提供的“响应文件格式”填写相关内容。</w:t>
      </w:r>
    </w:p>
    <w:p>
      <w:pPr>
        <w:pStyle w:val="null3"/>
        <w:ind w:firstLine="480"/>
      </w:pPr>
      <w:r>
        <w:rPr/>
        <w:t>2.对于没有格式要求的响应文件由供应商自行编写。</w:t>
      </w:r>
    </w:p>
    <w:p>
      <w:pPr>
        <w:pStyle w:val="null3"/>
        <w:outlineLvl w:val="3"/>
      </w:pPr>
      <w:r>
        <w:rPr>
          <w:sz w:val="24"/>
          <w:b/>
        </w:rPr>
        <w:t>2.4.7响应报价（实质性要求）</w:t>
      </w:r>
    </w:p>
    <w:p>
      <w:pPr>
        <w:pStyle w:val="null3"/>
        <w:ind w:firstLine="480"/>
      </w:pPr>
      <w:r>
        <w:rPr/>
        <w:t xml:space="preserve"> 一、供应商的报价是其响应谈判项目要求的全部工作内容的价格体现，包括供应商完成本项目所需的一切费用。</w:t>
      </w:r>
    </w:p>
    <w:p>
      <w:pPr>
        <w:pStyle w:val="null3"/>
        <w:ind w:firstLine="480"/>
      </w:pPr>
      <w:r>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sz w:val="24"/>
          <w:b/>
        </w:rPr>
        <w:t>2.4.8响应有效期（实质性要求）</w:t>
      </w:r>
    </w:p>
    <w:p>
      <w:pPr>
        <w:pStyle w:val="null3"/>
        <w:ind w:firstLine="480"/>
      </w:pPr>
      <w:r>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sz w:val="24"/>
          <w:b/>
        </w:rPr>
        <w:t xml:space="preserve"> 2.4.9响应文件的制作、签章和加密（实质性要求）</w:t>
      </w:r>
    </w:p>
    <w:p>
      <w:pPr>
        <w:pStyle w:val="null3"/>
        <w:ind w:firstLine="480"/>
      </w:pPr>
      <w:r>
        <w:rPr/>
        <w:t xml:space="preserve"> 一、响应文件应当根据谈判通知书进行编制。供应商应通过陕西省政府采购网-办事指南-CA及签章服务下载投标（响应）客户端，使用客户端编制响应文件。</w:t>
      </w:r>
    </w:p>
    <w:p>
      <w:pPr>
        <w:pStyle w:val="null3"/>
        <w:ind w:firstLine="480"/>
      </w:pPr>
      <w:r>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t xml:space="preserve"> 三、供应商完成响应文件编制后，应按照响应文件第1章明确的签章要求，使用互认的证书及签章对响应文件进行电子签章和加密。</w:t>
      </w:r>
    </w:p>
    <w:p>
      <w:pPr>
        <w:pStyle w:val="null3"/>
        <w:ind w:firstLine="480"/>
      </w:pPr>
      <w:r>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sz w:val="24"/>
          <w:b/>
        </w:rPr>
        <w:t>2.4.10响应文件的提交（实质性要求）</w:t>
      </w:r>
    </w:p>
    <w:p>
      <w:pPr>
        <w:pStyle w:val="null3"/>
        <w:ind w:firstLine="480"/>
      </w:pPr>
      <w:r>
        <w:rPr/>
        <w:t>一、供应商应当在提交首次响应文件截止时间前，通过项目电子化交易系统完成响应文件提交。</w:t>
      </w:r>
    </w:p>
    <w:p>
      <w:pPr>
        <w:pStyle w:val="null3"/>
        <w:ind w:firstLine="480"/>
      </w:pPr>
      <w:r>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sz w:val="24"/>
          <w:b/>
        </w:rPr>
        <w:t xml:space="preserve"> 2.4.11响应文件的补充、修改（实质性要求）</w:t>
      </w:r>
    </w:p>
    <w:p>
      <w:pPr>
        <w:pStyle w:val="null3"/>
        <w:ind w:firstLine="480"/>
      </w:pPr>
      <w:r>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sz w:val="28"/>
          <w:b/>
        </w:rPr>
        <w:t>2.5开启、资格审查、谈判和确定成交供应商</w:t>
      </w:r>
    </w:p>
    <w:p>
      <w:pPr>
        <w:pStyle w:val="null3"/>
        <w:outlineLvl w:val="3"/>
      </w:pPr>
      <w:r>
        <w:rPr>
          <w:sz w:val="24"/>
          <w:b/>
        </w:rPr>
        <w:t>2.5.1谈判开启程序</w:t>
      </w:r>
    </w:p>
    <w:p>
      <w:pPr>
        <w:pStyle w:val="null3"/>
        <w:ind w:firstLine="480"/>
      </w:pPr>
      <w:r>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t>二、谈判开启准备工作</w:t>
      </w:r>
    </w:p>
    <w:p>
      <w:pPr>
        <w:pStyle w:val="null3"/>
        <w:ind w:firstLine="480"/>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三、解密响应文件（实质性要求）</w:t>
      </w:r>
    </w:p>
    <w:p>
      <w:pPr>
        <w:pStyle w:val="null3"/>
        <w:ind w:firstLine="480"/>
      </w:pPr>
      <w:r>
        <w:rPr/>
        <w:t xml:space="preserve"> 响应文件提交截止时间后，成功提交响应文件的供应商符合响应文件规定数量的，代理机构将启动响应文件解密程序，解密时间为</w:t>
      </w:r>
      <w:r>
        <w:rPr/>
        <w:t>30</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sz w:val="24"/>
          <w:b/>
        </w:rPr>
        <w:t>2.5.2查询及使用信用记录</w:t>
      </w:r>
    </w:p>
    <w:p>
      <w:pPr>
        <w:pStyle w:val="null3"/>
        <w:ind w:firstLine="480"/>
      </w:pPr>
      <w:r>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详见谈判文件第四章。</w:t>
      </w:r>
    </w:p>
    <w:p>
      <w:pPr>
        <w:pStyle w:val="null3"/>
        <w:outlineLvl w:val="3"/>
      </w:pPr>
      <w:r>
        <w:rPr>
          <w:sz w:val="24"/>
          <w:b/>
        </w:rPr>
        <w:t>2.5.4谈判</w:t>
      </w:r>
    </w:p>
    <w:p>
      <w:pPr>
        <w:pStyle w:val="null3"/>
        <w:ind w:firstLine="480"/>
      </w:pPr>
      <w:r>
        <w:rPr/>
        <w:t>详见谈判文件第六章。</w:t>
      </w:r>
    </w:p>
    <w:p>
      <w:pPr>
        <w:pStyle w:val="null3"/>
        <w:outlineLvl w:val="3"/>
      </w:pPr>
      <w:r>
        <w:rPr>
          <w:sz w:val="24"/>
          <w:b/>
        </w:rPr>
        <w:t>2.5.5、成交通知书</w:t>
      </w:r>
    </w:p>
    <w:p>
      <w:pPr>
        <w:pStyle w:val="null3"/>
        <w:ind w:firstLine="480"/>
      </w:pPr>
      <w:r>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outlineLvl w:val="2"/>
      </w:pPr>
      <w:r>
        <w:rPr>
          <w:sz w:val="28"/>
          <w:b/>
        </w:rPr>
        <w:t>2.6签订及履行合同和验收</w:t>
      </w:r>
    </w:p>
    <w:p>
      <w:pPr>
        <w:pStyle w:val="null3"/>
        <w:outlineLvl w:val="3"/>
      </w:pPr>
      <w:r>
        <w:rPr>
          <w:sz w:val="24"/>
          <w:b/>
        </w:rPr>
        <w:t>2.6.1签订合同</w:t>
      </w:r>
    </w:p>
    <w:p>
      <w:pPr>
        <w:pStyle w:val="null3"/>
        <w:ind w:firstLine="480"/>
      </w:pPr>
      <w:r>
        <w:rPr/>
        <w:t>一、采购人应在成交通知书发出之日起三十日内与成交供应商签订采购合同。</w:t>
      </w:r>
    </w:p>
    <w:p>
      <w:pPr>
        <w:pStyle w:val="null3"/>
        <w:ind w:firstLine="480"/>
      </w:pPr>
      <w:r>
        <w:rPr/>
        <w:t>二、采购人和成交供应商签订的采购合同不得对谈判文件确定的事项以及成交供应商的响应文件作实质性修改。</w:t>
      </w:r>
    </w:p>
    <w:p>
      <w:pPr>
        <w:pStyle w:val="null3"/>
        <w:outlineLvl w:val="3"/>
      </w:pPr>
      <w:r>
        <w:rPr>
          <w:sz w:val="24"/>
          <w:b/>
        </w:rPr>
        <w:t>2.6.2合同分包和转包（实质性要求）</w:t>
      </w:r>
    </w:p>
    <w:p>
      <w:pPr>
        <w:pStyle w:val="null3"/>
        <w:outlineLvl w:val="3"/>
      </w:pPr>
      <w:r>
        <w:rPr>
          <w:sz w:val="24"/>
          <w:b/>
        </w:rPr>
        <w:t>2.6.2.1合同分包</w:t>
      </w:r>
    </w:p>
    <w:p>
      <w:pPr>
        <w:pStyle w:val="null3"/>
        <w:ind w:firstLine="480"/>
      </w:pPr>
      <w:r>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t xml:space="preserve"> 二、分包履行合同的部分应当为采购项目的非主体、非关键性工作，不属于成交供应商的主要合同义务。</w:t>
      </w:r>
    </w:p>
    <w:p>
      <w:pPr>
        <w:pStyle w:val="null3"/>
        <w:ind w:firstLine="480"/>
      </w:pPr>
      <w:r>
        <w:rPr/>
        <w:t xml:space="preserve"> 三、采购合同实行分包履行的，成交供应商就采购项目和分包项目向采购人负责，分包供应商就分包项目承担责任。</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sz w:val="24"/>
          <w:b/>
        </w:rPr>
        <w:t>2.6.2.2合同转包</w:t>
      </w:r>
    </w:p>
    <w:p>
      <w:pPr>
        <w:pStyle w:val="null3"/>
        <w:ind w:firstLine="480"/>
      </w:pPr>
      <w:r>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t>二、成交供应商转包的，视同拒绝履行政府采购合同，将依法追究法律责任。</w:t>
      </w:r>
    </w:p>
    <w:p>
      <w:pPr>
        <w:pStyle w:val="null3"/>
        <w:outlineLvl w:val="3"/>
      </w:pPr>
      <w:r>
        <w:rPr>
          <w:sz w:val="24"/>
          <w:b/>
        </w:rPr>
        <w:t xml:space="preserve"> 2.6.3合同公告</w:t>
      </w:r>
    </w:p>
    <w:p>
      <w:pPr>
        <w:pStyle w:val="null3"/>
        <w:ind w:firstLine="480"/>
      </w:pPr>
      <w:r>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sz w:val="24"/>
          <w:b/>
        </w:rPr>
        <w:t xml:space="preserve"> 2.6.4合同备案</w:t>
      </w:r>
    </w:p>
    <w:p>
      <w:pPr>
        <w:pStyle w:val="null3"/>
        <w:ind w:firstLine="480"/>
      </w:pPr>
      <w:r>
        <w:rPr/>
        <w:t xml:space="preserve"> 采购人自政府采购合同签订（双方当事人均已完成盖章）之日起7个工作日内，将本项目采购合同通过报同级财政部门备案。</w:t>
      </w:r>
    </w:p>
    <w:p>
      <w:pPr>
        <w:pStyle w:val="null3"/>
        <w:outlineLvl w:val="3"/>
      </w:pPr>
      <w:r>
        <w:rPr>
          <w:sz w:val="24"/>
          <w:b/>
        </w:rPr>
        <w:t>2.6.5采购人增加合同标的的权利</w:t>
      </w:r>
    </w:p>
    <w:p>
      <w:pPr>
        <w:pStyle w:val="null3"/>
        <w:ind w:firstLine="480"/>
      </w:pPr>
      <w:r>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sz w:val="28"/>
          <w:b/>
        </w:rPr>
        <w:t>2.6.6履行合同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2"/>
      </w:pPr>
      <w:r>
        <w:rPr>
          <w:sz w:val="28"/>
          <w:b/>
        </w:rPr>
        <w:t>2.6.7履约验收方案</w:t>
      </w:r>
    </w:p>
    <w:p>
      <w:pPr>
        <w:pStyle w:val="null3"/>
      </w:pPr>
      <w:r>
        <w:rPr/>
        <w:t>采购包1：</w:t>
      </w:r>
    </w:p>
    <w:p>
      <w:pPr>
        <w:pStyle w:val="null3"/>
      </w:pPr>
      <w:r>
        <w:rPr/>
        <w:t>以合同为准</w:t>
      </w:r>
    </w:p>
    <w:p>
      <w:pPr>
        <w:pStyle w:val="null3"/>
        <w:outlineLvl w:val="2"/>
      </w:pPr>
      <w:r>
        <w:rPr>
          <w:sz w:val="28"/>
          <w:b/>
        </w:rPr>
        <w:t>2.6.8资金支付</w:t>
      </w:r>
    </w:p>
    <w:p>
      <w:pPr>
        <w:pStyle w:val="null3"/>
        <w:ind w:firstLine="480"/>
      </w:pPr>
      <w:r>
        <w:rPr/>
        <w:t>采购人按财政部门的相关规定及采购合同的约定进行支付。</w:t>
      </w:r>
    </w:p>
    <w:p>
      <w:pPr>
        <w:pStyle w:val="null3"/>
        <w:outlineLvl w:val="2"/>
      </w:pPr>
      <w:r>
        <w:rPr>
          <w:sz w:val="28"/>
          <w:b/>
        </w:rPr>
        <w:t>2.7纪律要求</w:t>
      </w:r>
    </w:p>
    <w:p>
      <w:pPr>
        <w:pStyle w:val="null3"/>
        <w:outlineLvl w:val="3"/>
      </w:pPr>
      <w:r>
        <w:rPr>
          <w:sz w:val="24"/>
          <w:b/>
        </w:rPr>
        <w:t>2.7.1谈判活动纪律要求</w:t>
      </w:r>
    </w:p>
    <w:p>
      <w:pPr>
        <w:pStyle w:val="null3"/>
        <w:ind w:firstLine="480"/>
      </w:pPr>
      <w:r>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t>对各供应商的商业秘密，谈判小组成员应予以保密，不得泄露给其他供应商。</w:t>
      </w:r>
    </w:p>
    <w:p>
      <w:pPr>
        <w:pStyle w:val="null3"/>
        <w:outlineLvl w:val="3"/>
      </w:pPr>
      <w:r>
        <w:rPr>
          <w:sz w:val="24"/>
          <w:b/>
        </w:rPr>
        <w:t>2.7.2供应商不得具有的情形（实质性要求）</w:t>
      </w:r>
    </w:p>
    <w:p>
      <w:pPr>
        <w:pStyle w:val="null3"/>
        <w:ind w:firstLine="480"/>
      </w:pPr>
      <w:r>
        <w:rPr/>
        <w:t>供应商参加谈判不得有下列情形：</w:t>
      </w:r>
    </w:p>
    <w:p>
      <w:pPr>
        <w:pStyle w:val="null3"/>
        <w:ind w:firstLine="480"/>
      </w:pPr>
      <w:r>
        <w:rPr/>
        <w:t>一、有下列情形之一的，视为供应商串通响应：</w:t>
      </w:r>
    </w:p>
    <w:p>
      <w:pPr>
        <w:pStyle w:val="null3"/>
        <w:ind w:firstLine="480"/>
      </w:pPr>
      <w:r>
        <w:rPr/>
        <w:t>（一）不同供应商的响应文件由同一单位或者个人编制；</w:t>
      </w:r>
    </w:p>
    <w:p>
      <w:pPr>
        <w:pStyle w:val="null3"/>
        <w:ind w:firstLine="480"/>
      </w:pPr>
      <w:r>
        <w:rPr/>
        <w:t>（二）不同供应商委托同一单位或者个人办理谈判事宜；</w:t>
      </w:r>
    </w:p>
    <w:p>
      <w:pPr>
        <w:pStyle w:val="null3"/>
        <w:ind w:firstLine="480"/>
      </w:pPr>
      <w:r>
        <w:rPr/>
        <w:t>（三）不同供应商的响应文件载明的项目管理成员或者联系人员为同一人；</w:t>
      </w:r>
    </w:p>
    <w:p>
      <w:pPr>
        <w:pStyle w:val="null3"/>
        <w:ind w:firstLine="480"/>
      </w:pPr>
      <w:r>
        <w:rPr/>
        <w:t>（四）不同供应商的响应文件异常一致或者响应报价呈规律性差异；</w:t>
      </w:r>
    </w:p>
    <w:p>
      <w:pPr>
        <w:pStyle w:val="null3"/>
        <w:ind w:firstLine="480"/>
      </w:pPr>
      <w:r>
        <w:rPr/>
        <w:t>（五）不同供应商的响应文件相互混装。</w:t>
      </w:r>
    </w:p>
    <w:p>
      <w:pPr>
        <w:pStyle w:val="null3"/>
        <w:ind w:firstLine="480"/>
      </w:pPr>
      <w:r>
        <w:rPr/>
        <w:t>二、提供虚假材料谋取成交；</w:t>
      </w:r>
    </w:p>
    <w:p>
      <w:pPr>
        <w:pStyle w:val="null3"/>
        <w:ind w:firstLine="480"/>
      </w:pPr>
      <w:r>
        <w:rPr/>
        <w:t>三、采取不正当手段诋毁、排挤其他供应商；</w:t>
      </w:r>
    </w:p>
    <w:p>
      <w:pPr>
        <w:pStyle w:val="null3"/>
        <w:ind w:firstLine="480"/>
      </w:pPr>
      <w:r>
        <w:rPr/>
        <w:t>四、与采购人或代理机构、其他供应商恶意串通；</w:t>
      </w:r>
    </w:p>
    <w:p>
      <w:pPr>
        <w:pStyle w:val="null3"/>
        <w:ind w:firstLine="480"/>
      </w:pPr>
      <w:r>
        <w:rPr/>
        <w:t>五、向采购人或代理机构、谈判小组成员行贿或者提供其他不正当利益；</w:t>
      </w:r>
    </w:p>
    <w:p>
      <w:pPr>
        <w:pStyle w:val="null3"/>
        <w:ind w:firstLine="480"/>
      </w:pPr>
      <w:r>
        <w:rPr/>
        <w:t>六、在谈判过程中与采购人或代理机构进行协商谈判；</w:t>
      </w:r>
    </w:p>
    <w:p>
      <w:pPr>
        <w:pStyle w:val="null3"/>
        <w:ind w:firstLine="480"/>
      </w:pPr>
      <w:r>
        <w:rPr/>
        <w:t>七、成交后无正当理由拒不与采购人签订政府采购合同；</w:t>
      </w:r>
    </w:p>
    <w:p>
      <w:pPr>
        <w:pStyle w:val="null3"/>
        <w:ind w:firstLine="480"/>
      </w:pPr>
      <w:r>
        <w:rPr/>
        <w:t>八、未按照谈判文件确定的事项签订政府采购合同；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供应商有上述情形的，按照规定追究法律责任，具有前述一至十三条情形之一的，其响应文件无效，或取消被确认为成交供应商的资格或认定成交无效。</w:t>
      </w:r>
    </w:p>
    <w:p>
      <w:pPr>
        <w:pStyle w:val="null3"/>
        <w:outlineLvl w:val="3"/>
      </w:pPr>
      <w:r>
        <w:rPr>
          <w:sz w:val="24"/>
          <w:b/>
        </w:rPr>
        <w:t xml:space="preserve"> 2.7.3采购人员及相关人员回避要求</w:t>
      </w:r>
    </w:p>
    <w:p>
      <w:pPr>
        <w:pStyle w:val="null3"/>
        <w:ind w:firstLine="480"/>
      </w:pPr>
      <w:r>
        <w:rPr/>
        <w:t>政府采购活动中，采购人员及相关人员与供应商有下列利害关系之一的，应当回避：</w:t>
      </w:r>
    </w:p>
    <w:p>
      <w:pPr>
        <w:pStyle w:val="null3"/>
        <w:ind w:firstLine="480"/>
      </w:pPr>
      <w:r>
        <w:rPr/>
        <w:t>（一）参加采购活动前3年内与供应商存在劳动关系；</w:t>
      </w:r>
    </w:p>
    <w:p>
      <w:pPr>
        <w:pStyle w:val="null3"/>
        <w:ind w:firstLine="480"/>
      </w:pPr>
      <w:r>
        <w:rPr/>
        <w:t>（二）参加采购活动前3年内担任供应商的董事、监事；</w:t>
      </w:r>
    </w:p>
    <w:p>
      <w:pPr>
        <w:pStyle w:val="null3"/>
        <w:ind w:firstLine="480"/>
      </w:pPr>
      <w:r>
        <w:rPr/>
        <w:t>（三）参加采购活动前3年内是供应商的控股股东或者实际控制人；</w:t>
      </w:r>
    </w:p>
    <w:p>
      <w:pPr>
        <w:pStyle w:val="null3"/>
        <w:ind w:firstLine="480"/>
      </w:pPr>
      <w:r>
        <w:rPr/>
        <w:t>（四）与供应商的法定代表人或者负责人有夫妻、直系血亲、三代以内旁系血亲或者近姻亲关系；</w:t>
      </w:r>
    </w:p>
    <w:p>
      <w:pPr>
        <w:pStyle w:val="null3"/>
        <w:ind w:firstLine="480"/>
      </w:pPr>
      <w:r>
        <w:rPr/>
        <w:t>（五）与供应商有其他可能影响政府采购活动公平、公正进行的关系。</w:t>
      </w:r>
    </w:p>
    <w:p>
      <w:pPr>
        <w:pStyle w:val="null3"/>
        <w:ind w:firstLine="480"/>
      </w:pPr>
      <w:r>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根据委托代理协议约定，供应商对采购文件中采购需求的询问、质疑由 </w:t>
      </w:r>
      <w:r>
        <w:rPr/>
        <w:t>华夏国际项目管理有限公司</w:t>
      </w:r>
      <w:r>
        <w:rPr/>
        <w:t xml:space="preserve"> 负责答复；供应商对除采购需求外的采购文件的询问、质疑由</w:t>
      </w:r>
      <w:r>
        <w:rPr/>
        <w:t>华夏国际项目管理有限公司</w:t>
      </w:r>
      <w:r>
        <w:rPr/>
        <w:t xml:space="preserve"> 负责答复；供应商对采购过程、采购结果的询问、质疑由 </w:t>
      </w:r>
      <w:r>
        <w:rPr/>
        <w:t>华夏国际项目管理有限公司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t>（一）对可以质疑的采购文件提出质疑的，为收到采购文件之日或者采购文件公告期限届满之日；</w:t>
      </w:r>
    </w:p>
    <w:p>
      <w:pPr>
        <w:pStyle w:val="null3"/>
        <w:jc w:val="left"/>
      </w:pPr>
      <w:r>
        <w:rPr/>
        <w:t>（二）对采购过程提出质疑的，为各采购程序环节结束之日；</w:t>
      </w:r>
    </w:p>
    <w:p>
      <w:pPr>
        <w:pStyle w:val="null3"/>
        <w:jc w:val="left"/>
      </w:pPr>
      <w:r>
        <w:rPr/>
        <w:t>（三）对中标或者成交结果提出质疑的，为中标或者成交结果公告期限届满之日。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pPr>
      <w:r>
        <w:rPr/>
        <w:t>答复主体：代理机构</w:t>
      </w:r>
    </w:p>
    <w:p>
      <w:pPr>
        <w:pStyle w:val="null3"/>
      </w:pPr>
      <w:r>
        <w:rPr/>
        <w:t>联系人：丁杰、雷鸣、康敏茹、张艳萍</w:t>
      </w:r>
    </w:p>
    <w:p>
      <w:pPr>
        <w:pStyle w:val="null3"/>
      </w:pPr>
      <w:r>
        <w:rPr/>
        <w:t>联系电话：029-88899970/72/73/75-862</w:t>
      </w:r>
    </w:p>
    <w:p>
      <w:pPr>
        <w:pStyle w:val="null3"/>
      </w:pPr>
      <w:r>
        <w:rPr/>
        <w:t>地址：西安市莲湖区南二环西段202号九座花园东区1605室</w:t>
      </w:r>
    </w:p>
    <w:p>
      <w:pPr>
        <w:pStyle w:val="null3"/>
      </w:pPr>
      <w:r>
        <w:rPr/>
        <w:t>邮编：710082</w:t>
      </w:r>
    </w:p>
    <w:p>
      <w:pPr>
        <w:pStyle w:val="null3"/>
        <w:ind w:firstLine="480"/>
      </w:pPr>
      <w:r>
        <w:rPr/>
        <w:t>六、供应商提出质疑时应当准备的资料</w:t>
      </w:r>
    </w:p>
    <w:p>
      <w:pPr>
        <w:pStyle w:val="null3"/>
        <w:ind w:firstLine="480"/>
      </w:pPr>
      <w:r>
        <w:rPr/>
        <w:t>（一）质疑函正本1份；（政府采购供应商质疑函范本详见附件一）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（五）针对质疑事项必要的证明材料（针对谈判文件提出的质疑，需提交从项目电子化交易系统获取的谈判文件回执单）。</w:t>
      </w:r>
    </w:p>
    <w:p>
      <w:pPr>
        <w:pStyle w:val="null3"/>
        <w:ind w:firstLine="480"/>
      </w:pPr>
      <w:r>
        <w:rPr/>
        <w:t>注：根据《中华人民共和国政府采购法》的规定，供应商质疑不得超出谈判文件、采购过程、采购结果的范围。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t xml:space="preserve"> </w:t>
        <w:br/>
        <w:br w:type="page"/>
      </w:r>
    </w:p>
    <w:p>
      <w:pPr>
        <w:pStyle w:val="null3"/>
        <w:jc w:val="center"/>
        <w:outlineLvl w:val="1"/>
      </w:pPr>
      <w:r>
        <w:rPr>
          <w:sz w:val="36"/>
          <w:b/>
        </w:rPr>
        <w:t>第三章 谈判项目技术、服务、商务及其他要求</w:t>
      </w:r>
    </w:p>
    <w:p>
      <w:pPr>
        <w:pStyle w:val="null3"/>
        <w:ind w:firstLine="480"/>
      </w:pPr>
      <w:r>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sz w:val="28"/>
          <w:b/>
        </w:rPr>
        <w:t>3.1采购项目概况</w:t>
      </w:r>
    </w:p>
    <w:p>
      <w:pPr>
        <w:pStyle w:val="null3"/>
        <w:ind w:firstLine="480"/>
      </w:pPr>
      <w:r>
        <w:rPr/>
        <w:t>2024年义务教育薄弱环节改善与能力提升南综合楼网络、监控、课桌凳、文件柜、办公桌椅等设备</w:t>
      </w:r>
    </w:p>
    <w:p>
      <w:pPr>
        <w:pStyle w:val="null3"/>
        <w:outlineLvl w:val="2"/>
      </w:pPr>
      <w:r>
        <w:rPr>
          <w:sz w:val="28"/>
          <w:b/>
        </w:rPr>
        <w:t>3.2采购内容</w:t>
      </w:r>
    </w:p>
    <w:p>
      <w:pPr>
        <w:pStyle w:val="null3"/>
      </w:pPr>
      <w:r>
        <w:rPr/>
        <w:t>采购包1：</w:t>
      </w:r>
    </w:p>
    <w:p>
      <w:pPr>
        <w:pStyle w:val="null3"/>
      </w:pPr>
      <w:r>
        <w:rPr/>
        <w:t>采购包预算金额（元）: 300,000.00</w:t>
      </w:r>
    </w:p>
    <w:p>
      <w:pPr>
        <w:pStyle w:val="null3"/>
      </w:pPr>
      <w:r>
        <w:rPr/>
        <w:t>采购包最高限价（元）: 300,000.00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2024年义务教育薄弱环节改善与能力提升西安市第九十八中学南综合楼网络、监控、课桌凳、文件柜、办公桌椅等设备</w:t>
            </w:r>
          </w:p>
        </w:tc>
        <w:tc>
          <w:tcPr>
            <w:tcW w:type="dxa" w:w="831"/>
          </w:tcPr>
          <w:p>
            <w:pPr>
              <w:pStyle w:val="null3"/>
              <w:jc w:val="right"/>
            </w:pPr>
            <w:r>
              <w:rPr/>
              <w:t>1.00</w:t>
            </w:r>
          </w:p>
        </w:tc>
        <w:tc>
          <w:tcPr>
            <w:tcW w:type="dxa" w:w="831"/>
          </w:tcPr>
          <w:p>
            <w:pPr>
              <w:pStyle w:val="null3"/>
              <w:jc w:val="right"/>
            </w:pPr>
            <w:r>
              <w:rPr/>
              <w:t>300,000.00</w:t>
            </w:r>
          </w:p>
        </w:tc>
        <w:tc>
          <w:tcPr>
            <w:tcW w:type="dxa" w:w="831"/>
          </w:tcPr>
          <w:p>
            <w:pPr>
              <w:pStyle w:val="null3"/>
            </w:pPr>
            <w:r>
              <w:rPr/>
              <w:t>宗</w:t>
            </w:r>
          </w:p>
        </w:tc>
        <w:tc>
          <w:tcPr>
            <w:tcW w:type="dxa" w:w="831"/>
          </w:tcPr>
          <w:p>
            <w:pPr>
              <w:pStyle w:val="null3"/>
            </w:pPr>
            <w:r>
              <w:rPr/>
              <w:t>工业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sz w:val="28"/>
          <w:b/>
        </w:rPr>
        <w:t>3.3技术要求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标的名称：2024年义务教育薄弱环节改善与能力提升西安市第九十八中学南综合楼网络、监控、课桌凳、文件柜、办公桌椅等设备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85"/>
              <w:gridCol w:w="374"/>
              <w:gridCol w:w="1552"/>
              <w:gridCol w:w="257"/>
              <w:gridCol w:w="185"/>
            </w:tblGrid>
            <w:tr>
              <w:tc>
                <w:tcPr>
                  <w:tcW w:type="dxa" w:w="2553"/>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32"/>
                      <w:b/>
                      <w:color w:val="000000"/>
                    </w:rPr>
                    <w:t>监控系统清单</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b/>
                      <w:color w:val="000000"/>
                    </w:rPr>
                    <w:t>序号</w:t>
                  </w:r>
                </w:p>
              </w:tc>
              <w:tc>
                <w:tcPr>
                  <w:tcW w:type="dxa" w:w="3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b/>
                      <w:color w:val="000000"/>
                    </w:rPr>
                    <w:t>名称</w:t>
                  </w:r>
                </w:p>
              </w:tc>
              <w:tc>
                <w:tcPr>
                  <w:tcW w:type="dxa" w:w="15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b/>
                      <w:color w:val="000000"/>
                    </w:rPr>
                    <w:t>参数</w:t>
                  </w:r>
                </w:p>
              </w:tc>
              <w:tc>
                <w:tcPr>
                  <w:tcW w:type="dxa" w:w="2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b/>
                      <w:color w:val="000000"/>
                    </w:rPr>
                    <w:t>数量</w:t>
                  </w:r>
                </w:p>
              </w:tc>
              <w:tc>
                <w:tcPr>
                  <w:tcW w:type="dxa" w:w="1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b/>
                      <w:color w:val="000000"/>
                    </w:rPr>
                    <w:t>单位</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1</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400W网络高清枪式摄像机</w:t>
                  </w:r>
                </w:p>
              </w:tc>
              <w:tc>
                <w:tcPr>
                  <w:tcW w:type="dxa" w:w="1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color w:val="000000"/>
                    </w:rPr>
                    <w:t>400万高清分辨率</w:t>
                  </w:r>
                  <w:r>
                    <w:br/>
                  </w:r>
                  <w:r>
                    <w:rPr>
                      <w:rFonts w:ascii="宋体" w:hAnsi="宋体" w:cs="宋体" w:eastAsia="宋体"/>
                      <w:sz w:val="20"/>
                      <w:color w:val="000000"/>
                    </w:rPr>
                    <w:t>搭载</w:t>
                  </w:r>
                  <w:r>
                    <w:rPr>
                      <w:rFonts w:ascii="宋体" w:hAnsi="宋体" w:cs="宋体" w:eastAsia="宋体"/>
                      <w:sz w:val="20"/>
                      <w:color w:val="000000"/>
                    </w:rPr>
                    <w:t>F1.0大光圈，全彩效果更好</w:t>
                  </w:r>
                  <w:r>
                    <w:br/>
                  </w:r>
                  <w:r>
                    <w:rPr>
                      <w:rFonts w:ascii="宋体" w:hAnsi="宋体" w:cs="宋体" w:eastAsia="宋体"/>
                      <w:sz w:val="20"/>
                      <w:color w:val="000000"/>
                    </w:rPr>
                    <w:t>加载人形告警功能，提升智能动检准确率</w:t>
                  </w:r>
                  <w:r>
                    <w:br/>
                  </w:r>
                  <w:r>
                    <w:rPr>
                      <w:rFonts w:ascii="宋体" w:hAnsi="宋体" w:cs="宋体" w:eastAsia="宋体"/>
                      <w:sz w:val="20"/>
                      <w:color w:val="000000"/>
                    </w:rPr>
                    <w:t>支持电压检测，异常电压报警，保护设备电路</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21</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台</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2</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摄像机支架</w:t>
                  </w:r>
                </w:p>
              </w:tc>
              <w:tc>
                <w:tcPr>
                  <w:tcW w:type="dxa" w:w="1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color w:val="000000"/>
                    </w:rPr>
                    <w:t>壁装</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21</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个</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3</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400W网络高清半球摄像机</w:t>
                  </w:r>
                </w:p>
              </w:tc>
              <w:tc>
                <w:tcPr>
                  <w:tcW w:type="dxa" w:w="1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color w:val="000000"/>
                    </w:rPr>
                    <w:t>400万高清分辨率</w:t>
                  </w:r>
                  <w:r>
                    <w:br/>
                  </w:r>
                  <w:r>
                    <w:rPr>
                      <w:rFonts w:ascii="宋体" w:hAnsi="宋体" w:cs="宋体" w:eastAsia="宋体"/>
                      <w:sz w:val="20"/>
                      <w:color w:val="000000"/>
                    </w:rPr>
                    <w:t>搭载</w:t>
                  </w:r>
                  <w:r>
                    <w:rPr>
                      <w:rFonts w:ascii="宋体" w:hAnsi="宋体" w:cs="宋体" w:eastAsia="宋体"/>
                      <w:sz w:val="20"/>
                      <w:color w:val="000000"/>
                    </w:rPr>
                    <w:t>F1.0大光圈，全彩效果更好</w:t>
                  </w:r>
                  <w:r>
                    <w:br/>
                  </w:r>
                  <w:r>
                    <w:rPr>
                      <w:rFonts w:ascii="宋体" w:hAnsi="宋体" w:cs="宋体" w:eastAsia="宋体"/>
                      <w:sz w:val="20"/>
                      <w:color w:val="000000"/>
                    </w:rPr>
                    <w:t>加载人形告警功能，提升智能动检准确率</w:t>
                  </w:r>
                  <w:r>
                    <w:br/>
                  </w:r>
                  <w:r>
                    <w:rPr>
                      <w:rFonts w:ascii="宋体" w:hAnsi="宋体" w:cs="宋体" w:eastAsia="宋体"/>
                      <w:sz w:val="20"/>
                      <w:color w:val="000000"/>
                    </w:rPr>
                    <w:t>支持电压检测，异常电压报警，保护设备电路</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3</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台</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4</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400W网络高清电梯专用摄像机</w:t>
                  </w:r>
                </w:p>
              </w:tc>
              <w:tc>
                <w:tcPr>
                  <w:tcW w:type="dxa" w:w="1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color w:val="000000"/>
                    </w:rPr>
                    <w:t>400万高清分辨率</w:t>
                  </w:r>
                  <w:r>
                    <w:br/>
                  </w:r>
                  <w:r>
                    <w:rPr>
                      <w:rFonts w:ascii="宋体" w:hAnsi="宋体" w:cs="宋体" w:eastAsia="宋体"/>
                      <w:sz w:val="20"/>
                      <w:color w:val="000000"/>
                    </w:rPr>
                    <w:t>搭载</w:t>
                  </w:r>
                  <w:r>
                    <w:rPr>
                      <w:rFonts w:ascii="宋体" w:hAnsi="宋体" w:cs="宋体" w:eastAsia="宋体"/>
                      <w:sz w:val="20"/>
                      <w:color w:val="000000"/>
                    </w:rPr>
                    <w:t>F1.6光圈镜头，星光级照度，夜视低照效果好</w:t>
                  </w:r>
                  <w:r>
                    <w:br/>
                  </w:r>
                  <w:r>
                    <w:rPr>
                      <w:rFonts w:ascii="宋体" w:hAnsi="宋体" w:cs="宋体" w:eastAsia="宋体"/>
                      <w:sz w:val="20"/>
                      <w:color w:val="000000"/>
                    </w:rPr>
                    <w:t>加载人形告警功能，提升智能动检准确率</w:t>
                  </w:r>
                  <w:r>
                    <w:br/>
                  </w:r>
                  <w:r>
                    <w:rPr>
                      <w:rFonts w:ascii="宋体" w:hAnsi="宋体" w:cs="宋体" w:eastAsia="宋体"/>
                      <w:sz w:val="20"/>
                      <w:color w:val="000000"/>
                    </w:rPr>
                    <w:t>支持电压检测，异常电压报警，保护设备电路</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1</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台</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5</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千兆电梯专用无线网桥</w:t>
                  </w:r>
                </w:p>
              </w:tc>
              <w:tc>
                <w:tcPr>
                  <w:tcW w:type="dxa" w:w="1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color w:val="000000"/>
                    </w:rPr>
                    <w:t>^单频2.4G无线网桥套装^内置定向天线^最大传输距离100米^最大桥接速率300Mbps^包装包含发射端和接收端两个设备^出厂默认配对^无需配置即可使用^摄像头端网桥支持标准PoE供电输出^直接给电梯摄像头供电^支持睿易APP管理^APP重启网桥下联摄像头^</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1</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对</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6</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10口千兆POE接入交换机</w:t>
                  </w:r>
                </w:p>
              </w:tc>
              <w:tc>
                <w:tcPr>
                  <w:tcW w:type="dxa" w:w="1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color w:val="000000"/>
                    </w:rPr>
                    <w:t>10口千兆以太网PoE交换机，金属壳体，内置电源开关，提供10个10/100/1000Mbps RJ45自适应端口，支持所有端口线速转发。其中2个端口为上联口，剩余8个端口具有PoE功能，可作为以太网供电设备。能自动检测与识别符合IEEE 802.3af及IEEE802.3at标准的受电设备，并通过网线为其供电。整机PoE输出功率80W，单口最大PoE输出功率30W，足额大功率。</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4</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台</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7</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16口千兆POE核心交换机</w:t>
                  </w:r>
                </w:p>
              </w:tc>
              <w:tc>
                <w:tcPr>
                  <w:tcW w:type="dxa" w:w="1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color w:val="000000"/>
                    </w:rPr>
                    <w:t>二层非网管交换机，交换容量</w:t>
                  </w:r>
                  <w:r>
                    <w:rPr>
                      <w:rFonts w:ascii="宋体" w:hAnsi="宋体" w:cs="宋体" w:eastAsia="宋体"/>
                      <w:sz w:val="20"/>
                      <w:color w:val="000000"/>
                    </w:rPr>
                    <w:t>36Gbps，包转发率26.8Mpps，16口10/100/1000Mbps自适应电口交换机（支持PoE/PoE+，PoE功率247W），固化2个SFP千兆光口，支持云端发现，云端查看设备状态。</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1</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台</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8</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32路4盘位网络硬盘录像机</w:t>
                  </w:r>
                </w:p>
              </w:tc>
              <w:tc>
                <w:tcPr>
                  <w:tcW w:type="dxa" w:w="1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color w:val="000000"/>
                    </w:rPr>
                    <w:t>支持嵌入式</w:t>
                  </w:r>
                  <w:r>
                    <w:rPr>
                      <w:rFonts w:ascii="宋体" w:hAnsi="宋体" w:cs="宋体" w:eastAsia="宋体"/>
                      <w:sz w:val="20"/>
                      <w:color w:val="000000"/>
                    </w:rPr>
                    <w:t>Linux系统，工业级嵌入式微控制器</w:t>
                  </w:r>
                  <w:r>
                    <w:br/>
                  </w:r>
                  <w:r>
                    <w:rPr>
                      <w:rFonts w:ascii="宋体" w:hAnsi="宋体" w:cs="宋体" w:eastAsia="宋体"/>
                      <w:sz w:val="20"/>
                      <w:color w:val="000000"/>
                    </w:rPr>
                    <w:t>支持全新</w:t>
                  </w:r>
                  <w:r>
                    <w:rPr>
                      <w:rFonts w:ascii="宋体" w:hAnsi="宋体" w:cs="宋体" w:eastAsia="宋体"/>
                      <w:sz w:val="20"/>
                      <w:color w:val="000000"/>
                    </w:rPr>
                    <w:t>UI4.0界面风格</w:t>
                  </w:r>
                  <w:r>
                    <w:br/>
                  </w:r>
                  <w:r>
                    <w:rPr>
                      <w:rFonts w:ascii="宋体" w:hAnsi="宋体" w:cs="宋体" w:eastAsia="宋体"/>
                      <w:sz w:val="20"/>
                      <w:color w:val="000000"/>
                    </w:rPr>
                    <w:t>支持安全基线</w:t>
                  </w:r>
                  <w:r>
                    <w:rPr>
                      <w:rFonts w:ascii="宋体" w:hAnsi="宋体" w:cs="宋体" w:eastAsia="宋体"/>
                      <w:sz w:val="20"/>
                      <w:color w:val="000000"/>
                    </w:rPr>
                    <w:t>2.1</w:t>
                  </w:r>
                  <w:r>
                    <w:br/>
                  </w:r>
                  <w:r>
                    <w:rPr>
                      <w:rFonts w:ascii="宋体" w:hAnsi="宋体" w:cs="宋体" w:eastAsia="宋体"/>
                      <w:sz w:val="20"/>
                      <w:color w:val="000000"/>
                    </w:rPr>
                    <w:t>支持</w:t>
                  </w:r>
                  <w:r>
                    <w:rPr>
                      <w:rFonts w:ascii="宋体" w:hAnsi="宋体" w:cs="宋体" w:eastAsia="宋体"/>
                      <w:sz w:val="20"/>
                      <w:color w:val="000000"/>
                    </w:rPr>
                    <w:t>WEB、本地GUI界面操作</w:t>
                  </w:r>
                  <w:r>
                    <w:br/>
                  </w:r>
                  <w:r>
                    <w:rPr>
                      <w:rFonts w:ascii="宋体" w:hAnsi="宋体" w:cs="宋体" w:eastAsia="宋体"/>
                      <w:sz w:val="20"/>
                      <w:color w:val="000000"/>
                    </w:rPr>
                    <w:t>支持前智能人脸检测、周界防范、通用行为分析、人数统计、热度图、</w:t>
                  </w:r>
                  <w:r>
                    <w:rPr>
                      <w:rFonts w:ascii="宋体" w:hAnsi="宋体" w:cs="宋体" w:eastAsia="宋体"/>
                      <w:sz w:val="20"/>
                      <w:color w:val="000000"/>
                    </w:rPr>
                    <w:t>SMD功能</w:t>
                  </w:r>
                  <w:r>
                    <w:br/>
                  </w:r>
                  <w:r>
                    <w:rPr>
                      <w:rFonts w:ascii="宋体" w:hAnsi="宋体" w:cs="宋体" w:eastAsia="宋体"/>
                      <w:sz w:val="20"/>
                      <w:color w:val="000000"/>
                    </w:rPr>
                    <w:t>可接驳支持</w:t>
                  </w:r>
                  <w:r>
                    <w:rPr>
                      <w:rFonts w:ascii="宋体" w:hAnsi="宋体" w:cs="宋体" w:eastAsia="宋体"/>
                      <w:sz w:val="20"/>
                      <w:color w:val="000000"/>
                    </w:rPr>
                    <w:t>ONVIF、RTSP协议的第三方摄像机和主流品牌摄像机</w:t>
                  </w:r>
                  <w:r>
                    <w:br/>
                  </w:r>
                  <w:r>
                    <w:rPr>
                      <w:rFonts w:ascii="宋体" w:hAnsi="宋体" w:cs="宋体" w:eastAsia="宋体"/>
                      <w:sz w:val="20"/>
                      <w:color w:val="000000"/>
                    </w:rPr>
                    <w:t>开启智能接入存储转发性能：</w:t>
                  </w:r>
                  <w:r>
                    <w:rPr>
                      <w:rFonts w:ascii="宋体" w:hAnsi="宋体" w:cs="宋体" w:eastAsia="宋体"/>
                      <w:sz w:val="20"/>
                      <w:color w:val="000000"/>
                    </w:rPr>
                    <w:t>160Mbps</w:t>
                  </w:r>
                  <w:r>
                    <w:br/>
                  </w:r>
                  <w:r>
                    <w:rPr>
                      <w:rFonts w:ascii="宋体" w:hAnsi="宋体" w:cs="宋体" w:eastAsia="宋体"/>
                      <w:sz w:val="20"/>
                      <w:color w:val="000000"/>
                    </w:rPr>
                    <w:t>支持</w:t>
                  </w:r>
                  <w:r>
                    <w:rPr>
                      <w:rFonts w:ascii="宋体" w:hAnsi="宋体" w:cs="宋体" w:eastAsia="宋体"/>
                      <w:sz w:val="20"/>
                      <w:color w:val="000000"/>
                    </w:rPr>
                    <w:t>IPv4、IPv6、HTTP、NTP、DNS、ONVIF等网络协议</w:t>
                  </w:r>
                  <w:r>
                    <w:br/>
                  </w:r>
                  <w:r>
                    <w:rPr>
                      <w:rFonts w:ascii="宋体" w:hAnsi="宋体" w:cs="宋体" w:eastAsia="宋体"/>
                      <w:sz w:val="20"/>
                      <w:color w:val="000000"/>
                    </w:rPr>
                    <w:t>支持后智能人脸检测</w:t>
                  </w:r>
                  <w:r>
                    <w:rPr>
                      <w:rFonts w:ascii="宋体" w:hAnsi="宋体" w:cs="宋体" w:eastAsia="宋体"/>
                      <w:sz w:val="20"/>
                      <w:color w:val="000000"/>
                    </w:rPr>
                    <w:t>1路，人脸比对1路，周界1路，SMD4路。</w:t>
                  </w:r>
                  <w:r>
                    <w:br/>
                  </w:r>
                  <w:r>
                    <w:rPr>
                      <w:rFonts w:ascii="宋体" w:hAnsi="宋体" w:cs="宋体" w:eastAsia="宋体"/>
                      <w:sz w:val="20"/>
                      <w:color w:val="000000"/>
                    </w:rPr>
                    <w:t>支持不开智能：</w:t>
                  </w:r>
                  <w:r>
                    <w:br/>
                  </w:r>
                  <w:r>
                    <w:rPr>
                      <w:rFonts w:ascii="宋体" w:hAnsi="宋体" w:cs="宋体" w:eastAsia="宋体"/>
                      <w:sz w:val="20"/>
                      <w:color w:val="000000"/>
                    </w:rPr>
                    <w:t>1路16M@20fps;</w:t>
                  </w:r>
                  <w:r>
                    <w:br/>
                  </w:r>
                  <w:r>
                    <w:rPr>
                      <w:rFonts w:ascii="宋体" w:hAnsi="宋体" w:cs="宋体" w:eastAsia="宋体"/>
                      <w:sz w:val="20"/>
                      <w:color w:val="000000"/>
                    </w:rPr>
                    <w:t>1路12M@20fps;</w:t>
                  </w:r>
                  <w:r>
                    <w:br/>
                  </w:r>
                  <w:r>
                    <w:rPr>
                      <w:rFonts w:ascii="宋体" w:hAnsi="宋体" w:cs="宋体" w:eastAsia="宋体"/>
                      <w:sz w:val="20"/>
                      <w:color w:val="000000"/>
                    </w:rPr>
                    <w:t>2路 8M@25fps;</w:t>
                  </w:r>
                  <w:r>
                    <w:br/>
                  </w:r>
                  <w:r>
                    <w:rPr>
                      <w:rFonts w:ascii="宋体" w:hAnsi="宋体" w:cs="宋体" w:eastAsia="宋体"/>
                      <w:sz w:val="20"/>
                      <w:color w:val="000000"/>
                    </w:rPr>
                    <w:t>4路5M@25fps;</w:t>
                  </w:r>
                  <w:r>
                    <w:br/>
                  </w:r>
                  <w:r>
                    <w:rPr>
                      <w:rFonts w:ascii="宋体" w:hAnsi="宋体" w:cs="宋体" w:eastAsia="宋体"/>
                      <w:sz w:val="20"/>
                      <w:color w:val="000000"/>
                    </w:rPr>
                    <w:t>5路4M@25fps;</w:t>
                  </w:r>
                  <w:r>
                    <w:br/>
                  </w:r>
                  <w:r>
                    <w:rPr>
                      <w:rFonts w:ascii="宋体" w:hAnsi="宋体" w:cs="宋体" w:eastAsia="宋体"/>
                      <w:sz w:val="20"/>
                      <w:color w:val="000000"/>
                    </w:rPr>
                    <w:t>10路 1080P@25fps;</w:t>
                  </w:r>
                  <w:r>
                    <w:br/>
                  </w:r>
                  <w:r>
                    <w:rPr>
                      <w:rFonts w:ascii="宋体" w:hAnsi="宋体" w:cs="宋体" w:eastAsia="宋体"/>
                      <w:sz w:val="20"/>
                      <w:color w:val="000000"/>
                    </w:rPr>
                    <w:t>开智能：</w:t>
                  </w:r>
                  <w:r>
                    <w:br/>
                  </w:r>
                  <w:r>
                    <w:rPr>
                      <w:rFonts w:ascii="宋体" w:hAnsi="宋体" w:cs="宋体" w:eastAsia="宋体"/>
                      <w:sz w:val="20"/>
                      <w:color w:val="000000"/>
                    </w:rPr>
                    <w:t>1路16M@20fps;</w:t>
                  </w:r>
                  <w:r>
                    <w:br/>
                  </w:r>
                  <w:r>
                    <w:rPr>
                      <w:rFonts w:ascii="宋体" w:hAnsi="宋体" w:cs="宋体" w:eastAsia="宋体"/>
                      <w:sz w:val="20"/>
                      <w:color w:val="000000"/>
                    </w:rPr>
                    <w:t>1路12M@20fps;</w:t>
                  </w:r>
                  <w:r>
                    <w:br/>
                  </w:r>
                  <w:r>
                    <w:rPr>
                      <w:rFonts w:ascii="宋体" w:hAnsi="宋体" w:cs="宋体" w:eastAsia="宋体"/>
                      <w:sz w:val="20"/>
                      <w:color w:val="000000"/>
                    </w:rPr>
                    <w:t>2路 8MP@25FPS；</w:t>
                  </w:r>
                  <w:r>
                    <w:br/>
                  </w:r>
                  <w:r>
                    <w:rPr>
                      <w:rFonts w:ascii="宋体" w:hAnsi="宋体" w:cs="宋体" w:eastAsia="宋体"/>
                      <w:sz w:val="20"/>
                      <w:color w:val="000000"/>
                    </w:rPr>
                    <w:t xml:space="preserve">3路5MP@25FPS; </w:t>
                  </w:r>
                  <w:r>
                    <w:br/>
                  </w:r>
                  <w:r>
                    <w:rPr>
                      <w:rFonts w:ascii="宋体" w:hAnsi="宋体" w:cs="宋体" w:eastAsia="宋体"/>
                      <w:sz w:val="20"/>
                      <w:color w:val="000000"/>
                    </w:rPr>
                    <w:t>4路4MP@25FPS ;</w:t>
                  </w:r>
                  <w:r>
                    <w:br/>
                  </w:r>
                  <w:r>
                    <w:rPr>
                      <w:rFonts w:ascii="宋体" w:hAnsi="宋体" w:cs="宋体" w:eastAsia="宋体"/>
                      <w:sz w:val="20"/>
                      <w:color w:val="000000"/>
                    </w:rPr>
                    <w:t>8路 1080P@25FPS</w:t>
                  </w:r>
                  <w:r>
                    <w:br/>
                  </w:r>
                  <w:r>
                    <w:rPr>
                      <w:rFonts w:ascii="宋体" w:hAnsi="宋体" w:cs="宋体" w:eastAsia="宋体"/>
                      <w:sz w:val="20"/>
                      <w:color w:val="000000"/>
                    </w:rPr>
                    <w:t>分辨率接入</w:t>
                  </w:r>
                  <w:r>
                    <w:br/>
                  </w:r>
                  <w:r>
                    <w:rPr>
                      <w:rFonts w:ascii="宋体" w:hAnsi="宋体" w:cs="宋体" w:eastAsia="宋体"/>
                      <w:sz w:val="20"/>
                      <w:color w:val="000000"/>
                    </w:rPr>
                    <w:t>支持满接</w:t>
                  </w:r>
                  <w:r>
                    <w:rPr>
                      <w:rFonts w:ascii="宋体" w:hAnsi="宋体" w:cs="宋体" w:eastAsia="宋体"/>
                      <w:sz w:val="20"/>
                      <w:color w:val="000000"/>
                    </w:rPr>
                    <w:t>1080P；</w:t>
                  </w:r>
                  <w:r>
                    <w:br/>
                  </w:r>
                  <w:r>
                    <w:rPr>
                      <w:rFonts w:ascii="宋体" w:hAnsi="宋体" w:cs="宋体" w:eastAsia="宋体"/>
                      <w:sz w:val="20"/>
                      <w:color w:val="000000"/>
                    </w:rPr>
                    <w:t>最大支持</w:t>
                  </w:r>
                  <w:r>
                    <w:rPr>
                      <w:rFonts w:ascii="宋体" w:hAnsi="宋体" w:cs="宋体" w:eastAsia="宋体"/>
                      <w:sz w:val="20"/>
                      <w:color w:val="000000"/>
                    </w:rPr>
                    <w:t>16路视频回放</w:t>
                  </w:r>
                  <w:r>
                    <w:br/>
                  </w:r>
                  <w:r>
                    <w:rPr>
                      <w:rFonts w:ascii="宋体" w:hAnsi="宋体" w:cs="宋体" w:eastAsia="宋体"/>
                      <w:sz w:val="20"/>
                      <w:color w:val="000000"/>
                    </w:rPr>
                    <w:t>支持</w:t>
                  </w:r>
                  <w:r>
                    <w:rPr>
                      <w:rFonts w:ascii="宋体" w:hAnsi="宋体" w:cs="宋体" w:eastAsia="宋体"/>
                      <w:sz w:val="20"/>
                      <w:color w:val="000000"/>
                    </w:rPr>
                    <w:t>1路VGA，2路HDMI，支持VGA/HDMI视频同源输出</w:t>
                  </w:r>
                  <w:r>
                    <w:br/>
                  </w:r>
                  <w:r>
                    <w:rPr>
                      <w:rFonts w:ascii="宋体" w:hAnsi="宋体" w:cs="宋体" w:eastAsia="宋体"/>
                      <w:sz w:val="20"/>
                      <w:color w:val="000000"/>
                    </w:rPr>
                    <w:t>支持最大</w:t>
                  </w:r>
                  <w:r>
                    <w:rPr>
                      <w:rFonts w:ascii="宋体" w:hAnsi="宋体" w:cs="宋体" w:eastAsia="宋体"/>
                      <w:sz w:val="20"/>
                      <w:color w:val="000000"/>
                    </w:rPr>
                    <w:t>8个内置SATA接口，单盘容量支持10T</w:t>
                  </w:r>
                  <w:r>
                    <w:br/>
                  </w:r>
                  <w:r>
                    <w:rPr>
                      <w:rFonts w:ascii="宋体" w:hAnsi="宋体" w:cs="宋体" w:eastAsia="宋体"/>
                      <w:sz w:val="20"/>
                      <w:color w:val="000000"/>
                    </w:rPr>
                    <w:t>支持音频</w:t>
                  </w:r>
                  <w:r>
                    <w:rPr>
                      <w:rFonts w:ascii="宋体" w:hAnsi="宋体" w:cs="宋体" w:eastAsia="宋体"/>
                      <w:sz w:val="20"/>
                      <w:color w:val="000000"/>
                    </w:rPr>
                    <w:t>1路输入，支持语音对讲1路输出，支持PC通过NVR与网络摄像机进行语音对讲</w:t>
                  </w:r>
                  <w:r>
                    <w:br/>
                  </w:r>
                  <w:r>
                    <w:rPr>
                      <w:rFonts w:ascii="宋体" w:hAnsi="宋体" w:cs="宋体" w:eastAsia="宋体"/>
                      <w:sz w:val="20"/>
                      <w:color w:val="000000"/>
                    </w:rPr>
                    <w:t>支持</w:t>
                  </w:r>
                  <w:r>
                    <w:rPr>
                      <w:rFonts w:ascii="宋体" w:hAnsi="宋体" w:cs="宋体" w:eastAsia="宋体"/>
                      <w:sz w:val="20"/>
                      <w:color w:val="000000"/>
                    </w:rPr>
                    <w:t>3个USB接口（2个前置USB2.0接口、1个后置USB2.0接口）</w:t>
                  </w:r>
                  <w:r>
                    <w:br/>
                  </w:r>
                  <w:r>
                    <w:rPr>
                      <w:rFonts w:ascii="宋体" w:hAnsi="宋体" w:cs="宋体" w:eastAsia="宋体"/>
                      <w:sz w:val="20"/>
                      <w:color w:val="000000"/>
                    </w:rPr>
                    <w:t>支持</w:t>
                  </w:r>
                  <w:r>
                    <w:rPr>
                      <w:rFonts w:ascii="宋体" w:hAnsi="宋体" w:cs="宋体" w:eastAsia="宋体"/>
                      <w:sz w:val="20"/>
                      <w:color w:val="000000"/>
                    </w:rPr>
                    <w:t>2个千兆以太网口</w:t>
                  </w:r>
                  <w:r>
                    <w:br/>
                  </w:r>
                  <w:r>
                    <w:rPr>
                      <w:rFonts w:ascii="宋体" w:hAnsi="宋体" w:cs="宋体" w:eastAsia="宋体"/>
                      <w:sz w:val="20"/>
                      <w:color w:val="000000"/>
                    </w:rPr>
                    <w:t>支持按时间、按事件等多种方式进行录像的检索、回放、备份，支持图片本地回放与查询</w:t>
                  </w:r>
                  <w:r>
                    <w:br/>
                  </w:r>
                  <w:r>
                    <w:rPr>
                      <w:rFonts w:ascii="宋体" w:hAnsi="宋体" w:cs="宋体" w:eastAsia="宋体"/>
                      <w:sz w:val="20"/>
                      <w:color w:val="000000"/>
                    </w:rPr>
                    <w:t>支持标签自定义功能，设备支持对指定时间的录像进行标签并归档，便于后续査看</w:t>
                  </w:r>
                  <w:r>
                    <w:br/>
                  </w:r>
                  <w:r>
                    <w:rPr>
                      <w:rFonts w:ascii="宋体" w:hAnsi="宋体" w:cs="宋体" w:eastAsia="宋体"/>
                      <w:sz w:val="20"/>
                      <w:color w:val="000000"/>
                    </w:rPr>
                    <w:t>支持本机硬盘、网络等存储方式，支持硬盘、外接</w:t>
                  </w:r>
                  <w:r>
                    <w:rPr>
                      <w:rFonts w:ascii="宋体" w:hAnsi="宋体" w:cs="宋体" w:eastAsia="宋体"/>
                      <w:sz w:val="20"/>
                      <w:color w:val="000000"/>
                    </w:rPr>
                    <w:t>USB存储设备备份方式</w:t>
                  </w:r>
                  <w:r>
                    <w:br/>
                  </w:r>
                  <w:r>
                    <w:rPr>
                      <w:rFonts w:ascii="宋体" w:hAnsi="宋体" w:cs="宋体" w:eastAsia="宋体"/>
                      <w:sz w:val="20"/>
                      <w:color w:val="000000"/>
                    </w:rPr>
                    <w:t>支持设备操作日志、报警日志、系统日志的记录与查询功能</w:t>
                  </w:r>
                  <w:r>
                    <w:br/>
                  </w:r>
                  <w:r>
                    <w:rPr>
                      <w:rFonts w:ascii="宋体" w:hAnsi="宋体" w:cs="宋体" w:eastAsia="宋体"/>
                      <w:sz w:val="20"/>
                      <w:color w:val="000000"/>
                    </w:rPr>
                    <w:t>支持断网续传功能，能对前端摄像机断网这段时间内</w:t>
                  </w:r>
                  <w:r>
                    <w:rPr>
                      <w:rFonts w:ascii="宋体" w:hAnsi="宋体" w:cs="宋体" w:eastAsia="宋体"/>
                      <w:sz w:val="20"/>
                      <w:color w:val="000000"/>
                    </w:rPr>
                    <w:t>SD卡中的录像回传到NVR</w:t>
                  </w:r>
                  <w:r>
                    <w:br/>
                  </w:r>
                  <w:r>
                    <w:rPr>
                      <w:rFonts w:ascii="宋体" w:hAnsi="宋体" w:cs="宋体" w:eastAsia="宋体"/>
                      <w:sz w:val="20"/>
                      <w:color w:val="000000"/>
                    </w:rPr>
                    <w:t>支持即时回放功能，在预览画面下回放指定通道的录像</w:t>
                  </w:r>
                  <w:r>
                    <w:br/>
                  </w:r>
                  <w:r>
                    <w:rPr>
                      <w:rFonts w:ascii="宋体" w:hAnsi="宋体" w:cs="宋体" w:eastAsia="宋体"/>
                      <w:sz w:val="20"/>
                      <w:color w:val="000000"/>
                    </w:rPr>
                    <w:t>支持预览图像与回放图像的电子放大</w:t>
                  </w:r>
                  <w:r>
                    <w:br/>
                  </w:r>
                  <w:r>
                    <w:rPr>
                      <w:rFonts w:ascii="宋体" w:hAnsi="宋体" w:cs="宋体" w:eastAsia="宋体"/>
                      <w:sz w:val="20"/>
                      <w:color w:val="000000"/>
                    </w:rPr>
                    <w:t>采用大华协议，可以通过鼠标控制云台转动、放大、定位等操作</w:t>
                  </w:r>
                  <w:r>
                    <w:br/>
                  </w:r>
                  <w:r>
                    <w:rPr>
                      <w:rFonts w:ascii="宋体" w:hAnsi="宋体" w:cs="宋体" w:eastAsia="宋体"/>
                      <w:sz w:val="20"/>
                      <w:color w:val="000000"/>
                    </w:rPr>
                    <w:t>支持一键添加摄像机显示监控画面</w:t>
                  </w:r>
                  <w:r>
                    <w:br/>
                  </w:r>
                  <w:r>
                    <w:rPr>
                      <w:rFonts w:ascii="宋体" w:hAnsi="宋体" w:cs="宋体" w:eastAsia="宋体"/>
                      <w:sz w:val="20"/>
                      <w:color w:val="000000"/>
                    </w:rPr>
                    <w:t>支持自适应</w:t>
                  </w:r>
                  <w:r>
                    <w:rPr>
                      <w:rFonts w:ascii="宋体" w:hAnsi="宋体" w:cs="宋体" w:eastAsia="宋体"/>
                      <w:sz w:val="20"/>
                      <w:color w:val="000000"/>
                    </w:rPr>
                    <w:t>H.265,添加IPC时自动将相机码流类型修改为H.265,码流带宽减半</w:t>
                  </w:r>
                  <w:r>
                    <w:br/>
                  </w:r>
                  <w:r>
                    <w:rPr>
                      <w:rFonts w:ascii="宋体" w:hAnsi="宋体" w:cs="宋体" w:eastAsia="宋体"/>
                      <w:sz w:val="20"/>
                      <w:color w:val="000000"/>
                    </w:rPr>
                    <w:t>支持远程管理</w:t>
                  </w:r>
                  <w:r>
                    <w:rPr>
                      <w:rFonts w:ascii="宋体" w:hAnsi="宋体" w:cs="宋体" w:eastAsia="宋体"/>
                      <w:sz w:val="20"/>
                      <w:color w:val="000000"/>
                    </w:rPr>
                    <w:t>IPC功能，支持对前端IPC远程升级，支持远程对IPC的编码配置修改等操作</w:t>
                  </w:r>
                  <w:r>
                    <w:br/>
                  </w:r>
                  <w:r>
                    <w:rPr>
                      <w:rFonts w:ascii="宋体" w:hAnsi="宋体" w:cs="宋体" w:eastAsia="宋体"/>
                      <w:sz w:val="20"/>
                      <w:color w:val="000000"/>
                    </w:rPr>
                    <w:t>支持盘组管理功能，实现视频录像的定向存储</w:t>
                  </w:r>
                  <w:r>
                    <w:br/>
                  </w:r>
                  <w:r>
                    <w:rPr>
                      <w:rFonts w:ascii="宋体" w:hAnsi="宋体" w:cs="宋体" w:eastAsia="宋体"/>
                      <w:sz w:val="20"/>
                      <w:color w:val="000000"/>
                    </w:rPr>
                    <w:t>支持走廊模式功能，支持</w:t>
                  </w:r>
                  <w:r>
                    <w:rPr>
                      <w:rFonts w:ascii="宋体" w:hAnsi="宋体" w:cs="宋体" w:eastAsia="宋体"/>
                      <w:sz w:val="20"/>
                      <w:color w:val="000000"/>
                    </w:rPr>
                    <w:t>IPC画面旋转90°或270°，成9:16走廊模式</w:t>
                  </w:r>
                  <w:r>
                    <w:br/>
                  </w:r>
                  <w:r>
                    <w:rPr>
                      <w:rFonts w:ascii="宋体" w:hAnsi="宋体" w:cs="宋体" w:eastAsia="宋体"/>
                      <w:sz w:val="20"/>
                      <w:color w:val="000000"/>
                    </w:rPr>
                    <w:t>支持大华乐橙云功能</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1</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台</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9</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8T监控专用硬盘</w:t>
                  </w:r>
                </w:p>
              </w:tc>
              <w:tc>
                <w:tcPr>
                  <w:tcW w:type="dxa" w:w="1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color w:val="000000"/>
                    </w:rPr>
                    <w:t>8000G</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4</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块</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10</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55寸液晶监视器</w:t>
                  </w:r>
                </w:p>
              </w:tc>
              <w:tc>
                <w:tcPr>
                  <w:tcW w:type="dxa" w:w="1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color w:val="000000"/>
                    </w:rPr>
                    <w:t>1.工业级宽视角面板，适合7*24小时连续工作</w:t>
                  </w:r>
                  <w:r>
                    <w:br/>
                  </w:r>
                  <w:r>
                    <w:rPr>
                      <w:rFonts w:ascii="宋体" w:hAnsi="宋体" w:cs="宋体" w:eastAsia="宋体"/>
                      <w:sz w:val="20"/>
                      <w:color w:val="000000"/>
                    </w:rPr>
                    <w:t>2.4K超高清显示，1.07B显示色彩，真实再现画面的每一个细节</w:t>
                  </w:r>
                  <w:r>
                    <w:br/>
                  </w:r>
                  <w:r>
                    <w:rPr>
                      <w:rFonts w:ascii="宋体" w:hAnsi="宋体" w:cs="宋体" w:eastAsia="宋体"/>
                      <w:sz w:val="20"/>
                      <w:color w:val="000000"/>
                    </w:rPr>
                    <w:t>3.显示面积大、体积小、重量轻</w:t>
                  </w:r>
                  <w:r>
                    <w:br/>
                  </w:r>
                  <w:r>
                    <w:rPr>
                      <w:rFonts w:ascii="宋体" w:hAnsi="宋体" w:cs="宋体" w:eastAsia="宋体"/>
                      <w:sz w:val="20"/>
                      <w:color w:val="000000"/>
                    </w:rPr>
                    <w:t>4.极速响应，画质流畅无拖尾</w:t>
                  </w:r>
                  <w:r>
                    <w:br/>
                  </w:r>
                  <w:r>
                    <w:rPr>
                      <w:rFonts w:ascii="宋体" w:hAnsi="宋体" w:cs="宋体" w:eastAsia="宋体"/>
                      <w:sz w:val="20"/>
                      <w:color w:val="000000"/>
                    </w:rPr>
                    <w:t>5.遥控、按键双重控制，支持远程开关机</w:t>
                  </w:r>
                  <w:r>
                    <w:br/>
                  </w:r>
                  <w:r>
                    <w:rPr>
                      <w:rFonts w:ascii="宋体" w:hAnsi="宋体" w:cs="宋体" w:eastAsia="宋体"/>
                      <w:sz w:val="20"/>
                      <w:color w:val="000000"/>
                    </w:rPr>
                    <w:t>6.自动消除残影功能，保护液晶屏的长期使用</w:t>
                  </w:r>
                  <w:r>
                    <w:br/>
                  </w:r>
                  <w:r>
                    <w:rPr>
                      <w:rFonts w:ascii="宋体" w:hAnsi="宋体" w:cs="宋体" w:eastAsia="宋体"/>
                      <w:sz w:val="20"/>
                      <w:color w:val="000000"/>
                    </w:rPr>
                    <w:t>7.专业散热设计，延长设备使用寿命</w:t>
                  </w:r>
                  <w:r>
                    <w:br/>
                  </w:r>
                  <w:r>
                    <w:rPr>
                      <w:rFonts w:ascii="宋体" w:hAnsi="宋体" w:cs="宋体" w:eastAsia="宋体"/>
                      <w:sz w:val="20"/>
                      <w:color w:val="000000"/>
                    </w:rPr>
                    <w:t>8.内置高性能电源设计，能耗低，静音</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1</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台</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11</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六类非屏蔽网线</w:t>
                  </w:r>
                </w:p>
              </w:tc>
              <w:tc>
                <w:tcPr>
                  <w:tcW w:type="dxa" w:w="1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color w:val="000000"/>
                    </w:rPr>
                    <w:t>支持千兆以太网信号传输</w:t>
                  </w:r>
                  <w:r>
                    <w:br/>
                  </w:r>
                  <w:r>
                    <w:rPr>
                      <w:rFonts w:ascii="宋体" w:hAnsi="宋体" w:cs="宋体" w:eastAsia="宋体"/>
                      <w:sz w:val="20"/>
                      <w:color w:val="000000"/>
                    </w:rPr>
                    <w:t>无氧铜芯，直流电阻小，信号衰减小</w:t>
                  </w:r>
                  <w:r>
                    <w:br/>
                  </w:r>
                  <w:r>
                    <w:rPr>
                      <w:rFonts w:ascii="宋体" w:hAnsi="宋体" w:cs="宋体" w:eastAsia="宋体"/>
                      <w:sz w:val="20"/>
                      <w:color w:val="000000"/>
                    </w:rPr>
                    <w:t>聚氯乙烯</w:t>
                  </w:r>
                  <w:r>
                    <w:rPr>
                      <w:rFonts w:ascii="宋体" w:hAnsi="宋体" w:cs="宋体" w:eastAsia="宋体"/>
                      <w:sz w:val="20"/>
                      <w:color w:val="000000"/>
                    </w:rPr>
                    <w:t>(PVC)阻燃护套，耐磨、抗拉强度高，安全有保障。</w:t>
                  </w:r>
                  <w:r>
                    <w:br/>
                  </w:r>
                  <w:r>
                    <w:rPr>
                      <w:rFonts w:ascii="宋体" w:hAnsi="宋体" w:cs="宋体" w:eastAsia="宋体"/>
                      <w:sz w:val="20"/>
                      <w:color w:val="000000"/>
                    </w:rPr>
                    <w:t>均匀双绞结构，搭配十字骨架，产品性能稳定，有效降低干扰，确保信号传输质量</w:t>
                  </w:r>
                  <w:r>
                    <w:br/>
                  </w:r>
                  <w:r>
                    <w:rPr>
                      <w:rFonts w:ascii="宋体" w:hAnsi="宋体" w:cs="宋体" w:eastAsia="宋体"/>
                      <w:sz w:val="20"/>
                      <w:color w:val="000000"/>
                    </w:rPr>
                    <w:t>符合</w:t>
                  </w:r>
                  <w:r>
                    <w:rPr>
                      <w:rFonts w:ascii="宋体" w:hAnsi="宋体" w:cs="宋体" w:eastAsia="宋体"/>
                      <w:sz w:val="20"/>
                      <w:color w:val="000000"/>
                    </w:rPr>
                    <w:t>RoHS 2.0 和Reach认证</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7</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箱</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12</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1.2米监控机柜</w:t>
                  </w:r>
                </w:p>
              </w:tc>
              <w:tc>
                <w:tcPr>
                  <w:tcW w:type="dxa" w:w="1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color w:val="000000"/>
                    </w:rPr>
                    <w:t>600*600*1200</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1</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台</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13</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辅材</w:t>
                  </w:r>
                </w:p>
              </w:tc>
              <w:tc>
                <w:tcPr>
                  <w:tcW w:type="dxa" w:w="1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color w:val="000000"/>
                    </w:rPr>
                    <w:t>水晶头、线管、线卡等</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1</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项</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14</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工费</w:t>
                  </w:r>
                </w:p>
              </w:tc>
              <w:tc>
                <w:tcPr>
                  <w:tcW w:type="dxa" w:w="1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color w:val="000000"/>
                    </w:rPr>
                    <w:t>布线、安装、调试等</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1</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项</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b/>
                      <w:color w:val="000000"/>
                    </w:rPr>
                    <w:t>综合布线、无线覆盖系统清单</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b/>
                      <w:color w:val="000000"/>
                    </w:rPr>
                    <w:t>序号</w:t>
                  </w:r>
                </w:p>
              </w:tc>
              <w:tc>
                <w:tcPr>
                  <w:tcW w:type="dxa" w:w="3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b/>
                      <w:color w:val="000000"/>
                    </w:rPr>
                    <w:t>名称</w:t>
                  </w:r>
                </w:p>
              </w:tc>
              <w:tc>
                <w:tcPr>
                  <w:tcW w:type="dxa" w:w="15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b/>
                      <w:color w:val="000000"/>
                    </w:rPr>
                    <w:t>参数</w:t>
                  </w:r>
                </w:p>
              </w:tc>
              <w:tc>
                <w:tcPr>
                  <w:tcW w:type="dxa" w:w="2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b/>
                      <w:color w:val="000000"/>
                    </w:rPr>
                    <w:t>数量</w:t>
                  </w:r>
                </w:p>
              </w:tc>
              <w:tc>
                <w:tcPr>
                  <w:tcW w:type="dxa" w:w="1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b/>
                      <w:color w:val="000000"/>
                    </w:rPr>
                    <w:t>单位</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1</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千兆吸顶无线</w:t>
                  </w:r>
                  <w:r>
                    <w:rPr>
                      <w:rFonts w:ascii="宋体" w:hAnsi="宋体" w:cs="宋体" w:eastAsia="宋体"/>
                      <w:sz w:val="20"/>
                      <w:color w:val="000000"/>
                    </w:rPr>
                    <w:t>AP</w:t>
                  </w:r>
                </w:p>
              </w:tc>
              <w:tc>
                <w:tcPr>
                  <w:tcW w:type="dxa" w:w="1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color w:val="000000"/>
                    </w:rPr>
                    <w:t>^1775M双频千兆吸顶AP^1个千兆LAN口上联^内置天线^支持2.4GHz/5GHz双频通信^支持802.11a/b/g/n/ac Wave1/Wave2/ax协议^支持AP与路由两种工作模式^支持二层漫游^支持睿易一体化组网^支持睿易APP管理^支持PoE供电和本地供电</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10</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台</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2</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企业级无线网关</w:t>
                  </w:r>
                </w:p>
              </w:tc>
              <w:tc>
                <w:tcPr>
                  <w:tcW w:type="dxa" w:w="1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color w:val="000000"/>
                    </w:rPr>
                    <w:t>10口全千兆路由器，19寸标准机架铁壳设计。终端带机量350台，最大支持4000Mbps宽带。整机带2个万兆光口，4个2.5G电口及4个千兆电口。其中1个固化WAN口，最多可支持9个WAN口。集成同一网络控制器功能，最大可管理200台支持智能组网特性的EAP、RAP或网管交换机，以及128台以内的ES2xx系列智能交换机。支持上网审计，应用识别、流量控制、策略路由、负载均衡、VPN、认证、行为管理等丰富功能。</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1</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台</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3</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单口网络面板</w:t>
                  </w:r>
                </w:p>
              </w:tc>
              <w:tc>
                <w:tcPr>
                  <w:tcW w:type="dxa" w:w="1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color w:val="000000"/>
                    </w:rPr>
                    <w:t>单孔平面型面板白色，含</w:t>
                  </w:r>
                  <w:r>
                    <w:rPr>
                      <w:rFonts w:ascii="宋体" w:hAnsi="宋体" w:cs="宋体" w:eastAsia="宋体"/>
                      <w:sz w:val="20"/>
                      <w:color w:val="000000"/>
                    </w:rPr>
                    <w:t>1个六类模块、明装底盒</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71</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套</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4</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6口千兆POE接入交换机</w:t>
                  </w:r>
                </w:p>
              </w:tc>
              <w:tc>
                <w:tcPr>
                  <w:tcW w:type="dxa" w:w="1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color w:val="000000"/>
                    </w:rPr>
                    <w:t>6口千兆以太网PoE交换机，金属壳体，内置电源开关，提供6个10/100/1000Mbps RJ45自适应端口，支持所有端口线速转发。其中2个端口为上联口，剩余4个端口具有PoE功能，可作为以太网供电设备。能自动检测与识别符合IEEE 802.3af及IEEE802.3at标准的受电设备，并通过网线为其供电。整机PoE输出功率60W，单口最大PoE输出功率30W，足额大功率。</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3</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台</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5</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24口千兆接入交换机</w:t>
                  </w:r>
                </w:p>
              </w:tc>
              <w:tc>
                <w:tcPr>
                  <w:tcW w:type="dxa" w:w="1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color w:val="000000"/>
                    </w:rPr>
                    <w:t>^二层网管交换机^交换容量336Gbps^包转发率42Mpps^24口10/100/1000Mbps自适应电口交换机^固化4个SFP千兆光口^支持VLAN^ACL^端口镜像^端口聚合等功能^支持睿易APP和MACC云平台统一管理^</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4</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台</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6</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六类非屏蔽网线</w:t>
                  </w:r>
                </w:p>
              </w:tc>
              <w:tc>
                <w:tcPr>
                  <w:tcW w:type="dxa" w:w="1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color w:val="000000"/>
                    </w:rPr>
                    <w:t>支持千兆以太网信号传输</w:t>
                  </w:r>
                  <w:r>
                    <w:br/>
                  </w:r>
                  <w:r>
                    <w:rPr>
                      <w:rFonts w:ascii="宋体" w:hAnsi="宋体" w:cs="宋体" w:eastAsia="宋体"/>
                      <w:sz w:val="20"/>
                      <w:color w:val="000000"/>
                    </w:rPr>
                    <w:t>无氧铜芯，直流电阻小，信号衰减小</w:t>
                  </w:r>
                  <w:r>
                    <w:br/>
                  </w:r>
                  <w:r>
                    <w:rPr>
                      <w:rFonts w:ascii="宋体" w:hAnsi="宋体" w:cs="宋体" w:eastAsia="宋体"/>
                      <w:sz w:val="20"/>
                      <w:color w:val="000000"/>
                    </w:rPr>
                    <w:t>聚氯乙烯</w:t>
                  </w:r>
                  <w:r>
                    <w:rPr>
                      <w:rFonts w:ascii="宋体" w:hAnsi="宋体" w:cs="宋体" w:eastAsia="宋体"/>
                      <w:sz w:val="20"/>
                      <w:color w:val="000000"/>
                    </w:rPr>
                    <w:t>(PVC)阻燃护套，耐磨、抗拉强度高，安全有保障。</w:t>
                  </w:r>
                  <w:r>
                    <w:br/>
                  </w:r>
                  <w:r>
                    <w:rPr>
                      <w:rFonts w:ascii="宋体" w:hAnsi="宋体" w:cs="宋体" w:eastAsia="宋体"/>
                      <w:sz w:val="20"/>
                      <w:color w:val="000000"/>
                    </w:rPr>
                    <w:t>均匀双绞结构，搭配十字骨架，产品性能稳定，有效降低干扰，确保信号传输质量</w:t>
                  </w:r>
                  <w:r>
                    <w:br/>
                  </w:r>
                  <w:r>
                    <w:rPr>
                      <w:rFonts w:ascii="宋体" w:hAnsi="宋体" w:cs="宋体" w:eastAsia="宋体"/>
                      <w:sz w:val="20"/>
                      <w:color w:val="000000"/>
                    </w:rPr>
                    <w:t>符合</w:t>
                  </w:r>
                  <w:r>
                    <w:rPr>
                      <w:rFonts w:ascii="宋体" w:hAnsi="宋体" w:cs="宋体" w:eastAsia="宋体"/>
                      <w:sz w:val="20"/>
                      <w:color w:val="000000"/>
                    </w:rPr>
                    <w:t>RoHS 2.0 和Reach认证</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20</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箱</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7</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壁挂机柜</w:t>
                  </w:r>
                </w:p>
              </w:tc>
              <w:tc>
                <w:tcPr>
                  <w:tcW w:type="dxa" w:w="1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color w:val="000000"/>
                    </w:rPr>
                    <w:t>445*500*450</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4</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台</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8</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辅材</w:t>
                  </w:r>
                </w:p>
              </w:tc>
              <w:tc>
                <w:tcPr>
                  <w:tcW w:type="dxa" w:w="1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color w:val="000000"/>
                    </w:rPr>
                    <w:t>水晶头、线管、线卡等</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1</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项</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9</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工费</w:t>
                  </w:r>
                </w:p>
              </w:tc>
              <w:tc>
                <w:tcPr>
                  <w:tcW w:type="dxa" w:w="1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color w:val="000000"/>
                    </w:rPr>
                    <w:t>布线、安装、调试等</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1</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项</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11</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电路安全保护</w:t>
                  </w:r>
                </w:p>
              </w:tc>
              <w:tc>
                <w:tcPr>
                  <w:tcW w:type="dxa" w:w="1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color w:val="000000"/>
                    </w:rPr>
                    <w:t>1.</w:t>
                  </w:r>
                  <w:r>
                    <w:rPr>
                      <w:rFonts w:ascii="calibri" w:hAnsi="calibri" w:cs="calibri" w:eastAsia="calibri"/>
                      <w:sz w:val="21"/>
                    </w:rPr>
                    <w:t xml:space="preserve"> </w:t>
                  </w:r>
                  <w:r>
                    <w:rPr>
                      <w:rFonts w:ascii="宋体" w:hAnsi="宋体" w:cs="宋体" w:eastAsia="宋体"/>
                      <w:sz w:val="20"/>
                      <w:color w:val="000000"/>
                    </w:rPr>
                    <w:t>采用高性能微控制器主控芯片；</w:t>
                  </w:r>
                  <w:r>
                    <w:br/>
                  </w:r>
                  <w:r>
                    <w:rPr>
                      <w:rFonts w:ascii="宋体" w:hAnsi="宋体" w:cs="宋体" w:eastAsia="宋体"/>
                      <w:sz w:val="20"/>
                      <w:color w:val="000000"/>
                    </w:rPr>
                    <w:t>2.</w:t>
                  </w:r>
                  <w:r>
                    <w:rPr>
                      <w:rFonts w:ascii="calibri" w:hAnsi="calibri" w:cs="calibri" w:eastAsia="calibri"/>
                      <w:sz w:val="21"/>
                    </w:rPr>
                    <w:t xml:space="preserve"> </w:t>
                  </w:r>
                  <w:r>
                    <w:rPr>
                      <w:rFonts w:ascii="宋体" w:hAnsi="宋体" w:cs="宋体" w:eastAsia="宋体"/>
                      <w:sz w:val="20"/>
                      <w:color w:val="000000"/>
                    </w:rPr>
                    <w:t>★设备结构为多功能软硬件一体机，非多个设备组合，减少故障点。可安装于标准19英寸机柜，机箱挂耳可拆卸，占用机柜高度≤1.5U；（提供第三方权威机构CNAS和CMA标志检测报告并加盖厂商公章）</w:t>
                  </w:r>
                  <w:r>
                    <w:br/>
                  </w:r>
                  <w:r>
                    <w:rPr>
                      <w:rFonts w:ascii="宋体" w:hAnsi="宋体" w:cs="宋体" w:eastAsia="宋体"/>
                      <w:sz w:val="20"/>
                      <w:color w:val="000000"/>
                    </w:rPr>
                    <w:t>3.</w:t>
                  </w:r>
                  <w:r>
                    <w:rPr>
                      <w:rFonts w:ascii="calibri" w:hAnsi="calibri" w:cs="calibri" w:eastAsia="calibri"/>
                      <w:sz w:val="21"/>
                    </w:rPr>
                    <w:t xml:space="preserve"> </w:t>
                  </w:r>
                  <w:r>
                    <w:rPr>
                      <w:rFonts w:ascii="宋体" w:hAnsi="宋体" w:cs="宋体" w:eastAsia="宋体"/>
                      <w:sz w:val="20"/>
                      <w:color w:val="000000"/>
                    </w:rPr>
                    <w:t>★设备标配通讯接口至少RJ45、4G，标配网络防雷接口≧2路、RS485接口≧1路、漏电监测接口≧2路、开关量输入接口≧1路、USB接口≧2路、HDMI接口≧1路、接地通路接口≧1路、电源输出接口≧2路国标插座；（提供产品完整实物的清晰照片并加盖厂商公章）</w:t>
                  </w:r>
                  <w:r>
                    <w:br/>
                  </w:r>
                  <w:r>
                    <w:rPr>
                      <w:rFonts w:ascii="宋体" w:hAnsi="宋体" w:cs="宋体" w:eastAsia="宋体"/>
                      <w:sz w:val="20"/>
                      <w:color w:val="000000"/>
                    </w:rPr>
                    <w:t>4.</w:t>
                  </w:r>
                  <w:r>
                    <w:rPr>
                      <w:rFonts w:ascii="calibri" w:hAnsi="calibri" w:cs="calibri" w:eastAsia="calibri"/>
                      <w:sz w:val="21"/>
                    </w:rPr>
                    <w:t xml:space="preserve"> </w:t>
                  </w:r>
                  <w:r>
                    <w:rPr>
                      <w:rFonts w:ascii="宋体" w:hAnsi="宋体" w:cs="宋体" w:eastAsia="宋体"/>
                      <w:sz w:val="20"/>
                      <w:color w:val="000000"/>
                    </w:rPr>
                    <w:t>★支持防雷击防浪涌功能，最大放电电流Imax(8/20μs)≧40kA，电压保护水平Up≦1.7kV；支持电流、电压、功率、断电、接地通断监测功能；（提供第三方权威机构CNAS和CMA标志检测报告并加盖厂商公章）</w:t>
                  </w:r>
                  <w:r>
                    <w:br/>
                  </w:r>
                  <w:r>
                    <w:rPr>
                      <w:rFonts w:ascii="宋体" w:hAnsi="宋体" w:cs="宋体" w:eastAsia="宋体"/>
                      <w:sz w:val="20"/>
                      <w:color w:val="000000"/>
                    </w:rPr>
                    <w:t>5.</w:t>
                  </w:r>
                  <w:r>
                    <w:rPr>
                      <w:rFonts w:ascii="calibri" w:hAnsi="calibri" w:cs="calibri" w:eastAsia="calibri"/>
                      <w:sz w:val="21"/>
                    </w:rPr>
                    <w:t xml:space="preserve"> </w:t>
                  </w:r>
                  <w:r>
                    <w:rPr>
                      <w:rFonts w:ascii="宋体" w:hAnsi="宋体" w:cs="宋体" w:eastAsia="宋体"/>
                      <w:sz w:val="20"/>
                      <w:color w:val="000000"/>
                    </w:rPr>
                    <w:t>★设备标配≧2.4寸触摸显示屏，可显示监测指标信息，可通过手机扫描屏显电子二维码进行关注、查询、故障报修；（提供第三方权威机构CNAS和CMA标志检测报告并加盖厂商公章）</w:t>
                  </w:r>
                  <w:r>
                    <w:br/>
                  </w:r>
                  <w:r>
                    <w:rPr>
                      <w:rFonts w:ascii="宋体" w:hAnsi="宋体" w:cs="宋体" w:eastAsia="宋体"/>
                      <w:sz w:val="20"/>
                      <w:color w:val="000000"/>
                    </w:rPr>
                    <w:t>6.</w:t>
                  </w:r>
                  <w:r>
                    <w:rPr>
                      <w:rFonts w:ascii="calibri" w:hAnsi="calibri" w:cs="calibri" w:eastAsia="calibri"/>
                      <w:sz w:val="21"/>
                    </w:rPr>
                    <w:t xml:space="preserve"> </w:t>
                  </w:r>
                  <w:r>
                    <w:rPr>
                      <w:rFonts w:ascii="宋体" w:hAnsi="宋体" w:cs="宋体" w:eastAsia="宋体"/>
                      <w:sz w:val="20"/>
                      <w:color w:val="000000"/>
                    </w:rPr>
                    <w:t>★设备内置告警扬声器≧1个，具有系统、网络、入网状态指示灯，告警方式支持本机扬声器告警、手机微信告警、管理平台告警；（提供第三方权威机构CNAS和CMA标志检测报告并加盖厂商公章）</w:t>
                  </w:r>
                  <w:r>
                    <w:br/>
                  </w:r>
                  <w:r>
                    <w:rPr>
                      <w:rFonts w:ascii="宋体" w:hAnsi="宋体" w:cs="宋体" w:eastAsia="宋体"/>
                      <w:sz w:val="20"/>
                      <w:color w:val="000000"/>
                    </w:rPr>
                    <w:t>7.</w:t>
                  </w:r>
                  <w:r>
                    <w:rPr>
                      <w:rFonts w:ascii="calibri" w:hAnsi="calibri" w:cs="calibri" w:eastAsia="calibri"/>
                      <w:sz w:val="21"/>
                    </w:rPr>
                    <w:t xml:space="preserve"> </w:t>
                  </w:r>
                  <w:r>
                    <w:rPr>
                      <w:rFonts w:ascii="宋体" w:hAnsi="宋体" w:cs="宋体" w:eastAsia="宋体"/>
                      <w:sz w:val="20"/>
                      <w:color w:val="000000"/>
                    </w:rPr>
                    <w:t>管理方式支持</w:t>
                  </w:r>
                  <w:r>
                    <w:rPr>
                      <w:rFonts w:ascii="宋体" w:hAnsi="宋体" w:cs="宋体" w:eastAsia="宋体"/>
                      <w:sz w:val="20"/>
                      <w:color w:val="000000"/>
                    </w:rPr>
                    <w:t>Web管理；</w:t>
                  </w:r>
                  <w:r>
                    <w:br/>
                  </w:r>
                  <w:r>
                    <w:rPr>
                      <w:rFonts w:ascii="宋体" w:hAnsi="宋体" w:cs="宋体" w:eastAsia="宋体"/>
                      <w:sz w:val="20"/>
                      <w:color w:val="000000"/>
                    </w:rPr>
                    <w:t>8.</w:t>
                  </w:r>
                  <w:r>
                    <w:rPr>
                      <w:rFonts w:ascii="calibri" w:hAnsi="calibri" w:cs="calibri" w:eastAsia="calibri"/>
                      <w:sz w:val="21"/>
                    </w:rPr>
                    <w:t xml:space="preserve"> </w:t>
                  </w:r>
                  <w:r>
                    <w:rPr>
                      <w:rFonts w:ascii="宋体" w:hAnsi="宋体" w:cs="宋体" w:eastAsia="宋体"/>
                      <w:sz w:val="20"/>
                      <w:color w:val="000000"/>
                    </w:rPr>
                    <w:t>内置时钟和存储；</w:t>
                  </w:r>
                  <w:r>
                    <w:br/>
                  </w:r>
                  <w:r>
                    <w:rPr>
                      <w:rFonts w:ascii="宋体" w:hAnsi="宋体" w:cs="宋体" w:eastAsia="宋体"/>
                      <w:sz w:val="20"/>
                      <w:color w:val="000000"/>
                    </w:rPr>
                    <w:t>9.</w:t>
                  </w:r>
                  <w:r>
                    <w:rPr>
                      <w:rFonts w:ascii="calibri" w:hAnsi="calibri" w:cs="calibri" w:eastAsia="calibri"/>
                      <w:sz w:val="21"/>
                    </w:rPr>
                    <w:t xml:space="preserve"> </w:t>
                  </w:r>
                  <w:r>
                    <w:rPr>
                      <w:rFonts w:ascii="宋体" w:hAnsi="宋体" w:cs="宋体" w:eastAsia="宋体"/>
                      <w:sz w:val="20"/>
                      <w:color w:val="000000"/>
                    </w:rPr>
                    <w:t>提供云管理平台，平台支持远程监控、管理、运维；</w:t>
                  </w:r>
                  <w:r>
                    <w:br/>
                  </w:r>
                  <w:r>
                    <w:rPr>
                      <w:rFonts w:ascii="宋体" w:hAnsi="宋体" w:cs="宋体" w:eastAsia="宋体"/>
                      <w:sz w:val="20"/>
                      <w:color w:val="000000"/>
                    </w:rPr>
                    <w:t>10.</w:t>
                  </w:r>
                  <w:r>
                    <w:rPr>
                      <w:rFonts w:ascii="calibri" w:hAnsi="calibri" w:cs="calibri" w:eastAsia="calibri"/>
                      <w:sz w:val="21"/>
                    </w:rPr>
                    <w:t xml:space="preserve"> </w:t>
                  </w:r>
                  <w:r>
                    <w:rPr>
                      <w:rFonts w:ascii="宋体" w:hAnsi="宋体" w:cs="宋体" w:eastAsia="宋体"/>
                      <w:sz w:val="20"/>
                      <w:color w:val="000000"/>
                    </w:rPr>
                    <w:t>云管理平台支持对监测指标实时查询、数据云存储、备份、数据分析、</w:t>
                  </w:r>
                  <w:r>
                    <w:rPr>
                      <w:rFonts w:ascii="宋体" w:hAnsi="宋体" w:cs="宋体" w:eastAsia="宋体"/>
                      <w:sz w:val="20"/>
                      <w:color w:val="000000"/>
                    </w:rPr>
                    <w:t>GIS地图展示、多级用户权限管理；</w:t>
                  </w:r>
                  <w:r>
                    <w:br/>
                  </w:r>
                  <w:r>
                    <w:rPr>
                      <w:rFonts w:ascii="宋体" w:hAnsi="宋体" w:cs="宋体" w:eastAsia="宋体"/>
                      <w:sz w:val="20"/>
                      <w:color w:val="000000"/>
                    </w:rPr>
                    <w:t>11.</w:t>
                  </w:r>
                  <w:r>
                    <w:rPr>
                      <w:rFonts w:ascii="calibri" w:hAnsi="calibri" w:cs="calibri" w:eastAsia="calibri"/>
                      <w:sz w:val="21"/>
                    </w:rPr>
                    <w:t xml:space="preserve"> </w:t>
                  </w:r>
                  <w:r>
                    <w:rPr>
                      <w:rFonts w:ascii="宋体" w:hAnsi="宋体" w:cs="宋体" w:eastAsia="宋体"/>
                      <w:sz w:val="20"/>
                      <w:color w:val="000000"/>
                    </w:rPr>
                    <w:t>★提供至少三年的软硬件保修服务，包含至少三年的云管理平台使用授权和4G卡流量费。</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1</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套</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b/>
                      <w:color w:val="000000"/>
                    </w:rPr>
                    <w:t>教学、办公设备清单</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b/>
                      <w:color w:val="000000"/>
                    </w:rPr>
                    <w:t>序号</w:t>
                  </w:r>
                </w:p>
              </w:tc>
              <w:tc>
                <w:tcPr>
                  <w:tcW w:type="dxa" w:w="3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b/>
                      <w:color w:val="000000"/>
                    </w:rPr>
                    <w:t>名称</w:t>
                  </w:r>
                </w:p>
              </w:tc>
              <w:tc>
                <w:tcPr>
                  <w:tcW w:type="dxa" w:w="15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b/>
                      <w:color w:val="000000"/>
                    </w:rPr>
                    <w:t>参数</w:t>
                  </w:r>
                </w:p>
              </w:tc>
              <w:tc>
                <w:tcPr>
                  <w:tcW w:type="dxa" w:w="2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b/>
                      <w:color w:val="000000"/>
                    </w:rPr>
                    <w:t>数量</w:t>
                  </w:r>
                </w:p>
              </w:tc>
              <w:tc>
                <w:tcPr>
                  <w:tcW w:type="dxa" w:w="1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b/>
                      <w:color w:val="000000"/>
                    </w:rPr>
                    <w:t>单位</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1</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课桌凳</w:t>
                  </w:r>
                </w:p>
              </w:tc>
              <w:tc>
                <w:tcPr>
                  <w:tcW w:type="dxa" w:w="1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color w:val="000000"/>
                    </w:rPr>
                    <w:t>1.桌面：长608㎜（±2㎜）×两头宽433㎜（±2㎜）×中间宽408㎜（±2㎜）×桌高760㎜（±5㎜），桌面靠座位身边中间凹进25㎜弧形，采用高密度中纤板，面板厚18㎜，PP塑料，注塑封边，一次成型，颜色根据客户需求，PP塑料无接缝，桌面左右横向离前边沿翻进70㎜（±2㎜）配带不小于长220㎜（±2㎜）和宽20㎜（±2㎜）笔槽。（注：笔槽与注塑封边连为一体。课桌斗:采用优质冷轧钢板经模具冲压一次成型，斗厚度1.0mm。桌斗两边带铁书包挂钩，外露边缘界面做卷边处理，防止意外刮伤。桌脚采用：30mm*30mm*1.2mm厚方管。</w:t>
                  </w:r>
                  <w:r>
                    <w:br/>
                  </w:r>
                  <w:r>
                    <w:rPr>
                      <w:rFonts w:ascii="宋体" w:hAnsi="宋体" w:cs="宋体" w:eastAsia="宋体"/>
                      <w:sz w:val="20"/>
                      <w:color w:val="000000"/>
                    </w:rPr>
                    <w:t>2、凳面：尺寸为240mm*340mm采用18mm厚采用E1级环保中密度板三聚氰胺板贴面一次注塑成型、四周圆角包边。包边颜色均匀、美观大方，无裂缝、变形，油漆面平整、光滑。凳脚采用：25mm*25mm*1.2mm厚方管。表面处理：钢制部件表面进行磨光去刺、酸洗、磷化、防锈处理后，再进行静电喷塑，高温固化，表面光</w:t>
                  </w:r>
                  <w:r>
                    <w:br/>
                  </w:r>
                  <w:r>
                    <w:rPr>
                      <w:rFonts w:ascii="宋体" w:hAnsi="宋体" w:cs="宋体" w:eastAsia="宋体"/>
                      <w:sz w:val="20"/>
                      <w:color w:val="000000"/>
                    </w:rPr>
                    <w:t>3、需提供的证明文件：</w:t>
                  </w:r>
                  <w:r>
                    <w:br/>
                  </w:r>
                  <w:r>
                    <w:rPr>
                      <w:rFonts w:ascii="宋体" w:hAnsi="宋体" w:cs="宋体" w:eastAsia="宋体"/>
                      <w:sz w:val="20"/>
                      <w:color w:val="000000"/>
                    </w:rPr>
                    <w:t>（</w:t>
                  </w:r>
                  <w:r>
                    <w:rPr>
                      <w:rFonts w:ascii="宋体" w:hAnsi="宋体" w:cs="宋体" w:eastAsia="宋体"/>
                      <w:sz w:val="20"/>
                      <w:color w:val="000000"/>
                    </w:rPr>
                    <w:t>1）提供所投产品合法来源渠道证明文件；</w:t>
                  </w:r>
                  <w:r>
                    <w:br/>
                  </w:r>
                  <w:r>
                    <w:rPr>
                      <w:rFonts w:ascii="宋体" w:hAnsi="宋体" w:cs="宋体" w:eastAsia="宋体"/>
                      <w:sz w:val="20"/>
                      <w:color w:val="000000"/>
                    </w:rPr>
                    <w:t>（</w:t>
                  </w:r>
                  <w:r>
                    <w:rPr>
                      <w:rFonts w:ascii="宋体" w:hAnsi="宋体" w:cs="宋体" w:eastAsia="宋体"/>
                      <w:sz w:val="20"/>
                      <w:color w:val="000000"/>
                    </w:rPr>
                    <w:t>2）投标人或生产厂家提供所投产品用材“钢管”、符合国家标准QB/T3832-1999《轻工产品金属镀层腐蚀试验结果的评价》、QB/T3827-1999《轻工产品金属镀层和化学处理层的耐腐蚀试验方法乙酸盐雾试验（ASS）法》,产品通过乙酸盐雾连续喷雾≧400小时，金属表面耐腐蚀等级≧10级</w:t>
                  </w:r>
                  <w:r>
                    <w:br/>
                  </w:r>
                  <w:r>
                    <w:rPr>
                      <w:rFonts w:ascii="宋体" w:hAnsi="宋体" w:cs="宋体" w:eastAsia="宋体"/>
                      <w:sz w:val="20"/>
                      <w:color w:val="000000"/>
                    </w:rPr>
                    <w:t>（</w:t>
                  </w:r>
                  <w:r>
                    <w:rPr>
                      <w:rFonts w:ascii="宋体" w:hAnsi="宋体" w:cs="宋体" w:eastAsia="宋体"/>
                      <w:sz w:val="20"/>
                      <w:color w:val="000000"/>
                    </w:rPr>
                    <w:t>3）投标人或生产厂家提供所投产品用材“冷轧钢板”合格的检测报告：冷轧钢板至少须符合GB24820-2009和GB/T700-2006《碳素结构钢》的标准，检测内容须包含但不限于以下内容：其中金属喷漆（塑）涂层理化性能（耐腐蚀≥360h乙酸盐雾试验ASS）等级≥10级，屈服强度、抗拉强度、断后伸长率及冷弯试验，C（碳）应≤0.05%，Si（硅）应≤0.07%，Mn（锰）应≤0.2%，P（磷）应≤0.025%，S（硫）应≤0.01%，检验结果合格并全部符合要求。</w:t>
                  </w:r>
                  <w:r>
                    <w:br/>
                  </w:r>
                  <w:r>
                    <w:rPr>
                      <w:rFonts w:ascii="宋体" w:hAnsi="宋体" w:cs="宋体" w:eastAsia="宋体"/>
                      <w:sz w:val="20"/>
                      <w:color w:val="000000"/>
                    </w:rPr>
                    <w:t>（</w:t>
                  </w:r>
                  <w:r>
                    <w:rPr>
                      <w:rFonts w:ascii="宋体" w:hAnsi="宋体" w:cs="宋体" w:eastAsia="宋体"/>
                      <w:sz w:val="20"/>
                      <w:color w:val="000000"/>
                    </w:rPr>
                    <w:t>4）投标人或生产厂家提供所投产品用材“螺丝”“螺栓”符合国家标准QB/T3832-1999《轻工产品金属镀层腐蚀试验结果的评价》、QB/T3826-1999《轻工产品金属镀层和化学处理层的耐腐蚀试验方法中性盐雾试验（NSS）法》,产品通过中性盐雾连续喷雾≧100小时，金属表面耐腐蚀等级≧9级。</w:t>
                  </w:r>
                  <w:r>
                    <w:br/>
                  </w:r>
                  <w:r>
                    <w:rPr>
                      <w:rFonts w:ascii="宋体" w:hAnsi="宋体" w:cs="宋体" w:eastAsia="宋体"/>
                      <w:sz w:val="20"/>
                      <w:color w:val="000000"/>
                    </w:rPr>
                    <w:t>（</w:t>
                  </w:r>
                  <w:r>
                    <w:rPr>
                      <w:rFonts w:ascii="宋体" w:hAnsi="宋体" w:cs="宋体" w:eastAsia="宋体"/>
                      <w:sz w:val="20"/>
                      <w:color w:val="000000"/>
                    </w:rPr>
                    <w:t>5）投标人或生产厂家提供所投产品用材“塑料脚套”参照国家标准GB28481/2012《塑料家具中有害物质限量》,检测内容包含：1.重金属可溶性铅≤10mg/kg、可溶性镉≤10mg/kg、可溶性铬≤10mg/kg、可溶性汞≤10mg/kg。</w:t>
                  </w:r>
                  <w:r>
                    <w:br/>
                  </w:r>
                  <w:r>
                    <w:rPr>
                      <w:rFonts w:ascii="宋体" w:hAnsi="宋体" w:cs="宋体" w:eastAsia="宋体"/>
                      <w:sz w:val="20"/>
                      <w:color w:val="000000"/>
                    </w:rPr>
                    <w:t>（</w:t>
                  </w:r>
                  <w:r>
                    <w:rPr>
                      <w:rFonts w:ascii="宋体" w:hAnsi="宋体" w:cs="宋体" w:eastAsia="宋体"/>
                      <w:sz w:val="20"/>
                      <w:color w:val="000000"/>
                    </w:rPr>
                    <w:t>6）投标人或生产厂家提供所投产品用材“塑粉”符合国家标准HG/T2006-2006《热固性粉末涂料》、,检测内容包含：1.重金属可溶性铅≤10mg/kg、可溶性镉≤10mg/kg、可溶性铬≤10mg/kg、可溶性汞≤10mg/kg，2.耐冲击性光泽（60）≤60漆膜无剥落、裂纹或皱纹符合要求。</w:t>
                  </w:r>
                  <w:r>
                    <w:br/>
                  </w:r>
                  <w:r>
                    <w:rPr>
                      <w:rFonts w:ascii="宋体" w:hAnsi="宋体" w:cs="宋体" w:eastAsia="宋体"/>
                      <w:sz w:val="20"/>
                      <w:color w:val="000000"/>
                    </w:rPr>
                    <w:t>（</w:t>
                  </w:r>
                  <w:r>
                    <w:rPr>
                      <w:rFonts w:ascii="宋体" w:hAnsi="宋体" w:cs="宋体" w:eastAsia="宋体"/>
                      <w:sz w:val="20"/>
                      <w:color w:val="000000"/>
                    </w:rPr>
                    <w:t>7）投标人提供所投产品用材“PP塑料板”合格的检测报告：《塑料家具》GB/T32487全项，其中塑料耐老化1500H、硬度-邵氏D硬度≥HD90；GB20286-2006《公共场所阻燃制品及组件燃烧性能要求和标识》（检测结果符合阻燃性1级）、GB8624-2012建筑材料及制品燃烧性能分级（检测结果为B1级及以上）；QB/T4371评价的抑菌率不小于99%（大肠杆菌、金黄色葡萄球菌、肺炎克雷伯氏菌、铜绿假单胞菌、鼠伤寒沙门氏菌）；GB/T24128-2018防霉效果达到0级（GB/T24128-2009《塑料防霉性能试验方法》黑曲霉、绿粘帚霉、球毛壳霉、出芽短梗霉、绳状青霉）；GB/T16422.3-2022、GB/T1766-2008-实验室光源暴露试验:荧光紫外灯600h，试样无变色、失光、粉化、开裂、起泡现象。</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275</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套</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2</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讲桌</w:t>
                  </w:r>
                </w:p>
              </w:tc>
              <w:tc>
                <w:tcPr>
                  <w:tcW w:type="dxa" w:w="1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color w:val="000000"/>
                    </w:rPr>
                    <w:t xml:space="preserve">1.讲桌采用钢木结合构造，桌体上部分采用圆弧设计。讲台整体设计为传统演讲台样 式，提供左右木质扶手，重点部位须采用一次冲压成型技术;所有钣金部分均采用激 光切割加工，所有尖角倒圆角不小于R3，保证使用者和维护者不划伤。 </w:t>
                  </w:r>
                  <w:r>
                    <w:br/>
                  </w:r>
                  <w:r>
                    <w:rPr>
                      <w:rFonts w:ascii="宋体" w:hAnsi="宋体" w:cs="宋体" w:eastAsia="宋体"/>
                      <w:sz w:val="20"/>
                      <w:color w:val="000000"/>
                    </w:rPr>
                    <w:t>2.钢板厚度不小于1.2mm优质冷轧钢板;讲台为上下分体式结构，实木扶手。讲台闭 合尺寸800*500*950mm(长宽高)。讲桌 桌面采用木质耐划台面，闭合时讲台桌面为完整水平木台面，可作为教师演讲桌使用 。 3.上柜有储物抽屉，可放置平板电脑遥控器等物品，下柜有储物柜功能，可放置电脑 主机等简单设备。桌体下层四角圆弧设计，内部采用分层设计，可放置课本作业及教 具等物品。关闭后,所有东西都隐藏在讲台内。</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5</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套</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3</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班级储物柜</w:t>
                  </w:r>
                </w:p>
              </w:tc>
              <w:tc>
                <w:tcPr>
                  <w:tcW w:type="dxa" w:w="1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color w:val="000000"/>
                    </w:rPr>
                    <w:t>1.单门规格</w:t>
                  </w:r>
                  <w:r>
                    <w:br/>
                  </w:r>
                  <w:r>
                    <w:rPr>
                      <w:rFonts w:ascii="宋体" w:hAnsi="宋体" w:cs="宋体" w:eastAsia="宋体"/>
                      <w:sz w:val="20"/>
                      <w:color w:val="000000"/>
                    </w:rPr>
                    <w:t>高</w:t>
                  </w:r>
                  <w:r>
                    <w:rPr>
                      <w:rFonts w:ascii="宋体" w:hAnsi="宋体" w:cs="宋体" w:eastAsia="宋体"/>
                      <w:sz w:val="20"/>
                      <w:color w:val="000000"/>
                    </w:rPr>
                    <w:t>305mm*宽385mm*深468mm （不含底座）。</w:t>
                  </w:r>
                  <w:r>
                    <w:br/>
                  </w:r>
                  <w:r>
                    <w:rPr>
                      <w:rFonts w:ascii="宋体" w:hAnsi="宋体" w:cs="宋体" w:eastAsia="宋体"/>
                      <w:sz w:val="20"/>
                      <w:color w:val="000000"/>
                    </w:rPr>
                    <w:t>2.板材框架厚度：</w:t>
                  </w:r>
                  <w:r>
                    <w:br/>
                  </w:r>
                  <w:r>
                    <w:rPr>
                      <w:rFonts w:ascii="宋体" w:hAnsi="宋体" w:cs="宋体" w:eastAsia="宋体"/>
                      <w:sz w:val="20"/>
                      <w:color w:val="000000"/>
                    </w:rPr>
                    <w:t>侧板</w:t>
                  </w:r>
                  <w:r>
                    <w:rPr>
                      <w:rFonts w:ascii="宋体" w:hAnsi="宋体" w:cs="宋体" w:eastAsia="宋体"/>
                      <w:sz w:val="20"/>
                      <w:color w:val="000000"/>
                    </w:rPr>
                    <w:t>22mm 顶板30mm 底板30mm 门板 27mm  底座 80mm。</w:t>
                  </w:r>
                  <w:r>
                    <w:br/>
                  </w:r>
                  <w:r>
                    <w:rPr>
                      <w:rFonts w:ascii="宋体" w:hAnsi="宋体" w:cs="宋体" w:eastAsia="宋体"/>
                      <w:sz w:val="20"/>
                      <w:color w:val="000000"/>
                    </w:rPr>
                    <w:t>3.采用100%全新ABS塑料，五大合成树脂之一制成，柜体不使用任何五金件（锁具除外）</w:t>
                  </w:r>
                  <w:r>
                    <w:br/>
                  </w:r>
                  <w:r>
                    <w:rPr>
                      <w:rFonts w:ascii="宋体" w:hAnsi="宋体" w:cs="宋体" w:eastAsia="宋体"/>
                      <w:sz w:val="20"/>
                      <w:color w:val="000000"/>
                    </w:rPr>
                    <w:t>4.柜体顶部和外侧板采用凸起设计，凸起部分需大于8mm，以增强承重力。</w:t>
                  </w:r>
                  <w:r>
                    <w:br/>
                  </w:r>
                  <w:r>
                    <w:rPr>
                      <w:rFonts w:ascii="宋体" w:hAnsi="宋体" w:cs="宋体" w:eastAsia="宋体"/>
                      <w:sz w:val="20"/>
                      <w:color w:val="000000"/>
                    </w:rPr>
                    <w:t>5.每门标配配件：无孔拉手*1个，眼镜盒*1个，门牌号*1张。</w:t>
                  </w:r>
                  <w:r>
                    <w:br/>
                  </w:r>
                  <w:r>
                    <w:rPr>
                      <w:rFonts w:ascii="宋体" w:hAnsi="宋体" w:cs="宋体" w:eastAsia="宋体"/>
                      <w:sz w:val="20"/>
                      <w:color w:val="000000"/>
                    </w:rPr>
                    <w:t>6.工艺说明</w:t>
                  </w:r>
                  <w:r>
                    <w:br/>
                  </w:r>
                  <w:r>
                    <w:rPr>
                      <w:rFonts w:ascii="宋体" w:hAnsi="宋体" w:cs="宋体" w:eastAsia="宋体"/>
                      <w:sz w:val="20"/>
                      <w:color w:val="000000"/>
                    </w:rPr>
                    <w:t>（</w:t>
                  </w:r>
                  <w:r>
                    <w:rPr>
                      <w:rFonts w:ascii="宋体" w:hAnsi="宋体" w:cs="宋体" w:eastAsia="宋体"/>
                      <w:sz w:val="20"/>
                      <w:color w:val="000000"/>
                    </w:rPr>
                    <w:t>1）大型钢模注塑，无需另外加工。</w:t>
                  </w:r>
                  <w:r>
                    <w:br/>
                  </w:r>
                  <w:r>
                    <w:rPr>
                      <w:rFonts w:ascii="宋体" w:hAnsi="宋体" w:cs="宋体" w:eastAsia="宋体"/>
                      <w:sz w:val="20"/>
                      <w:color w:val="000000"/>
                    </w:rPr>
                    <w:t>（</w:t>
                  </w:r>
                  <w:r>
                    <w:rPr>
                      <w:rFonts w:ascii="宋体" w:hAnsi="宋体" w:cs="宋体" w:eastAsia="宋体"/>
                      <w:sz w:val="20"/>
                      <w:color w:val="000000"/>
                    </w:rPr>
                    <w:t>2）使用榫卯链接结构，卡槽设计，并合理布局加强筋。柜体与柜门安装时使用全塑尼龙铰链连接，不使用螺丝和其他五金连接件，可反复拆装。</w:t>
                  </w:r>
                  <w:r>
                    <w:br/>
                  </w:r>
                  <w:r>
                    <w:rPr>
                      <w:rFonts w:ascii="宋体" w:hAnsi="宋体" w:cs="宋体" w:eastAsia="宋体"/>
                      <w:sz w:val="20"/>
                      <w:color w:val="000000"/>
                    </w:rPr>
                    <w:t>（</w:t>
                  </w:r>
                  <w:r>
                    <w:rPr>
                      <w:rFonts w:ascii="宋体" w:hAnsi="宋体" w:cs="宋体" w:eastAsia="宋体"/>
                      <w:sz w:val="20"/>
                      <w:color w:val="000000"/>
                    </w:rPr>
                    <w:t>3）全塑尼龙铰链具有环保、防水防锈防腐蚀功能，使用寿命长等特点</w:t>
                  </w:r>
                  <w:r>
                    <w:br/>
                  </w:r>
                  <w:r>
                    <w:rPr>
                      <w:rFonts w:ascii="宋体" w:hAnsi="宋体" w:cs="宋体" w:eastAsia="宋体"/>
                      <w:sz w:val="20"/>
                      <w:color w:val="000000"/>
                    </w:rPr>
                    <w:t>（</w:t>
                  </w:r>
                  <w:r>
                    <w:rPr>
                      <w:rFonts w:ascii="宋体" w:hAnsi="宋体" w:cs="宋体" w:eastAsia="宋体"/>
                      <w:sz w:val="20"/>
                      <w:color w:val="000000"/>
                    </w:rPr>
                    <w:t>4）门板与侧板连接处设计有防盗插销并采用高强度尼龙防水铰链和上下门轴双重加固，双重防盗保险更牢固耐用。门板与底板、顶板使用尼龙L轴连接。</w:t>
                  </w:r>
                  <w:r>
                    <w:br/>
                  </w:r>
                  <w:r>
                    <w:rPr>
                      <w:rFonts w:ascii="宋体" w:hAnsi="宋体" w:cs="宋体" w:eastAsia="宋体"/>
                      <w:sz w:val="20"/>
                      <w:color w:val="000000"/>
                    </w:rPr>
                    <w:t>（</w:t>
                  </w:r>
                  <w:r>
                    <w:rPr>
                      <w:rFonts w:ascii="宋体" w:hAnsi="宋体" w:cs="宋体" w:eastAsia="宋体"/>
                      <w:sz w:val="20"/>
                      <w:color w:val="000000"/>
                    </w:rPr>
                    <w:t>5）背插板上下端各有两处凸起造型设计，可以更好的锁住板材，柜子更牢固。中间位置设计有小孔组成的大圆圈，让柜子内部空气得到流通。</w:t>
                  </w:r>
                  <w:r>
                    <w:br/>
                  </w:r>
                  <w:r>
                    <w:rPr>
                      <w:rFonts w:ascii="宋体" w:hAnsi="宋体" w:cs="宋体" w:eastAsia="宋体"/>
                      <w:sz w:val="20"/>
                      <w:color w:val="000000"/>
                    </w:rPr>
                    <w:t>（</w:t>
                  </w:r>
                  <w:r>
                    <w:rPr>
                      <w:rFonts w:ascii="宋体" w:hAnsi="宋体" w:cs="宋体" w:eastAsia="宋体"/>
                      <w:sz w:val="20"/>
                      <w:color w:val="000000"/>
                    </w:rPr>
                    <w:t>6）底座为正长方形四周无任何拱型凸位，放平后为全密闭底座，有利于阻挡污水赃物进入底座内侧，底座高度80mm。</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5*55套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套</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4</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文件柜</w:t>
                  </w:r>
                </w:p>
              </w:tc>
              <w:tc>
                <w:tcPr>
                  <w:tcW w:type="dxa" w:w="1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color w:val="000000"/>
                    </w:rPr>
                    <w:t>规格约：</w:t>
                  </w:r>
                  <w:r>
                    <w:rPr>
                      <w:rFonts w:ascii="宋体" w:hAnsi="宋体" w:cs="宋体" w:eastAsia="宋体"/>
                      <w:sz w:val="20"/>
                      <w:color w:val="000000"/>
                    </w:rPr>
                    <w:t>900*400*1850mm,优质钢板，表面喷塑，板材厚度大于0.8mm,四开门，上玻璃门作品展示用，下铁门储物柜用，配备防盗锁，白色</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17</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套</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5</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办公桌椅</w:t>
                  </w:r>
                </w:p>
              </w:tc>
              <w:tc>
                <w:tcPr>
                  <w:tcW w:type="dxa" w:w="1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color w:val="000000"/>
                    </w:rPr>
                    <w:t>办公桌</w:t>
                  </w:r>
                  <w:r>
                    <w:br/>
                  </w:r>
                  <w:r>
                    <w:rPr>
                      <w:rFonts w:ascii="宋体" w:hAnsi="宋体" w:cs="宋体" w:eastAsia="宋体"/>
                      <w:sz w:val="20"/>
                      <w:color w:val="000000"/>
                    </w:rPr>
                    <w:t>规格</w:t>
                  </w:r>
                  <w:r>
                    <w:rPr>
                      <w:rFonts w:ascii="宋体" w:hAnsi="宋体" w:cs="宋体" w:eastAsia="宋体"/>
                      <w:sz w:val="20"/>
                      <w:color w:val="000000"/>
                    </w:rPr>
                    <w:t>:≥120*60*74cm，</w:t>
                  </w:r>
                  <w:r>
                    <w:br/>
                  </w:r>
                  <w:r>
                    <w:rPr>
                      <w:rFonts w:ascii="宋体" w:hAnsi="宋体" w:cs="宋体" w:eastAsia="宋体"/>
                      <w:sz w:val="20"/>
                      <w:color w:val="000000"/>
                    </w:rPr>
                    <w:t>1.基材：优质刨花板，达国家E1级环保标准，具防水、防烫、防碱、耐火功能；</w:t>
                  </w:r>
                  <w:r>
                    <w:br/>
                  </w:r>
                  <w:r>
                    <w:rPr>
                      <w:rFonts w:ascii="宋体" w:hAnsi="宋体" w:cs="宋体" w:eastAsia="宋体"/>
                      <w:sz w:val="20"/>
                      <w:color w:val="000000"/>
                    </w:rPr>
                    <w:t>2.台面：面板厚度&gt;=20mm;台面光亮平整，面板木纹纹理自然，颜色线条拼合细密，主要板材经检验符合GB18584-2001《室内装修材料-木家具中有害物质限量》强制性标准要求;</w:t>
                  </w:r>
                  <w:r>
                    <w:br/>
                  </w:r>
                  <w:r>
                    <w:rPr>
                      <w:rFonts w:ascii="宋体" w:hAnsi="宋体" w:cs="宋体" w:eastAsia="宋体"/>
                      <w:sz w:val="20"/>
                      <w:color w:val="000000"/>
                    </w:rPr>
                    <w:t>3.封边用材：优质PVC热熔封边，厚度2mm；</w:t>
                  </w:r>
                  <w:r>
                    <w:br/>
                  </w:r>
                  <w:r>
                    <w:rPr>
                      <w:rFonts w:ascii="宋体" w:hAnsi="宋体" w:cs="宋体" w:eastAsia="宋体"/>
                      <w:sz w:val="20"/>
                      <w:color w:val="000000"/>
                    </w:rPr>
                    <w:t>4.胶水：环保胶水，通过ISO14001环境认证，粘接性强。</w:t>
                  </w:r>
                  <w:r>
                    <w:br/>
                  </w:r>
                  <w:r>
                    <w:rPr>
                      <w:rFonts w:ascii="宋体" w:hAnsi="宋体" w:cs="宋体" w:eastAsia="宋体"/>
                      <w:sz w:val="20"/>
                      <w:color w:val="000000"/>
                    </w:rPr>
                    <w:t>椅子</w:t>
                  </w:r>
                  <w:r>
                    <w:br/>
                  </w:r>
                  <w:r>
                    <w:rPr>
                      <w:rFonts w:ascii="宋体" w:hAnsi="宋体" w:cs="宋体" w:eastAsia="宋体"/>
                      <w:sz w:val="20"/>
                      <w:color w:val="000000"/>
                    </w:rPr>
                    <w:t>1.靠背：黑色尼龙加玻纤背架，靠背网布选用尼龙特网</w:t>
                  </w:r>
                  <w:r>
                    <w:br/>
                  </w:r>
                  <w:r>
                    <w:rPr>
                      <w:rFonts w:ascii="宋体" w:hAnsi="宋体" w:cs="宋体" w:eastAsia="宋体"/>
                      <w:sz w:val="20"/>
                      <w:color w:val="000000"/>
                    </w:rPr>
                    <w:t>2.头枕：大头枕，配活动抱枕；</w:t>
                  </w:r>
                  <w:r>
                    <w:br/>
                  </w:r>
                  <w:r>
                    <w:rPr>
                      <w:rFonts w:ascii="宋体" w:hAnsi="宋体" w:cs="宋体" w:eastAsia="宋体"/>
                      <w:sz w:val="20"/>
                      <w:color w:val="000000"/>
                    </w:rPr>
                    <w:t>3.坐垫：高密度纯海绵；加厚全新弯板</w:t>
                  </w:r>
                  <w:r>
                    <w:br/>
                  </w:r>
                  <w:r>
                    <w:rPr>
                      <w:rFonts w:ascii="宋体" w:hAnsi="宋体" w:cs="宋体" w:eastAsia="宋体"/>
                      <w:sz w:val="20"/>
                      <w:color w:val="000000"/>
                    </w:rPr>
                    <w:t>4.扶手：独家设计联动扶手；靠背腰条可根据舒适度调节</w:t>
                  </w:r>
                  <w:r>
                    <w:br/>
                  </w:r>
                  <w:r>
                    <w:rPr>
                      <w:rFonts w:ascii="宋体" w:hAnsi="宋体" w:cs="宋体" w:eastAsia="宋体"/>
                      <w:sz w:val="20"/>
                      <w:color w:val="000000"/>
                    </w:rPr>
                    <w:t>5.底盘：多功能底盘，随意锁定.带可伸缩脚踏；可躺165°</w:t>
                  </w:r>
                  <w:r>
                    <w:br/>
                  </w:r>
                  <w:r>
                    <w:rPr>
                      <w:rFonts w:ascii="宋体" w:hAnsi="宋体" w:cs="宋体" w:eastAsia="宋体"/>
                      <w:sz w:val="20"/>
                      <w:color w:val="000000"/>
                    </w:rPr>
                    <w:t>6.弓形脚：采用管壁2.0厚的黑色烤漆弓形脚；</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17</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套</w:t>
                  </w:r>
                </w:p>
              </w:tc>
            </w:tr>
          </w:tbl>
          <w:p/>
        </w:tc>
      </w:tr>
    </w:tbl>
    <w:p>
      <w:pPr>
        <w:pStyle w:val="null3"/>
        <w:outlineLvl w:val="2"/>
      </w:pPr>
      <w:r>
        <w:rPr>
          <w:sz w:val="28"/>
          <w:b/>
        </w:rPr>
        <w:t>3.4商务要求</w:t>
      </w:r>
    </w:p>
    <w:p>
      <w:pPr>
        <w:pStyle w:val="null3"/>
        <w:outlineLvl w:val="3"/>
      </w:pPr>
      <w:r>
        <w:rPr>
          <w:sz w:val="24"/>
          <w:b/>
        </w:rPr>
        <w:t>3.4.1交货时间</w:t>
      </w:r>
    </w:p>
    <w:p>
      <w:pPr>
        <w:pStyle w:val="null3"/>
      </w:pPr>
      <w:r>
        <w:rPr/>
        <w:t>采购包1：</w:t>
      </w:r>
    </w:p>
    <w:p>
      <w:pPr>
        <w:pStyle w:val="null3"/>
      </w:pPr>
      <w:r>
        <w:rPr/>
        <w:t>合同签订后60天</w:t>
      </w:r>
    </w:p>
    <w:p>
      <w:pPr>
        <w:pStyle w:val="null3"/>
        <w:outlineLvl w:val="3"/>
      </w:pPr>
      <w:r>
        <w:rPr>
          <w:sz w:val="24"/>
          <w:b/>
        </w:rPr>
        <w:t>3.4.2交货地点和方式</w:t>
      </w:r>
    </w:p>
    <w:p>
      <w:pPr>
        <w:pStyle w:val="null3"/>
      </w:pPr>
      <w:r>
        <w:rPr/>
        <w:t>采购包1：</w:t>
      </w:r>
    </w:p>
    <w:p>
      <w:pPr>
        <w:pStyle w:val="null3"/>
      </w:pPr>
      <w:r>
        <w:rPr/>
        <w:t>西安市第九十八中学</w:t>
      </w:r>
    </w:p>
    <w:p>
      <w:pPr>
        <w:pStyle w:val="null3"/>
        <w:outlineLvl w:val="3"/>
      </w:pPr>
      <w:r>
        <w:rPr>
          <w:sz w:val="24"/>
          <w:b/>
        </w:rPr>
        <w:t>3.4.3支付方式</w:t>
      </w:r>
    </w:p>
    <w:p>
      <w:pPr>
        <w:pStyle w:val="null3"/>
      </w:pPr>
      <w:r>
        <w:rPr/>
        <w:t>采购包1：</w:t>
      </w:r>
    </w:p>
    <w:p>
      <w:pPr>
        <w:pStyle w:val="null3"/>
      </w:pPr>
      <w:r>
        <w:rPr/>
        <w:t>一次付清</w:t>
      </w:r>
    </w:p>
    <w:p>
      <w:pPr>
        <w:pStyle w:val="null3"/>
        <w:outlineLvl w:val="3"/>
      </w:pPr>
      <w:r>
        <w:rPr>
          <w:sz w:val="24"/>
          <w:b/>
        </w:rPr>
        <w:t>3.4.4支付约定</w:t>
      </w:r>
    </w:p>
    <w:p>
      <w:pPr>
        <w:pStyle w:val="null3"/>
      </w:pPr>
      <w:r>
        <w:rPr/>
        <w:t>采购包1：</w:t>
      </w:r>
      <w:r>
        <w:rPr/>
        <w:t xml:space="preserve"> 付款条件说明： </w:t>
      </w:r>
      <w:r>
        <w:rPr/>
        <w:t>全部货物到达采购人指定地点并安装验收合格后，10个工作日内一次性支付合同总价款</w:t>
      </w:r>
      <w:r>
        <w:rPr/>
        <w:t xml:space="preserve"> ，达到付款条件起 </w:t>
      </w:r>
      <w:r>
        <w:rPr/>
        <w:t>10</w:t>
      </w:r>
      <w:r>
        <w:rPr/>
        <w:t xml:space="preserve"> 日内，支付合同总金额的 </w:t>
      </w:r>
      <w:r>
        <w:rPr/>
        <w:t>100.00</w:t>
      </w:r>
      <w:r>
        <w:rPr/>
        <w:t>%。</w:t>
      </w:r>
    </w:p>
    <w:p>
      <w:pPr>
        <w:pStyle w:val="null3"/>
        <w:outlineLvl w:val="3"/>
      </w:pPr>
      <w:r>
        <w:rPr>
          <w:sz w:val="24"/>
          <w:b/>
        </w:rPr>
        <w:t>3.4.5验收标准和方法</w:t>
      </w:r>
    </w:p>
    <w:p>
      <w:pPr>
        <w:pStyle w:val="null3"/>
      </w:pPr>
      <w:r>
        <w:rPr/>
        <w:t>采购包1：</w:t>
      </w:r>
    </w:p>
    <w:p>
      <w:pPr>
        <w:pStyle w:val="null3"/>
      </w:pPr>
      <w:r>
        <w:rPr/>
        <w:t>1、验收分初次开箱验收和学校最终验收两个阶段，以最终验收为准。2、货物到货后，甲、乙双方共同开箱验收。在检查货物原产地、型号、规格、配置符合合同要求后，由乙方负责安装调试、甲方使用单位负责技术验收（乙方协助），验收以国内行业标准或合同文本货物供货配置清单中描述的有关技术要求为准。3、甲方使用单位初验合格后提出验收申请，学校相关部门根据使用单位技术验收结果，组织有关专家进行货物的最终验收。</w:t>
      </w:r>
    </w:p>
    <w:p>
      <w:pPr>
        <w:pStyle w:val="null3"/>
        <w:outlineLvl w:val="3"/>
      </w:pPr>
      <w:r>
        <w:rPr>
          <w:sz w:val="24"/>
          <w:b/>
        </w:rPr>
        <w:t>3.4.6包装方式及运输</w:t>
      </w:r>
    </w:p>
    <w:p>
      <w:pPr>
        <w:pStyle w:val="null3"/>
      </w:pPr>
      <w:r>
        <w:rPr/>
        <w:t>采购包1：</w:t>
      </w:r>
    </w:p>
    <w:p>
      <w:pPr>
        <w:pStyle w:val="null3"/>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sz w:val="24"/>
          <w:b/>
        </w:rPr>
        <w:t>3.4.7质量保修范围和保修期</w:t>
      </w:r>
    </w:p>
    <w:p>
      <w:pPr>
        <w:pStyle w:val="null3"/>
      </w:pPr>
      <w:r>
        <w:rPr/>
        <w:t>采购包1：</w:t>
      </w:r>
    </w:p>
    <w:p>
      <w:pPr>
        <w:pStyle w:val="null3"/>
      </w:pPr>
      <w:r>
        <w:rPr/>
        <w:t>项目质保期：验收合格后1年，保修3年。</w:t>
      </w:r>
    </w:p>
    <w:p>
      <w:pPr>
        <w:pStyle w:val="null3"/>
        <w:outlineLvl w:val="3"/>
      </w:pPr>
      <w:r>
        <w:rPr>
          <w:sz w:val="24"/>
          <w:b/>
        </w:rPr>
        <w:t>3.4.8违约责任及解决争议的方法</w:t>
      </w:r>
    </w:p>
    <w:p>
      <w:pPr>
        <w:pStyle w:val="null3"/>
      </w:pPr>
      <w:r>
        <w:rPr/>
        <w:t>采购包1：</w:t>
      </w:r>
    </w:p>
    <w:p>
      <w:pPr>
        <w:pStyle w:val="null3"/>
      </w:pPr>
      <w:r>
        <w:rPr/>
        <w:t>1、违约责任：依据《中华人民共和国民法典》、《中华人民共和国政府采购法》、《中华人民 共和国政府采购法实施条例》的相关条款和本合同约定，成交供应商未全面履行合同义务或者发生违约，采购单位会同采购代理机构有权终止合同，依法向成交供应商进行经济索赔，并报请政府采 购监督管理机关进行相应的行政处罚。采购单位违约的，应当赔偿给成交供应商造成的经济损失。2、解决争议的方法：合同执行中发生争议的，当事人双方应协商解决。协商达不成一致时，可依法向甲方所在地法院起诉。</w:t>
      </w:r>
    </w:p>
    <w:p>
      <w:pPr>
        <w:pStyle w:val="null3"/>
        <w:jc w:val="left"/>
        <w:outlineLvl w:val="3"/>
      </w:pPr>
      <w:r>
        <w:rPr>
          <w:sz w:val="24"/>
          <w:b/>
        </w:rPr>
        <w:t>3.5其他要求</w:t>
      </w:r>
    </w:p>
    <w:p>
      <w:pPr>
        <w:pStyle w:val="null3"/>
      </w:pPr>
      <w:r>
        <w:rPr/>
        <w:t>采购包1：</w:t>
      </w:r>
    </w:p>
    <w:p>
      <w:pPr>
        <w:pStyle w:val="null3"/>
      </w:pPr>
      <w:r>
        <w:rPr/>
        <w:t>无</w:t>
      </w:r>
    </w:p>
    <w:p>
      <w:pPr>
        <w:pStyle w:val="null3"/>
      </w:pPr>
      <w:r>
        <w:rPr/>
        <w:t xml:space="preserve"> </w:t>
        <w:br/>
        <w:br w:type="page"/>
      </w:r>
    </w:p>
    <w:p>
      <w:pPr>
        <w:pStyle w:val="null3"/>
        <w:jc w:val="center"/>
        <w:outlineLvl w:val="1"/>
      </w:pPr>
      <w:r>
        <w:rPr>
          <w:sz w:val="36"/>
          <w:b/>
        </w:rPr>
        <w:t>第四章 资格审查</w:t>
      </w:r>
    </w:p>
    <w:p>
      <w:pPr>
        <w:pStyle w:val="null3"/>
        <w:ind w:firstLine="480"/>
      </w:pPr>
      <w:r>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t>资格审查标准及要求如下：</w:t>
      </w:r>
    </w:p>
    <w:p>
      <w:pPr>
        <w:pStyle w:val="null3"/>
        <w:outlineLvl w:val="3"/>
      </w:pPr>
      <w:r>
        <w:rPr>
          <w:sz w:val="24"/>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 要求填写《投标函》完成承诺并提供 以下资料进行电子签章。 (1)提供合格有效的法人或者其他组织的营业执 照等证明文件，自然人的身份证明； 供应商是法人或其他组织的应提供营 业执照等证明文件，供应商是自然人 的应提供有效的自然人身份证明。 (2)提供2023年度经审计的财务报告（包括“四表一注”即《资产负债表》《利润表》《现金流量表》《所有者权益变动表》《附注》和会计师事务所营业执照，报告正文应当有会计师事务所公章，2个注册会计师的签字和盖章；成立时间至提交投标文件截止时间不足一年的可提供成立后任意时段的资产负债表）或基本存款账户开户银行出具的资信证明及基本存款账户开户许可证（基本账户信息）或财政部门认可的政府采购专业担保机构出具的投标担保函；(3)提供谈判截止日前一年内已缴纳的至少一个月的纳税证明或完税证明，依法免税的单位应提供相关证明材料；(4)提供谈判截止日前一年内已缴存的至少一个月的社会保障资金缴存单据或社保机构开具的社会保险参保缴 费情况证明，依法不需要缴纳社会保 障资金的单位应提供相关证明材料；（5）提供具有履行合同所必需 的设备和专业技术能力的承诺；(6)参加政府采购活动前3年内，在经营活动中没有重大违法记录的书面声明。</w:t>
            </w:r>
          </w:p>
        </w:tc>
        <w:tc>
          <w:tcPr>
            <w:tcW w:type="dxa" w:w="1661"/>
          </w:tcPr>
          <w:p>
            <w:pPr>
              <w:pStyle w:val="null3"/>
            </w:pPr>
            <w:r>
              <w:rPr/>
              <w:t>响应文件封面 谈判方案说明书 报价一览表 资格证明文件 其他资料 标的清单 报价表 供应商承诺书 响应函 商务条款偏离表</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需在项目电子化交易系统中按要求上传相应证明文件并进行电子签章。提供2023年度经审计的财务报告（包括“四表一注”即《资产负债表》《利润表》《现金流量表》《所有者权益变动表》《附注》和会计师事务所营业执照，报告正文应当有会计师事务所公章，2个注册会计师的签字和盖章；成立时间至提交投标文件截止时间不足一年的可提供成立后任意时段的资产负债表）或基本存款账户开户银行出具的资信证明及基本存款账户开户许可证（基本账户信息）或财政部门认可的政府采购专业担保机构出具的投标担保函。</w:t>
            </w:r>
          </w:p>
        </w:tc>
        <w:tc>
          <w:tcPr>
            <w:tcW w:type="dxa" w:w="1661"/>
          </w:tcPr>
          <w:p>
            <w:pPr>
              <w:pStyle w:val="null3"/>
            </w:pPr>
            <w:r>
              <w:rPr/>
              <w:t>资格证明文件</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供应商需在项目电子化交易系统中按要求填写《响应函》完成承诺并进行电子签章。</w:t>
            </w:r>
          </w:p>
        </w:tc>
        <w:tc>
          <w:tcPr>
            <w:tcW w:type="dxa" w:w="1661"/>
          </w:tcPr>
          <w:p>
            <w:pPr>
              <w:pStyle w:val="null3"/>
            </w:pPr>
            <w:r>
              <w:rPr/>
              <w:t>响应函</w:t>
            </w:r>
          </w:p>
        </w:tc>
      </w:tr>
    </w:tbl>
    <w:p>
      <w:pPr>
        <w:pStyle w:val="null3"/>
        <w:outlineLvl w:val="3"/>
      </w:pPr>
      <w:r>
        <w:rPr>
          <w:sz w:val="24"/>
          <w:b/>
        </w:rPr>
        <w:t>4.2落实政府采购政策资格审查：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本采购包不专门面向中小企业采购</w:t>
            </w:r>
          </w:p>
        </w:tc>
        <w:tc>
          <w:tcPr>
            <w:tcW w:type="dxa" w:w="3322"/>
          </w:tcPr>
          <w:p>
            <w:pPr>
              <w:pStyle w:val="null3"/>
            </w:pPr>
            <w:r>
              <w:rPr/>
              <w:t>/</w:t>
            </w:r>
          </w:p>
        </w:tc>
        <w:tc>
          <w:tcPr>
            <w:tcW w:type="dxa" w:w="1661"/>
          </w:tcPr>
          <w:p>
            <w:pPr>
              <w:pStyle w:val="null3"/>
            </w:pPr>
            <w:r>
              <w:rPr/>
              <w:t>中小企业声明函 残疾人福利性单位声明函 监狱企业的证明文件</w:t>
            </w:r>
          </w:p>
        </w:tc>
      </w:tr>
    </w:tbl>
    <w:p>
      <w:pPr>
        <w:pStyle w:val="null3"/>
        <w:outlineLvl w:val="3"/>
      </w:pPr>
      <w:r>
        <w:rPr>
          <w:sz w:val="24"/>
          <w:b/>
        </w:rPr>
        <w:t>4.3特殊资格审查：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法定代表人授权委托书</w:t>
            </w:r>
          </w:p>
        </w:tc>
        <w:tc>
          <w:tcPr>
            <w:tcW w:type="dxa" w:w="3322"/>
          </w:tcPr>
          <w:p>
            <w:pPr>
              <w:pStyle w:val="null3"/>
            </w:pPr>
            <w:r>
              <w:rPr/>
              <w:t>法定代表人授权委托书：法定代表人授权书（附法定代表人、被授权人身份证复印件；法定代表人直接参加谈判，须提供法定代表人身份证明)（注：被授权人需提供谈判截止日前一年内已缴存的至少一个月的社会保障资金凭证）；</w:t>
            </w:r>
          </w:p>
        </w:tc>
        <w:tc>
          <w:tcPr>
            <w:tcW w:type="dxa" w:w="1661"/>
          </w:tcPr>
          <w:p>
            <w:pPr>
              <w:pStyle w:val="null3"/>
            </w:pPr>
            <w:r>
              <w:rPr/>
              <w:t>资格证明文件</w:t>
            </w:r>
          </w:p>
        </w:tc>
      </w:tr>
      <w:tr>
        <w:tc>
          <w:tcPr>
            <w:tcW w:type="dxa" w:w="831"/>
          </w:tcPr>
          <w:p>
            <w:pPr>
              <w:pStyle w:val="null3"/>
            </w:pPr>
            <w:r>
              <w:rPr/>
              <w:t>2</w:t>
            </w:r>
          </w:p>
        </w:tc>
        <w:tc>
          <w:tcPr>
            <w:tcW w:type="dxa" w:w="2492"/>
          </w:tcPr>
          <w:p>
            <w:pPr>
              <w:pStyle w:val="null3"/>
            </w:pPr>
            <w:r>
              <w:rPr/>
              <w:t>信用记录</w:t>
            </w:r>
          </w:p>
        </w:tc>
        <w:tc>
          <w:tcPr>
            <w:tcW w:type="dxa" w:w="3322"/>
          </w:tcPr>
          <w:p>
            <w:pPr>
              <w:pStyle w:val="null3"/>
            </w:pPr>
            <w:r>
              <w:rPr/>
              <w:t>供应商未被“信用中国”网站（www.creditchina.gov.cn）列入失信被执 行人和重大税收违法失信主体，未被中国政府采购网（www.ccgp.gov.cn）列入政府采购严重违法失信行为记录名单；（资格审查环节查询相关 信用记录，对列入失信被执行人、重大税收违法失信主体、政府采购严重 违法失信行为记录名单及其他不符合《中华人民共和国政府采购法》第二十二条规定的供应商，采购代理机构将拒绝其参与政府采购活动，查询结果以电子或纸质方式留存）。</w:t>
            </w:r>
          </w:p>
        </w:tc>
        <w:tc>
          <w:tcPr>
            <w:tcW w:type="dxa" w:w="1661"/>
          </w:tcPr>
          <w:p>
            <w:pPr>
              <w:pStyle w:val="null3"/>
            </w:pPr>
            <w:r>
              <w:rPr/>
              <w:t>资格证明文件</w:t>
            </w:r>
          </w:p>
        </w:tc>
      </w:tr>
    </w:tbl>
    <w:p>
      <w:pPr>
        <w:pStyle w:val="null3"/>
      </w:pPr>
      <w:r>
        <w:rPr/>
        <w:t xml:space="preserve"> </w:t>
        <w:br/>
        <w:br w:type="page"/>
      </w:r>
    </w:p>
    <w:p>
      <w:pPr>
        <w:pStyle w:val="null3"/>
        <w:jc w:val="center"/>
        <w:outlineLvl w:val="1"/>
      </w:pPr>
      <w:r>
        <w:rPr>
          <w:sz w:val="36"/>
          <w:b/>
        </w:rPr>
        <w:t>第五章 谈判过程中可实质性变动的内容</w:t>
      </w:r>
    </w:p>
    <w:p>
      <w:pPr>
        <w:pStyle w:val="null3"/>
        <w:ind w:firstLine="480"/>
      </w:pPr>
      <w:r>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t xml:space="preserve"> </w:t>
        <w:br/>
        <w:br w:type="page"/>
      </w:r>
    </w:p>
    <w:p>
      <w:pPr>
        <w:pStyle w:val="null3"/>
        <w:jc w:val="center"/>
        <w:outlineLvl w:val="1"/>
      </w:pPr>
      <w:r>
        <w:rPr>
          <w:sz w:val="36"/>
          <w:b/>
        </w:rPr>
        <w:t>第六章 谈判办法</w:t>
      </w:r>
    </w:p>
    <w:p>
      <w:pPr>
        <w:pStyle w:val="null3"/>
        <w:outlineLvl w:val="2"/>
      </w:pPr>
      <w:r>
        <w:rPr>
          <w:sz w:val="28"/>
          <w:b/>
        </w:rPr>
        <w:t>6.1总则</w:t>
      </w:r>
    </w:p>
    <w:p>
      <w:pPr>
        <w:pStyle w:val="null3"/>
        <w:ind w:firstLine="480"/>
      </w:pPr>
      <w:r>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t>二、评审工作由代理机构组织，具体评审事务由依法组建的谈判小组负责。</w:t>
      </w:r>
    </w:p>
    <w:p>
      <w:pPr>
        <w:pStyle w:val="null3"/>
        <w:ind w:firstLine="480"/>
      </w:pPr>
      <w:r>
        <w:rPr/>
        <w:t>三、评审工作应遵循客观、公正、审慎的原则，并以相同的谈判程序和标准对待所有的供应商。</w:t>
      </w:r>
    </w:p>
    <w:p>
      <w:pPr>
        <w:pStyle w:val="null3"/>
        <w:ind w:firstLine="480"/>
      </w:pPr>
      <w:r>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sz w:val="28"/>
          <w:b/>
        </w:rPr>
        <w:t>6.2谈判小组</w:t>
      </w:r>
    </w:p>
    <w:p>
      <w:pPr>
        <w:pStyle w:val="null3"/>
        <w:ind w:firstLine="480"/>
      </w:pPr>
      <w:r>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t>三、谈判小组按照谈判文件规定的谈判程序、评审方法和标准进行评审，并独立履行下列职责：</w:t>
      </w:r>
    </w:p>
    <w:p>
      <w:pPr>
        <w:pStyle w:val="null3"/>
        <w:ind w:firstLine="480"/>
      </w:pPr>
      <w:r>
        <w:rPr/>
        <w:t>（一）熟悉和理解谈判文件；</w:t>
      </w:r>
    </w:p>
    <w:p>
      <w:pPr>
        <w:pStyle w:val="null3"/>
        <w:ind w:firstLine="480"/>
      </w:pPr>
      <w:r>
        <w:rPr/>
        <w:t>（二）审查供应商响应文件等是否满足谈判文件要求，并作出评价；</w:t>
      </w:r>
    </w:p>
    <w:p>
      <w:pPr>
        <w:pStyle w:val="null3"/>
        <w:ind w:firstLine="480"/>
      </w:pPr>
      <w:r>
        <w:rPr/>
        <w:t xml:space="preserve"> （三）根据需要要求采购组织单位对谈判文件作出解释；根据需要要求供应商对响应文件有关事项作出澄清、说明或者更正；</w:t>
      </w:r>
    </w:p>
    <w:p>
      <w:pPr>
        <w:pStyle w:val="null3"/>
        <w:ind w:firstLine="480"/>
      </w:pPr>
      <w:r>
        <w:rPr/>
        <w:t>（四）推荐成交候选供应商，或者受采购人委托确定成交供应商；</w:t>
      </w:r>
    </w:p>
    <w:p>
      <w:pPr>
        <w:pStyle w:val="null3"/>
        <w:ind w:firstLine="480"/>
      </w:pPr>
      <w:r>
        <w:rPr/>
        <w:t>（五）起草评审报告并进行签署；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sz w:val="28"/>
          <w:b/>
        </w:rPr>
        <w:t>6.3评审程序</w:t>
      </w:r>
    </w:p>
    <w:p>
      <w:pPr>
        <w:pStyle w:val="null3"/>
        <w:outlineLvl w:val="3"/>
      </w:pPr>
      <w:r>
        <w:rPr>
          <w:sz w:val="24"/>
          <w:b/>
        </w:rPr>
        <w:t xml:space="preserve"> 6.3.1审查谈判文件和停止评审</w:t>
      </w:r>
    </w:p>
    <w:p>
      <w:pPr>
        <w:pStyle w:val="null3"/>
        <w:ind w:firstLine="480"/>
      </w:pPr>
      <w:r>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t>二、本谈判文件有下列情形之一的，谈判小组应当停止评审：</w:t>
      </w:r>
    </w:p>
    <w:p>
      <w:pPr>
        <w:pStyle w:val="null3"/>
        <w:ind w:firstLine="480"/>
      </w:pPr>
      <w:r>
        <w:rPr/>
        <w:t>（一）谈判文件的规定存在歧义、重大缺陷的；</w:t>
      </w:r>
    </w:p>
    <w:p>
      <w:pPr>
        <w:pStyle w:val="null3"/>
        <w:ind w:firstLine="480"/>
      </w:pPr>
      <w:r>
        <w:rPr/>
        <w:t>（二）谈判文件明显以不合理条件对供应商实行差别待遇或者歧视待遇的；</w:t>
      </w:r>
    </w:p>
    <w:p>
      <w:pPr>
        <w:pStyle w:val="null3"/>
        <w:ind w:firstLine="480"/>
      </w:pPr>
      <w:r>
        <w:rPr/>
        <w:t>（三）采购项目属于国家规定的优先、强制采购范围，但是谈判文件未依法体现优先、强制采购相关规定的；</w:t>
      </w:r>
    </w:p>
    <w:p>
      <w:pPr>
        <w:pStyle w:val="null3"/>
        <w:ind w:firstLine="480"/>
      </w:pPr>
      <w:r>
        <w:rPr/>
        <w:t>（四）采购项目属于政府采购促进中小企业发展的范围，但是谈判文件未依法体现促进中小企业发展相关规定的；</w:t>
      </w:r>
    </w:p>
    <w:p>
      <w:pPr>
        <w:pStyle w:val="null3"/>
        <w:ind w:firstLine="480"/>
      </w:pPr>
      <w:r>
        <w:rPr/>
        <w:t>（五）谈判文件将供应商的资格条件列为评分因素的；</w:t>
      </w:r>
    </w:p>
    <w:p>
      <w:pPr>
        <w:pStyle w:val="null3"/>
        <w:ind w:firstLine="480"/>
      </w:pPr>
      <w:r>
        <w:rPr/>
        <w:t>（六）谈判文件载明的成交原则不合法的；</w:t>
      </w:r>
    </w:p>
    <w:p>
      <w:pPr>
        <w:pStyle w:val="null3"/>
        <w:ind w:firstLine="480"/>
        <w:jc w:val="left"/>
      </w:pPr>
      <w:r>
        <w:rPr/>
        <w:t>（七）谈判文件有违反国家其他有关强制性规定的情形。</w:t>
      </w:r>
    </w:p>
    <w:p>
      <w:pPr>
        <w:pStyle w:val="null3"/>
        <w:ind w:firstLine="480"/>
      </w:pPr>
      <w:r>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sz w:val="24"/>
          <w:b/>
        </w:rPr>
        <w:t>6.3.2符合性审查</w:t>
      </w:r>
    </w:p>
    <w:p>
      <w:pPr>
        <w:pStyle w:val="null3"/>
        <w:ind w:firstLine="480"/>
      </w:pPr>
      <w:r>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t xml:space="preserve"> 二、在符合性审查过程中，如果出现谈判小组成员意见不一致的情况，按照少数服从多数的原则确定，但不得违背政府采购基本原则和谈判文件规定。</w:t>
      </w:r>
    </w:p>
    <w:p>
      <w:pPr>
        <w:pStyle w:val="null3"/>
        <w:ind w:firstLine="480"/>
      </w:pPr>
      <w:r>
        <w:rPr/>
        <w:t>三、谈判小组对所有响应文件进行审查后，确定参加谈判的供应商名单。</w:t>
      </w:r>
    </w:p>
    <w:p>
      <w:pPr>
        <w:pStyle w:val="null3"/>
        <w:ind w:firstLine="480"/>
      </w:pPr>
      <w:r>
        <w:rPr/>
        <w:t>符合性审查标准见下表：</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t>报价表</w:t>
            </w:r>
          </w:p>
        </w:tc>
      </w:tr>
      <w:tr>
        <w:tc>
          <w:tcPr>
            <w:tcW w:type="dxa" w:w="831"/>
          </w:tcPr>
          <w:p>
            <w:pPr>
              <w:pStyle w:val="null3"/>
            </w:pPr>
            <w:r>
              <w:rPr/>
              <w:t>2</w:t>
            </w:r>
          </w:p>
        </w:tc>
        <w:tc>
          <w:tcPr>
            <w:tcW w:type="dxa" w:w="2492"/>
          </w:tcPr>
          <w:p>
            <w:pPr>
              <w:pStyle w:val="null3"/>
            </w:pPr>
            <w:r>
              <w:rPr/>
              <w:t>谈判响应文件的签署盖章</w:t>
            </w:r>
          </w:p>
        </w:tc>
        <w:tc>
          <w:tcPr>
            <w:tcW w:type="dxa" w:w="3322"/>
          </w:tcPr>
          <w:p>
            <w:pPr>
              <w:pStyle w:val="null3"/>
            </w:pPr>
            <w:r>
              <w:rPr/>
              <w:t>谈判响应文件上法定代表人或其授权代表人的签字齐全并加盖公章</w:t>
            </w:r>
          </w:p>
        </w:tc>
        <w:tc>
          <w:tcPr>
            <w:tcW w:type="dxa" w:w="1661"/>
          </w:tcPr>
          <w:p>
            <w:pPr>
              <w:pStyle w:val="null3"/>
            </w:pPr>
            <w:r>
              <w:rPr/>
              <w:t>谈判方案说明书 报价一览表 中小企业声明函 报价表 商务条款偏离表 响应文件封面 资格证明文件 其他资料 残疾人福利性单位声明函 标的清单 供应商承诺书 响应函 监狱企业的证明文件</w:t>
            </w:r>
          </w:p>
        </w:tc>
      </w:tr>
      <w:tr>
        <w:tc>
          <w:tcPr>
            <w:tcW w:type="dxa" w:w="831"/>
          </w:tcPr>
          <w:p>
            <w:pPr>
              <w:pStyle w:val="null3"/>
            </w:pPr>
            <w:r>
              <w:rPr/>
              <w:t>3</w:t>
            </w:r>
          </w:p>
        </w:tc>
        <w:tc>
          <w:tcPr>
            <w:tcW w:type="dxa" w:w="2492"/>
          </w:tcPr>
          <w:p>
            <w:pPr>
              <w:pStyle w:val="null3"/>
            </w:pPr>
            <w:r>
              <w:rPr/>
              <w:t>谈判响应文件格式</w:t>
            </w:r>
          </w:p>
        </w:tc>
        <w:tc>
          <w:tcPr>
            <w:tcW w:type="dxa" w:w="3322"/>
          </w:tcPr>
          <w:p>
            <w:pPr>
              <w:pStyle w:val="null3"/>
            </w:pPr>
            <w:r>
              <w:rPr/>
              <w:t>应符合“谈判响应文件格式”要求</w:t>
            </w:r>
          </w:p>
        </w:tc>
        <w:tc>
          <w:tcPr>
            <w:tcW w:type="dxa" w:w="1661"/>
          </w:tcPr>
          <w:p>
            <w:pPr>
              <w:pStyle w:val="null3"/>
            </w:pPr>
            <w:r>
              <w:rPr/>
              <w:t>谈判方案说明书 响应文件封面 报价一览表 资格证明文件 其他资料 标的清单 报价表 供应商承诺书 响应函 商务条款偏离表</w:t>
            </w:r>
          </w:p>
        </w:tc>
      </w:tr>
      <w:tr>
        <w:tc>
          <w:tcPr>
            <w:tcW w:type="dxa" w:w="831"/>
          </w:tcPr>
          <w:p>
            <w:pPr>
              <w:pStyle w:val="null3"/>
            </w:pPr>
            <w:r>
              <w:rPr/>
              <w:t>4</w:t>
            </w:r>
          </w:p>
        </w:tc>
        <w:tc>
          <w:tcPr>
            <w:tcW w:type="dxa" w:w="2492"/>
          </w:tcPr>
          <w:p>
            <w:pPr>
              <w:pStyle w:val="null3"/>
            </w:pPr>
            <w:r>
              <w:rPr/>
              <w:t>报价</w:t>
            </w:r>
          </w:p>
        </w:tc>
        <w:tc>
          <w:tcPr>
            <w:tcW w:type="dxa" w:w="3322"/>
          </w:tcPr>
          <w:p>
            <w:pPr>
              <w:pStyle w:val="null3"/>
            </w:pPr>
            <w:r>
              <w:rPr/>
              <w:t>按谈判文件要求报价，不得提交选择性报价，且每轮报价不超过采购预算金额或最高限价。</w:t>
            </w:r>
          </w:p>
        </w:tc>
        <w:tc>
          <w:tcPr>
            <w:tcW w:type="dxa" w:w="1661"/>
          </w:tcPr>
          <w:p>
            <w:pPr>
              <w:pStyle w:val="null3"/>
            </w:pPr>
            <w:r>
              <w:rPr/>
              <w:t>报价一览表 标的清单 报价表 响应函</w:t>
            </w:r>
          </w:p>
        </w:tc>
      </w:tr>
      <w:tr>
        <w:tc>
          <w:tcPr>
            <w:tcW w:type="dxa" w:w="831"/>
          </w:tcPr>
          <w:p>
            <w:pPr>
              <w:pStyle w:val="null3"/>
            </w:pPr>
            <w:r>
              <w:rPr/>
              <w:t>5</w:t>
            </w:r>
          </w:p>
        </w:tc>
        <w:tc>
          <w:tcPr>
            <w:tcW w:type="dxa" w:w="2492"/>
          </w:tcPr>
          <w:p>
            <w:pPr>
              <w:pStyle w:val="null3"/>
            </w:pPr>
            <w:r>
              <w:rPr/>
              <w:t>谈判响应文件内容</w:t>
            </w:r>
          </w:p>
        </w:tc>
        <w:tc>
          <w:tcPr>
            <w:tcW w:type="dxa" w:w="3322"/>
          </w:tcPr>
          <w:p>
            <w:pPr>
              <w:pStyle w:val="null3"/>
            </w:pPr>
            <w:r>
              <w:rPr/>
              <w:t>谈判响应文件内容齐全、无遗漏</w:t>
            </w:r>
          </w:p>
        </w:tc>
        <w:tc>
          <w:tcPr>
            <w:tcW w:type="dxa" w:w="1661"/>
          </w:tcPr>
          <w:p>
            <w:pPr>
              <w:pStyle w:val="null3"/>
            </w:pPr>
            <w:r>
              <w:rPr/>
              <w:t>谈判方案说明书 报价一览表 中小企业声明函 报价表 商务条款偏离表 响应文件封面 资格证明文件 其他资料 残疾人福利性单位声明函 标的清单 供应商承诺书 响应函 监狱企业的证明文件</w:t>
            </w:r>
          </w:p>
        </w:tc>
      </w:tr>
      <w:tr>
        <w:tc>
          <w:tcPr>
            <w:tcW w:type="dxa" w:w="831"/>
          </w:tcPr>
          <w:p>
            <w:pPr>
              <w:pStyle w:val="null3"/>
            </w:pPr>
            <w:r>
              <w:rPr/>
              <w:t>6</w:t>
            </w:r>
          </w:p>
        </w:tc>
        <w:tc>
          <w:tcPr>
            <w:tcW w:type="dxa" w:w="2492"/>
          </w:tcPr>
          <w:p>
            <w:pPr>
              <w:pStyle w:val="null3"/>
            </w:pPr>
            <w:r>
              <w:rPr/>
              <w:t>对谈判文件响应程度</w:t>
            </w:r>
          </w:p>
        </w:tc>
        <w:tc>
          <w:tcPr>
            <w:tcW w:type="dxa" w:w="3322"/>
          </w:tcPr>
          <w:p>
            <w:pPr>
              <w:pStyle w:val="null3"/>
            </w:pPr>
            <w:r>
              <w:rPr/>
              <w:t>1.要求实质性条款全部响应，不能有采购人不能接受的附加条件. 2.供应商必须响应并满足技术参数，★项不允许出现负偏离，同时按照要求提供相关证明材料。出现负偏离或无响应的，视为无效文件。</w:t>
            </w:r>
          </w:p>
        </w:tc>
        <w:tc>
          <w:tcPr>
            <w:tcW w:type="dxa" w:w="1661"/>
          </w:tcPr>
          <w:p>
            <w:pPr>
              <w:pStyle w:val="null3"/>
            </w:pPr>
            <w:r>
              <w:rPr/>
              <w:t>响应文件封面 报价一览表 资格证明文件 其他资料 标的清单 报价表 供应商承诺书 响应函 商务条款偏离表</w:t>
            </w:r>
          </w:p>
        </w:tc>
      </w:tr>
      <w:tr>
        <w:tc>
          <w:tcPr>
            <w:tcW w:type="dxa" w:w="831"/>
          </w:tcPr>
          <w:p>
            <w:pPr>
              <w:pStyle w:val="null3"/>
            </w:pPr>
            <w:r>
              <w:rPr/>
              <w:t>7</w:t>
            </w:r>
          </w:p>
        </w:tc>
        <w:tc>
          <w:tcPr>
            <w:tcW w:type="dxa" w:w="2492"/>
          </w:tcPr>
          <w:p>
            <w:pPr>
              <w:pStyle w:val="null3"/>
            </w:pPr>
            <w:r>
              <w:rPr/>
              <w:t>交货时间</w:t>
            </w:r>
          </w:p>
        </w:tc>
        <w:tc>
          <w:tcPr>
            <w:tcW w:type="dxa" w:w="3322"/>
          </w:tcPr>
          <w:p>
            <w:pPr>
              <w:pStyle w:val="null3"/>
            </w:pPr>
            <w:r>
              <w:rPr/>
              <w:t>应满足谈判文件中要求的交货时间</w:t>
            </w:r>
          </w:p>
        </w:tc>
        <w:tc>
          <w:tcPr>
            <w:tcW w:type="dxa" w:w="1661"/>
          </w:tcPr>
          <w:p>
            <w:pPr>
              <w:pStyle w:val="null3"/>
            </w:pPr>
            <w:r>
              <w:rPr/>
              <w:t>报价一览表 报价表 响应函</w:t>
            </w:r>
          </w:p>
        </w:tc>
      </w:tr>
      <w:tr>
        <w:tc>
          <w:tcPr>
            <w:tcW w:type="dxa" w:w="831"/>
          </w:tcPr>
          <w:p>
            <w:pPr>
              <w:pStyle w:val="null3"/>
            </w:pPr>
            <w:r>
              <w:rPr/>
              <w:t>8</w:t>
            </w:r>
          </w:p>
        </w:tc>
        <w:tc>
          <w:tcPr>
            <w:tcW w:type="dxa" w:w="2492"/>
          </w:tcPr>
          <w:p>
            <w:pPr>
              <w:pStyle w:val="null3"/>
            </w:pPr>
            <w:r>
              <w:rPr/>
              <w:t>质保期</w:t>
            </w:r>
          </w:p>
        </w:tc>
        <w:tc>
          <w:tcPr>
            <w:tcW w:type="dxa" w:w="3322"/>
          </w:tcPr>
          <w:p>
            <w:pPr>
              <w:pStyle w:val="null3"/>
            </w:pPr>
            <w:r>
              <w:rPr/>
              <w:t>应满足谈判文件中要求的质保期</w:t>
            </w:r>
          </w:p>
        </w:tc>
        <w:tc>
          <w:tcPr>
            <w:tcW w:type="dxa" w:w="1661"/>
          </w:tcPr>
          <w:p>
            <w:pPr>
              <w:pStyle w:val="null3"/>
            </w:pPr>
            <w:r>
              <w:rPr/>
              <w:t>报价一览表 报价表</w:t>
            </w:r>
          </w:p>
        </w:tc>
      </w:tr>
      <w:tr>
        <w:tc>
          <w:tcPr>
            <w:tcW w:type="dxa" w:w="831"/>
          </w:tcPr>
          <w:p>
            <w:pPr>
              <w:pStyle w:val="null3"/>
            </w:pPr>
            <w:r>
              <w:rPr/>
              <w:t>9</w:t>
            </w:r>
          </w:p>
        </w:tc>
        <w:tc>
          <w:tcPr>
            <w:tcW w:type="dxa" w:w="2492"/>
          </w:tcPr>
          <w:p>
            <w:pPr>
              <w:pStyle w:val="null3"/>
            </w:pPr>
            <w:r>
              <w:rPr/>
              <w:t>谈判有效期</w:t>
            </w:r>
          </w:p>
        </w:tc>
        <w:tc>
          <w:tcPr>
            <w:tcW w:type="dxa" w:w="3322"/>
          </w:tcPr>
          <w:p>
            <w:pPr>
              <w:pStyle w:val="null3"/>
            </w:pPr>
            <w:r>
              <w:rPr/>
              <w:t>应满足谈判文件中的规定</w:t>
            </w:r>
          </w:p>
        </w:tc>
        <w:tc>
          <w:tcPr>
            <w:tcW w:type="dxa" w:w="1661"/>
          </w:tcPr>
          <w:p>
            <w:pPr>
              <w:pStyle w:val="null3"/>
            </w:pPr>
            <w:r>
              <w:rPr/>
              <w:t>响应函</w:t>
            </w:r>
          </w:p>
        </w:tc>
      </w:tr>
    </w:tbl>
    <w:p>
      <w:pPr>
        <w:pStyle w:val="null3"/>
        <w:outlineLvl w:val="3"/>
      </w:pPr>
      <w:r>
        <w:rPr>
          <w:sz w:val="24"/>
          <w:b/>
        </w:rPr>
        <w:t>6.3.3谈判</w:t>
      </w:r>
    </w:p>
    <w:p>
      <w:pPr>
        <w:pStyle w:val="null3"/>
        <w:ind w:firstLine="480"/>
      </w:pPr>
      <w:r>
        <w:rPr/>
        <w:t>一、谈判小组按照谈判文件的规定与邀请参加谈判的供应商分别进行谈判，谈判顺序由谈判小组确定。</w:t>
      </w:r>
    </w:p>
    <w:p>
      <w:pPr>
        <w:pStyle w:val="null3"/>
        <w:ind w:firstLine="480"/>
      </w:pPr>
      <w:r>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t>六、经最终谈判后，响应文件仍有下列情况之一的，应按照无效响应处理：</w:t>
      </w:r>
    </w:p>
    <w:p>
      <w:pPr>
        <w:pStyle w:val="null3"/>
        <w:ind w:firstLine="480"/>
      </w:pPr>
      <w:r>
        <w:rPr/>
        <w:t>（一）响应文件仍不能实质响应谈判文件可实质性变动的实质性要求的；</w:t>
      </w:r>
    </w:p>
    <w:p>
      <w:pPr>
        <w:pStyle w:val="null3"/>
        <w:ind w:firstLine="480"/>
      </w:pPr>
      <w:r>
        <w:rPr/>
        <w:t>（二）响应文件中仍有谈判文件规定的其他无效响应情形的。</w:t>
      </w:r>
    </w:p>
    <w:p>
      <w:pPr>
        <w:pStyle w:val="null3"/>
        <w:ind w:firstLine="480"/>
      </w:pPr>
      <w:r>
        <w:rPr/>
        <w:t xml:space="preserve"> 七、谈判小组对供应商在谈判、评审过程中的书面交换材料，未按要求加盖电子印章或签字的，视同未提交书面交换材料。</w:t>
      </w:r>
    </w:p>
    <w:p>
      <w:pPr>
        <w:pStyle w:val="null3"/>
        <w:ind w:firstLine="480"/>
      </w:pPr>
      <w:r>
        <w:rPr/>
        <w:t xml:space="preserve"> 八、谈判小组在最终谈判后，对所有响应文件的有效性、完整性和响应程度进行审查后，确定最后报价的供应商名单。</w:t>
      </w:r>
    </w:p>
    <w:p>
      <w:pPr>
        <w:pStyle w:val="null3"/>
        <w:ind w:firstLine="480"/>
      </w:pPr>
      <w:r>
        <w:rPr/>
        <w:t xml:space="preserve"> 九、谈判过程中，谈判的任何一方不得透露与谈判有关的其他供应商的技术资料、价格和其他信息。</w:t>
      </w:r>
    </w:p>
    <w:p>
      <w:pPr>
        <w:pStyle w:val="null3"/>
        <w:ind w:firstLine="480"/>
      </w:pPr>
      <w:r>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sz w:val="24"/>
          <w:b/>
        </w:rPr>
        <w:t>6.3.4最后报价</w:t>
      </w:r>
    </w:p>
    <w:p>
      <w:pPr>
        <w:pStyle w:val="null3"/>
        <w:ind w:firstLine="480"/>
      </w:pPr>
      <w:r>
        <w:rPr/>
        <w:t>一、方案评审</w:t>
      </w:r>
    </w:p>
    <w:p>
      <w:pPr>
        <w:pStyle w:val="null3"/>
      </w:pPr>
      <w:r>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t xml:space="preserve"> 二、谈判小组开启报价后，供应商应随时关注项目电子化交易系统信息提醒，登录项目电子化交易系统，通过“等候大厅”进行报价并签章后提交。</w:t>
      </w:r>
    </w:p>
    <w:p>
      <w:pPr>
        <w:pStyle w:val="null3"/>
        <w:ind w:firstLine="480"/>
      </w:pPr>
      <w:r>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t>四、供应商最后报价属于明显低价不正当竞争的，谈判小组应按照“供应商须知前附表”第8项规定处理。</w:t>
      </w:r>
    </w:p>
    <w:p>
      <w:pPr>
        <w:pStyle w:val="null3"/>
        <w:ind w:firstLine="480"/>
      </w:pPr>
      <w:r>
        <w:rPr/>
        <w:t xml:space="preserve"> 五、供应商未在响应文件提交截止时间内提交报价或未按要求进行报价的，视为无效响应，由供应商自行承担不利后果。</w:t>
      </w:r>
    </w:p>
    <w:p>
      <w:pPr>
        <w:pStyle w:val="null3"/>
        <w:ind w:firstLine="480"/>
      </w:pPr>
      <w:r>
        <w:rPr/>
        <w:t>六、供应商未按谈判小组要求在规定时间内提交最后报价的，视为其退出谈判。</w:t>
      </w:r>
    </w:p>
    <w:p>
      <w:pPr>
        <w:pStyle w:val="null3"/>
        <w:ind w:firstLine="480"/>
      </w:pPr>
      <w:r>
        <w:rPr/>
        <w:t>七、最后报价一旦提交后，供应商不得以任何理由撤回。</w:t>
      </w:r>
    </w:p>
    <w:p>
      <w:pPr>
        <w:pStyle w:val="null3"/>
        <w:ind w:firstLine="480"/>
        <w:jc w:val="left"/>
      </w:pPr>
      <w:r>
        <w:rPr/>
        <w:t>八、最后报价为有效报价应符合下列条件：</w:t>
      </w:r>
    </w:p>
    <w:p>
      <w:pPr>
        <w:pStyle w:val="null3"/>
        <w:ind w:firstLine="480"/>
      </w:pPr>
      <w:r>
        <w:rPr/>
        <w:t>（一）供应商所提供的最后报价是在规定的时间内提交。</w:t>
      </w:r>
    </w:p>
    <w:p>
      <w:pPr>
        <w:pStyle w:val="null3"/>
        <w:ind w:firstLine="480"/>
      </w:pPr>
      <w:r>
        <w:rPr/>
        <w:t>（二）供应商的最后报价应加盖供应商（法定名称）电子印章。</w:t>
      </w:r>
    </w:p>
    <w:p>
      <w:pPr>
        <w:pStyle w:val="null3"/>
        <w:ind w:firstLine="480"/>
      </w:pPr>
      <w:r>
        <w:rPr/>
        <w:t>（三）供应商的最后报价应符合谈判文件的要求。</w:t>
      </w:r>
    </w:p>
    <w:p>
      <w:pPr>
        <w:pStyle w:val="null3"/>
        <w:ind w:firstLine="480"/>
      </w:pPr>
      <w:r>
        <w:rPr/>
        <w:t>（四）最后报价唯一，且不高于最高限价。</w:t>
      </w:r>
    </w:p>
    <w:p>
      <w:pPr>
        <w:pStyle w:val="null3"/>
        <w:ind w:firstLine="480"/>
      </w:pPr>
      <w:r>
        <w:rPr/>
        <w:t>九、最后报价出现下列情况的，不需要供应商澄清，按以下原则处理：</w:t>
      </w:r>
    </w:p>
    <w:p>
      <w:pPr>
        <w:pStyle w:val="null3"/>
        <w:ind w:firstLine="480"/>
      </w:pPr>
      <w:r>
        <w:rPr/>
        <w:t xml:space="preserve"> （一）报价中的大写金额和小写金额不一致的，以大写金额为准，但大写金额出现文字错误，导致金额无法判断的除外；</w:t>
      </w:r>
    </w:p>
    <w:p>
      <w:pPr>
        <w:pStyle w:val="null3"/>
        <w:ind w:firstLine="480"/>
      </w:pPr>
      <w:r>
        <w:rPr/>
        <w:t>（二）单价金额小数点或者百分比有明显错位的，应以总价为准，并修改单价；</w:t>
      </w:r>
    </w:p>
    <w:p>
      <w:pPr>
        <w:pStyle w:val="null3"/>
        <w:ind w:firstLine="480"/>
      </w:pPr>
      <w:r>
        <w:rPr/>
        <w:t>（三）总价金额与按单价汇总金额不一致的，以单价汇总金额计算结果为准；</w:t>
      </w:r>
    </w:p>
    <w:p>
      <w:pPr>
        <w:pStyle w:val="null3"/>
        <w:ind w:firstLine="480"/>
      </w:pPr>
      <w:r>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sz w:val="24"/>
          <w:b/>
        </w:rPr>
        <w:t>6.3.5价格扣除</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06"/>
            <w:gridSpan w:val="6"/>
          </w:tcPr>
          <w:p>
            <w:pPr>
              <w:pStyle w:val="null3"/>
            </w:pPr>
            <w:r>
              <w:rPr/>
              <w:t xml:space="preserve"> 无</w:t>
            </w:r>
          </w:p>
        </w:tc>
      </w:tr>
    </w:tbl>
    <w:p>
      <w:pPr>
        <w:pStyle w:val="null3"/>
        <w:outlineLvl w:val="3"/>
      </w:pPr>
      <w:r>
        <w:rPr>
          <w:sz w:val="24"/>
          <w:b/>
        </w:rPr>
        <w:t>6.3.6解释、澄清、说明的有关问题</w:t>
      </w:r>
    </w:p>
    <w:p>
      <w:pPr>
        <w:pStyle w:val="null3"/>
        <w:ind w:firstLine="480"/>
      </w:pPr>
      <w:r>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t>四、谈判小组应当积极履行澄清、说明或者更正的职责，不得滥用权力。</w:t>
      </w:r>
    </w:p>
    <w:p>
      <w:pPr>
        <w:pStyle w:val="null3"/>
        <w:outlineLvl w:val="3"/>
      </w:pPr>
      <w:r>
        <w:rPr>
          <w:sz w:val="24"/>
          <w:b/>
        </w:rPr>
        <w:t>6.3.7复核</w:t>
      </w:r>
    </w:p>
    <w:p>
      <w:pPr>
        <w:pStyle w:val="null3"/>
        <w:ind w:firstLine="480"/>
      </w:pPr>
      <w:r>
        <w:rPr/>
        <w:t xml:space="preserve"> 一、评审结束后，谈判小组应当进行复核，特别要对拟推荐为成交供应商的、报价最低的、响应文件被认定为无效的进行重点复核。</w:t>
      </w:r>
    </w:p>
    <w:p>
      <w:pPr>
        <w:pStyle w:val="null3"/>
        <w:ind w:firstLine="480"/>
      </w:pPr>
      <w:r>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sz w:val="24"/>
          <w:b/>
        </w:rPr>
        <w:t>6.3.8推荐成交候选供应商</w:t>
      </w:r>
    </w:p>
    <w:p>
      <w:pPr>
        <w:pStyle w:val="null3"/>
      </w:pPr>
      <w:r>
        <w:rPr/>
        <w:t>采购包1：</w:t>
      </w:r>
      <w:r>
        <w:rPr/>
        <w:t>3家；</w:t>
      </w:r>
      <w:r>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t xml:space="preserve"> 响应文件满足谈判文件全部实质性要求且最终报价最低的供应商为排名第一的成交候选供应商。</w:t>
      </w:r>
    </w:p>
    <w:p>
      <w:pPr>
        <w:pStyle w:val="null3"/>
        <w:ind w:firstLine="480"/>
        <w:jc w:val="left"/>
      </w:pPr>
      <w:r>
        <w:rPr/>
        <w:t xml:space="preserve"> 经评审的最终报价是指对供应商最后报价完成价格修正和落实政府采购政策进行的价格扣除后的报价。</w:t>
      </w:r>
    </w:p>
    <w:p>
      <w:pPr>
        <w:pStyle w:val="null3"/>
        <w:outlineLvl w:val="3"/>
      </w:pPr>
      <w:r>
        <w:rPr>
          <w:sz w:val="24"/>
          <w:b/>
        </w:rPr>
        <w:t>6.3.9编写谈判报告</w:t>
      </w:r>
    </w:p>
    <w:p>
      <w:pPr>
        <w:pStyle w:val="null3"/>
        <w:ind w:firstLine="480"/>
      </w:pPr>
      <w:r>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t>一、邀请供应商参加采购活动的具体方式和相关情况，以及参加采购活动的供应商名单；</w:t>
      </w:r>
    </w:p>
    <w:p>
      <w:pPr>
        <w:pStyle w:val="null3"/>
        <w:ind w:firstLine="480"/>
      </w:pPr>
      <w:r>
        <w:rPr/>
        <w:t>二、谈判日期和地点，评审委员会成员名单；</w:t>
      </w:r>
    </w:p>
    <w:p>
      <w:pPr>
        <w:pStyle w:val="null3"/>
        <w:ind w:firstLine="480"/>
      </w:pPr>
      <w:r>
        <w:rPr/>
        <w:t>三、参加报价的供应商名单及报价情况和未参加报价的供应商名单及原因；</w:t>
      </w:r>
    </w:p>
    <w:p>
      <w:pPr>
        <w:pStyle w:val="null3"/>
        <w:ind w:firstLine="480"/>
      </w:pPr>
      <w:r>
        <w:rPr/>
        <w:t>四、变动谈判文件实质性内容的有关资料及记录；</w:t>
      </w:r>
    </w:p>
    <w:p>
      <w:pPr>
        <w:pStyle w:val="null3"/>
        <w:ind w:firstLine="480"/>
      </w:pPr>
      <w:r>
        <w:rPr/>
        <w:t>五、供应商响应文件响应谈判文件实质性要求情况及供应商变动响应文件有关资料及记录；</w:t>
      </w:r>
    </w:p>
    <w:p>
      <w:pPr>
        <w:pStyle w:val="null3"/>
        <w:ind w:firstLine="480"/>
      </w:pPr>
      <w:r>
        <w:rPr/>
        <w:t>六、谈判情况记录和说明，包括对供应商的资格审查情况、供应商响应文件谈判情况等；</w:t>
      </w:r>
    </w:p>
    <w:p>
      <w:pPr>
        <w:pStyle w:val="null3"/>
        <w:ind w:firstLine="480"/>
      </w:pPr>
      <w:r>
        <w:rPr/>
        <w:t>七、推荐的成交候选供应商名单及理由。</w:t>
      </w:r>
    </w:p>
    <w:p>
      <w:pPr>
        <w:pStyle w:val="null3"/>
        <w:ind w:firstLine="480"/>
      </w:pPr>
      <w:r>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sz w:val="24"/>
          <w:b/>
        </w:rPr>
        <w:t>6.3.10谈判争议处理规则</w:t>
      </w:r>
    </w:p>
    <w:p>
      <w:pPr>
        <w:pStyle w:val="null3"/>
        <w:ind w:firstLine="480"/>
      </w:pPr>
      <w:r>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sz w:val="28"/>
          <w:b/>
        </w:rPr>
        <w:t>6.4终止采购活动情形</w:t>
      </w:r>
    </w:p>
    <w:p>
      <w:pPr>
        <w:pStyle w:val="null3"/>
        <w:ind w:firstLine="480"/>
      </w:pPr>
      <w:r>
        <w:rPr/>
        <w:t>有下列情形之一的，本项目终止采购活动：</w:t>
      </w:r>
    </w:p>
    <w:p>
      <w:pPr>
        <w:pStyle w:val="null3"/>
        <w:ind w:firstLine="480"/>
      </w:pPr>
      <w:r>
        <w:rPr/>
        <w:t>（一）因情况变化，不再符合规定的竞争性谈判采购方式适用情形的；</w:t>
      </w:r>
    </w:p>
    <w:p>
      <w:pPr>
        <w:pStyle w:val="null3"/>
        <w:ind w:firstLine="480"/>
      </w:pPr>
      <w:r>
        <w:rPr/>
        <w:t>（二）出现影响采购公正的违法、违规行为的；</w:t>
      </w:r>
    </w:p>
    <w:p>
      <w:pPr>
        <w:pStyle w:val="null3"/>
        <w:ind w:firstLine="480"/>
      </w:pPr>
      <w:r>
        <w:rPr/>
        <w:t>（三）提交首次响应文件的供应商不足三家的；</w:t>
      </w:r>
    </w:p>
    <w:p>
      <w:pPr>
        <w:pStyle w:val="null3"/>
        <w:ind w:firstLine="480"/>
      </w:pPr>
      <w:r>
        <w:rPr/>
        <w:t>（四）通过资格审查的供应商不足三家的；</w:t>
      </w:r>
    </w:p>
    <w:p>
      <w:pPr>
        <w:pStyle w:val="null3"/>
        <w:ind w:firstLine="480"/>
      </w:pPr>
      <w:r>
        <w:rPr/>
        <w:t>（五）通过符合性审查的供应商不足三家的；</w:t>
      </w:r>
    </w:p>
    <w:p>
      <w:pPr>
        <w:pStyle w:val="null3"/>
        <w:ind w:firstLine="480"/>
      </w:pPr>
      <w:r>
        <w:rPr/>
        <w:t>（六）提交最后报价的供应商不足三家的；</w:t>
      </w:r>
    </w:p>
    <w:p>
      <w:pPr>
        <w:pStyle w:val="null3"/>
        <w:ind w:firstLine="480"/>
      </w:pPr>
      <w:r>
        <w:rPr/>
        <w:t>（七）通过最后报价审查的供应商不足三家的。</w:t>
      </w:r>
    </w:p>
    <w:p>
      <w:pPr>
        <w:pStyle w:val="null3"/>
        <w:ind w:firstLine="480"/>
      </w:pPr>
      <w:r>
        <w:rPr/>
        <w:t>注：公开招标转竞争性谈判只有两家供应商参与的情形除外。</w:t>
      </w:r>
    </w:p>
    <w:p>
      <w:pPr>
        <w:pStyle w:val="null3"/>
        <w:outlineLvl w:val="2"/>
      </w:pPr>
      <w:r>
        <w:rPr>
          <w:sz w:val="28"/>
          <w:b/>
        </w:rPr>
        <w:t>6.5确定成交供应商</w:t>
      </w:r>
    </w:p>
    <w:p>
      <w:pPr>
        <w:pStyle w:val="null3"/>
      </w:pPr>
      <w:r>
        <w:rPr/>
        <w:t>一、评审结束后，代理机构在评审结束之日起2个工作日内将谈判报告及有关资料送交采购人确定成交供应商。</w:t>
      </w:r>
    </w:p>
    <w:p>
      <w:pPr>
        <w:pStyle w:val="null3"/>
      </w:pPr>
      <w:r>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t>三、采购人逾期未确定成交供应商且不提出异议的，视为确定谈判报告提出的排序第一的供应商为成交供应商。</w:t>
      </w:r>
    </w:p>
    <w:p>
      <w:pPr>
        <w:pStyle w:val="null3"/>
      </w:pPr>
      <w:r>
        <w:rPr/>
        <w:t>四、根据采购人确定的成交供应商，代理机构在陕西省政府采购网上发布成交结果公告，同时向成交供应商发出成交通知书。</w:t>
      </w:r>
    </w:p>
    <w:p>
      <w:pPr>
        <w:pStyle w:val="null3"/>
        <w:outlineLvl w:val="2"/>
      </w:pPr>
      <w:r>
        <w:rPr>
          <w:sz w:val="28"/>
          <w:b/>
        </w:rPr>
        <w:t>6.6谈判小组成员义务</w:t>
      </w:r>
    </w:p>
    <w:p>
      <w:pPr>
        <w:pStyle w:val="null3"/>
        <w:ind w:firstLine="480"/>
      </w:pPr>
      <w:r>
        <w:rPr/>
        <w:t>（一）遵守评审工作纪律；</w:t>
      </w:r>
    </w:p>
    <w:p>
      <w:pPr>
        <w:pStyle w:val="null3"/>
        <w:ind w:firstLine="480"/>
      </w:pPr>
      <w:r>
        <w:rPr/>
        <w:t>（二）按照客观、公正、审慎的原则，根据竞争性谈判文件规定的评审程序、评审方法和评审标准进行独立评审；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sz w:val="28"/>
          <w:b/>
        </w:rPr>
        <w:t>6.7谈判纪律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 xml:space="preserve"> （三）评审过程中，不得与外界联系，因发生不可预见情况，确实需要与外界联系的，应当在监督人员监督之下办理。</w:t>
      </w:r>
    </w:p>
    <w:p>
      <w:pPr>
        <w:pStyle w:val="null3"/>
        <w:ind w:firstLine="480"/>
      </w:pPr>
      <w:r>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t>（六）服从评审现场采购组织单位的现场秩序管理，接受评审现场监督人员的合法监督。</w:t>
      </w:r>
    </w:p>
    <w:p>
      <w:pPr>
        <w:pStyle w:val="null3"/>
        <w:ind w:firstLine="480"/>
      </w:pPr>
      <w:r>
        <w:rPr/>
        <w:t>（七）遵守有关廉洁自律规定，不得私下接触供应商，不得收受供应商及有关业务单位和个人的财物或好处，不得接受采购组织单位的请托。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第七章 响应文件格式</w:t>
      </w:r>
    </w:p>
    <w:p>
      <w:pPr>
        <w:pStyle w:val="null3"/>
        <w:ind w:firstLine="480"/>
      </w:pPr>
      <w:r>
        <w:rPr/>
        <w:t>一、本章所制响应文件格式，除格式中明确将该格式作为实质性要求的，不具有强制性。</w:t>
      </w:r>
    </w:p>
    <w:p>
      <w:pPr>
        <w:pStyle w:val="null3"/>
        <w:ind w:firstLine="480"/>
      </w:pPr>
      <w:r>
        <w:rPr/>
        <w:t>二、本章所制响应文件格式有关表格中的备注栏，由供应商根据自身响应情况作解释性说明，不作为必填项。</w:t>
      </w:r>
    </w:p>
    <w:p>
      <w:pPr>
        <w:pStyle w:val="null3"/>
      </w:pPr>
      <w:r>
        <w:rPr/>
        <w:t>采购包1：</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详见附件：报价表</w:t>
      </w:r>
    </w:p>
    <w:p>
      <w:pPr>
        <w:pStyle w:val="null3"/>
        <w:ind w:firstLine="960"/>
      </w:pPr>
      <w:r>
        <w:rPr/>
        <w:t>详见附件：报价一览表</w:t>
      </w:r>
    </w:p>
    <w:p>
      <w:pPr>
        <w:pStyle w:val="null3"/>
        <w:ind w:firstLine="960"/>
      </w:pPr>
      <w:r>
        <w:rPr/>
        <w:t>详见附件：标的清单</w:t>
      </w:r>
    </w:p>
    <w:p>
      <w:pPr>
        <w:pStyle w:val="null3"/>
        <w:ind w:firstLine="960"/>
      </w:pPr>
      <w:r>
        <w:rPr/>
        <w:t>详见附件：商务条款偏离表</w:t>
      </w:r>
    </w:p>
    <w:p>
      <w:pPr>
        <w:pStyle w:val="null3"/>
        <w:ind w:firstLine="960"/>
      </w:pPr>
      <w:r>
        <w:rPr/>
        <w:t>详见附件：供应商承诺书</w:t>
      </w:r>
    </w:p>
    <w:p>
      <w:pPr>
        <w:pStyle w:val="null3"/>
        <w:ind w:firstLine="960"/>
      </w:pPr>
      <w:r>
        <w:rPr/>
        <w:t>详见附件：资格证明文件</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详见附件：其他资料</w:t>
      </w:r>
    </w:p>
    <w:p>
      <w:pPr>
        <w:pStyle w:val="null3"/>
        <w:ind w:firstLine="960"/>
      </w:pPr>
      <w:r>
        <w:rPr/>
        <w:t>详见附件：谈判方案说明书</w:t>
      </w:r>
    </w:p>
    <w:p>
      <w:pPr>
        <w:pStyle w:val="null3"/>
      </w:pPr>
      <w:r>
        <w:rPr/>
        <w:t xml:space="preserve"> </w:t>
        <w:br/>
        <w:br w:type="page"/>
      </w:r>
    </w:p>
    <w:p>
      <w:pPr>
        <w:pStyle w:val="null3"/>
        <w:jc w:val="center"/>
        <w:outlineLvl w:val="1"/>
      </w:pPr>
      <w:r>
        <w:rPr>
          <w:sz w:val="36"/>
          <w:b/>
        </w:rPr>
        <w:t>第八章 拟签订采购合同文本</w:t>
      </w:r>
    </w:p>
    <w:p>
      <w:pPr>
        <w:pStyle w:val="null3"/>
      </w:pPr>
      <w:r>
        <w:rPr/>
        <w:t>详见附件：合同文本.docx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