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2024年市政项目补充项目详细规划</w:t>
      </w:r>
    </w:p>
    <w:p>
      <w:pPr>
        <w:pStyle w:val="null3"/>
        <w:jc w:val="center"/>
        <w:outlineLvl w:val="2"/>
      </w:pPr>
      <w:r>
        <w:rPr>
          <w:sz w:val="28"/>
          <w:b/>
        </w:rPr>
        <w:t>采购项目编号：</w:t>
      </w:r>
      <w:r>
        <w:rPr>
          <w:sz w:val="28"/>
          <w:b/>
        </w:rPr>
        <w:t>ZJZC2024103005</w:t>
      </w:r>
      <w:r>
        <w:br/>
      </w:r>
      <w:r>
        <w:br/>
      </w:r>
      <w:r>
        <w:br/>
      </w:r>
    </w:p>
    <w:p>
      <w:pPr>
        <w:pStyle w:val="null3"/>
        <w:jc w:val="center"/>
        <w:outlineLvl w:val="2"/>
      </w:pPr>
      <w:r>
        <w:rPr>
          <w:sz w:val="28"/>
          <w:b/>
        </w:rPr>
        <w:t>西安市雁塔区住房和城乡建设局</w:t>
      </w:r>
    </w:p>
    <w:p>
      <w:pPr>
        <w:pStyle w:val="null3"/>
        <w:jc w:val="center"/>
        <w:outlineLvl w:val="2"/>
      </w:pPr>
      <w:r>
        <w:rPr>
          <w:sz w:val="28"/>
          <w:b/>
        </w:rPr>
        <w:t>中建华阳建设项目管理有限责任公司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中建华阳建设项目管理有限责任公司</w:t>
      </w:r>
      <w:r>
        <w:rPr/>
        <w:t>（以下简称“代理机构”）受</w:t>
      </w:r>
      <w:r>
        <w:rPr/>
        <w:t>西安市雁塔区住房和城乡建设局</w:t>
      </w:r>
      <w:r>
        <w:rPr/>
        <w:t>委托，拟对</w:t>
      </w:r>
      <w:r>
        <w:rPr/>
        <w:t>2024年市政项目补充项目详细规划</w:t>
      </w:r>
      <w:r>
        <w:rPr/>
        <w:t>采用竞争性磋商采购方式进行采购，兹邀请供应商参加本项目的竞争性磋商。</w:t>
      </w:r>
    </w:p>
    <w:p>
      <w:pPr>
        <w:pStyle w:val="null3"/>
        <w:outlineLvl w:val="2"/>
      </w:pPr>
      <w:r>
        <w:rPr>
          <w:sz w:val="28"/>
          <w:b/>
        </w:rPr>
        <w:t>一、项目编号：</w:t>
      </w:r>
      <w:r>
        <w:rPr>
          <w:sz w:val="28"/>
          <w:b/>
        </w:rPr>
        <w:t>ZJZC2024103005</w:t>
      </w:r>
    </w:p>
    <w:p>
      <w:pPr>
        <w:pStyle w:val="null3"/>
        <w:outlineLvl w:val="2"/>
      </w:pPr>
      <w:r>
        <w:rPr>
          <w:sz w:val="28"/>
          <w:b/>
        </w:rPr>
        <w:t>二、项目名称：</w:t>
      </w:r>
      <w:r>
        <w:rPr>
          <w:sz w:val="28"/>
          <w:b/>
        </w:rPr>
        <w:t>2024年市政项目补充项目详细规划</w:t>
      </w:r>
    </w:p>
    <w:p>
      <w:pPr>
        <w:pStyle w:val="null3"/>
        <w:outlineLvl w:val="2"/>
      </w:pPr>
      <w:r>
        <w:rPr>
          <w:sz w:val="28"/>
          <w:b/>
        </w:rPr>
        <w:t>三、磋商项目简介</w:t>
      </w:r>
    </w:p>
    <w:p>
      <w:pPr>
        <w:pStyle w:val="null3"/>
        <w:ind w:firstLine="480"/>
      </w:pPr>
      <w:r>
        <w:rPr/>
        <w:t>2024年市政项目补充项目详细规划，包含4条市政道路详细规划，结合规划道路实际情况，充分落实上位规划传导要求，衔接道路工程设计，对道路工程的交通功能、市政管线深入研究，编制市政道路详细规划。具体内容详见本项目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采购包1（2024年市政项目补充项目详细规划）：属于专门面向中小企业采购。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2、资质：供应商须具备城乡规划编制乙级及以上资质。</w:t>
      </w:r>
    </w:p>
    <w:p>
      <w:pPr>
        <w:pStyle w:val="null3"/>
      </w:pPr>
      <w:r>
        <w:rPr/>
        <w:t>3、财务状况报告：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t>4、书面声明：提供书面声明，包括声明具有履行合同所必需的设备和专业技术能力；未为本项目提供整体设计、规范编制或者项目管理、监理、检测等服务。</w:t>
      </w:r>
    </w:p>
    <w:p>
      <w:pPr>
        <w:pStyle w:val="null3"/>
      </w:pPr>
      <w:r>
        <w:rPr/>
        <w:t>5、社保缴纳证明：提供递交响应文件截止之日前一年内任意一个月的社会保障资金缴存单据或社保机构开具的社会保险参保缴费情况证明。依法不需要缴纳社会保障资金的供应商应提供相关文件证明。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t>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t>7、近三年无重大违法、违纪书面声明：提供《近三年无重大违法、违纪书面声明》。</w:t>
      </w:r>
    </w:p>
    <w:p>
      <w:pPr>
        <w:pStyle w:val="null3"/>
      </w:pPr>
      <w:r>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9、控股管理关系：提供直接控股和管理关系清单。若与其他供应商存在单位负责人为同一人或者存在直接控股、管理关系的，则响应无效。</w:t>
      </w:r>
    </w:p>
    <w:p>
      <w:pPr>
        <w:pStyle w:val="null3"/>
      </w:pPr>
      <w:r>
        <w:rPr/>
        <w:t>10、法定代表人授权委托书：法定代表人参加磋商的，须提供本人身份证复印件（附在资格证明文件中）；法定代表人授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t>11、本项目不接受联合体磋商，不允许分包：供应商应提供《非联合体不分包磋商声明》，视为独立磋商，不分包。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西安市雁塔区住房和城乡建设局</w:t>
      </w:r>
    </w:p>
    <w:p>
      <w:pPr>
        <w:pStyle w:val="null3"/>
      </w:pPr>
      <w:r>
        <w:rPr/>
        <w:t xml:space="preserve"> 地址： </w:t>
      </w:r>
      <w:r>
        <w:rPr/>
        <w:t>西安市翠华路146号</w:t>
      </w:r>
    </w:p>
    <w:p>
      <w:pPr>
        <w:pStyle w:val="null3"/>
      </w:pPr>
      <w:r>
        <w:rPr/>
        <w:t xml:space="preserve"> 邮编： </w:t>
      </w:r>
      <w:r>
        <w:rPr/>
        <w:t>710061</w:t>
      </w:r>
    </w:p>
    <w:p>
      <w:pPr>
        <w:pStyle w:val="null3"/>
      </w:pPr>
      <w:r>
        <w:rPr/>
        <w:t xml:space="preserve"> 联系人： </w:t>
      </w:r>
      <w:r>
        <w:rPr/>
        <w:t>西安市雁塔区住房和城乡建设局经办</w:t>
      </w:r>
    </w:p>
    <w:p>
      <w:pPr>
        <w:pStyle w:val="null3"/>
      </w:pPr>
      <w:r>
        <w:rPr/>
        <w:t xml:space="preserve"> 联系电话： </w:t>
      </w:r>
      <w:r>
        <w:rPr/>
        <w:t>029-83692920</w:t>
      </w:r>
    </w:p>
    <w:p>
      <w:pPr>
        <w:pStyle w:val="null3"/>
        <w:outlineLvl w:val="3"/>
      </w:pPr>
      <w:r>
        <w:rPr>
          <w:sz w:val="24"/>
          <w:b/>
        </w:rPr>
        <w:t>代理机构：</w:t>
      </w:r>
      <w:r>
        <w:rPr>
          <w:sz w:val="24"/>
          <w:b/>
        </w:rPr>
        <w:t>中建华阳建设项目管理有限责任公司</w:t>
      </w:r>
    </w:p>
    <w:p>
      <w:pPr>
        <w:pStyle w:val="null3"/>
      </w:pPr>
      <w:r>
        <w:rPr/>
        <w:t xml:space="preserve"> 地址： </w:t>
      </w:r>
      <w:r>
        <w:rPr/>
        <w:t>陕西省西安市新城区陕西省西安市新城区长乐中路242号金花新都汇A座写字楼24层06室</w:t>
      </w:r>
    </w:p>
    <w:p>
      <w:pPr>
        <w:pStyle w:val="null3"/>
      </w:pPr>
      <w:r>
        <w:rPr/>
        <w:t xml:space="preserve"> 邮编： </w:t>
      </w:r>
      <w:r>
        <w:rPr/>
        <w:t>710032</w:t>
      </w:r>
    </w:p>
    <w:p>
      <w:pPr>
        <w:pStyle w:val="null3"/>
      </w:pPr>
      <w:r>
        <w:rPr/>
        <w:t xml:space="preserve"> 联系人： </w:t>
      </w:r>
      <w:r>
        <w:rPr/>
        <w:t>徐睿、董喜峰、孙英</w:t>
      </w:r>
    </w:p>
    <w:p>
      <w:pPr>
        <w:pStyle w:val="null3"/>
      </w:pPr>
      <w:r>
        <w:rPr/>
        <w:t xml:space="preserve"> 联系电话： </w:t>
      </w:r>
      <w:r>
        <w:rPr/>
        <w:t>17792803190</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代理服务费收费标准：招标代理服务费收取按照国家计委颁布的《招标代理服务收费管理暂行办法》（计价格[2002]1980号）和（发改办价格[2003]857号）收费标准计取。若代理服务费计算后不足6000元按6000元计取。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中建华阳建设项目管理有限责任公司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中建华阳建设项目管理有限责任公司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中建华阳建设项目管理有限责任公司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符合国家、省、市及行业相关规定，满足采购人要求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中建华阳建设项目管理有限责任公司</w:t>
      </w:r>
      <w:r>
        <w:rPr/>
        <w:t xml:space="preserve"> 负责答复；供应商对除采购需求外的采购文件的询问、质疑由</w:t>
      </w:r>
      <w:r>
        <w:rPr/>
        <w:t>中建华阳建设项目管理有限责任公司</w:t>
      </w:r>
      <w:r>
        <w:rPr/>
        <w:t xml:space="preserve"> 负责答复；供应商对采购过程、采购结果的询问、质疑由 </w:t>
      </w:r>
      <w:r>
        <w:rPr/>
        <w:t>中建华阳建设项目管理有限责任公司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联系人：徐睿、董喜峰、孙英</w:t>
      </w:r>
    </w:p>
    <w:p>
      <w:pPr>
        <w:pStyle w:val="null3"/>
      </w:pPr>
      <w:r>
        <w:rPr/>
        <w:t>联系电话：17792803190</w:t>
      </w:r>
    </w:p>
    <w:p>
      <w:pPr>
        <w:pStyle w:val="null3"/>
      </w:pPr>
      <w:r>
        <w:rPr/>
        <w:t>地址：陕西省西安市新城区长乐中路242号金花新都汇A座写字楼24层06室</w:t>
      </w:r>
    </w:p>
    <w:p>
      <w:pPr>
        <w:pStyle w:val="null3"/>
      </w:pPr>
      <w:r>
        <w:rPr/>
        <w:t>邮编：710032</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市政项目补充项目详细规划，包含4条市政道路详细规划，结合规划道路实际情况，充分落实上位规划传导要求，衔接道路工程设计，对道路工程的交通功能、市政管线深入研究，编制市政道路详细规划。具体内容详见本项目采购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详细规划</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标的名称：详细规划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仿宋" w:hAnsi="仿宋" w:cs="仿宋" w:eastAsia="仿宋"/>
                <w:sz w:val="24"/>
                <w:b/>
              </w:rPr>
              <w:t>一、项目概况</w:t>
            </w:r>
          </w:p>
          <w:p>
            <w:pPr>
              <w:pStyle w:val="null3"/>
              <w:ind w:firstLine="480"/>
              <w:jc w:val="both"/>
            </w:pPr>
            <w:r>
              <w:rPr>
                <w:rFonts w:ascii="仿宋" w:hAnsi="仿宋" w:cs="仿宋" w:eastAsia="仿宋"/>
                <w:sz w:val="24"/>
              </w:rPr>
              <w:t>项目名称：</w:t>
            </w:r>
            <w:r>
              <w:rPr>
                <w:rFonts w:ascii="仿宋" w:hAnsi="仿宋" w:cs="仿宋" w:eastAsia="仿宋"/>
                <w:sz w:val="24"/>
              </w:rPr>
              <w:t>2024年市政项目补充项目详细规划</w:t>
            </w:r>
          </w:p>
          <w:p>
            <w:pPr>
              <w:pStyle w:val="null3"/>
              <w:ind w:firstLine="480"/>
              <w:jc w:val="both"/>
            </w:pPr>
            <w:r>
              <w:rPr>
                <w:rFonts w:ascii="仿宋" w:hAnsi="仿宋" w:cs="仿宋" w:eastAsia="仿宋"/>
                <w:sz w:val="24"/>
              </w:rPr>
              <w:t>采购预算：</w:t>
            </w:r>
            <w:r>
              <w:rPr>
                <w:rFonts w:ascii="仿宋" w:hAnsi="仿宋" w:cs="仿宋" w:eastAsia="仿宋"/>
                <w:sz w:val="24"/>
              </w:rPr>
              <w:t>40</w:t>
            </w:r>
            <w:r>
              <w:rPr>
                <w:rFonts w:ascii="仿宋" w:hAnsi="仿宋" w:cs="仿宋" w:eastAsia="仿宋"/>
                <w:sz w:val="24"/>
              </w:rPr>
              <w:t>万元</w:t>
            </w:r>
          </w:p>
          <w:p>
            <w:pPr>
              <w:pStyle w:val="null3"/>
              <w:ind w:firstLine="480"/>
              <w:jc w:val="both"/>
            </w:pPr>
            <w:r>
              <w:rPr>
                <w:rFonts w:ascii="仿宋" w:hAnsi="仿宋" w:cs="仿宋" w:eastAsia="仿宋"/>
                <w:sz w:val="24"/>
              </w:rPr>
              <w:t>项目规模：西安市雁塔区</w:t>
            </w:r>
            <w:r>
              <w:rPr>
                <w:rFonts w:ascii="仿宋" w:hAnsi="仿宋" w:cs="仿宋" w:eastAsia="仿宋"/>
                <w:sz w:val="24"/>
              </w:rPr>
              <w:t>2024年</w:t>
            </w:r>
            <w:r>
              <w:rPr>
                <w:rFonts w:ascii="仿宋" w:hAnsi="仿宋" w:cs="仿宋" w:eastAsia="仿宋"/>
                <w:sz w:val="24"/>
              </w:rPr>
              <w:t>4</w:t>
            </w:r>
            <w:r>
              <w:rPr>
                <w:rFonts w:ascii="仿宋" w:hAnsi="仿宋" w:cs="仿宋" w:eastAsia="仿宋"/>
                <w:sz w:val="24"/>
              </w:rPr>
              <w:t>条市政道路详细规划。</w:t>
            </w:r>
          </w:p>
          <w:p>
            <w:pPr>
              <w:pStyle w:val="null3"/>
              <w:ind w:firstLine="482"/>
              <w:jc w:val="both"/>
            </w:pPr>
            <w:r>
              <w:rPr>
                <w:rFonts w:ascii="仿宋" w:hAnsi="仿宋" w:cs="仿宋" w:eastAsia="仿宋"/>
                <w:sz w:val="24"/>
                <w:b/>
              </w:rPr>
              <w:t>二、服务内容</w:t>
            </w:r>
            <w:r>
              <w:rPr>
                <w:rFonts w:ascii="仿宋" w:hAnsi="仿宋" w:cs="仿宋" w:eastAsia="仿宋"/>
                <w:sz w:val="24"/>
              </w:rPr>
              <w:t>（包括工作区域、工作内容等）</w:t>
            </w:r>
          </w:p>
          <w:p>
            <w:pPr>
              <w:pStyle w:val="null3"/>
              <w:ind w:firstLine="480"/>
              <w:jc w:val="both"/>
            </w:pPr>
            <w:r>
              <w:rPr>
                <w:rFonts w:ascii="仿宋" w:hAnsi="仿宋" w:cs="仿宋" w:eastAsia="仿宋"/>
                <w:sz w:val="24"/>
              </w:rPr>
              <w:t>项目位于西安市雁塔区，涉及大雁塔街道、杜城街道范围，共计</w:t>
            </w:r>
            <w:r>
              <w:rPr>
                <w:rFonts w:ascii="仿宋" w:hAnsi="仿宋" w:cs="仿宋" w:eastAsia="仿宋"/>
                <w:sz w:val="24"/>
              </w:rPr>
              <w:t>4</w:t>
            </w:r>
            <w:r>
              <w:rPr>
                <w:rFonts w:ascii="仿宋" w:hAnsi="仿宋" w:cs="仿宋" w:eastAsia="仿宋"/>
                <w:sz w:val="24"/>
              </w:rPr>
              <w:t>条市政道路。</w:t>
            </w:r>
          </w:p>
          <w:tbl>
            <w:tblPr>
              <w:tblBorders>
                <w:top w:val="none" w:color="000000" w:sz="4"/>
                <w:left w:val="none" w:color="000000" w:sz="4"/>
                <w:bottom w:val="none" w:color="000000" w:sz="4"/>
                <w:right w:val="none" w:color="000000" w:sz="4"/>
                <w:insideH w:val="none"/>
                <w:insideV w:val="none"/>
              </w:tblBorders>
            </w:tblPr>
            <w:tblGrid>
              <w:gridCol w:w="419"/>
              <w:gridCol w:w="3001"/>
              <w:gridCol w:w="1037"/>
            </w:tblGrid>
            <w:tr>
              <w:tc>
                <w:tcPr>
                  <w:tcW w:type="dxa" w:w="4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序号</w:t>
                  </w:r>
                </w:p>
              </w:tc>
              <w:tc>
                <w:tcPr>
                  <w:tcW w:type="dxa" w:w="30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市政道路（含管线）项目名称</w:t>
                  </w:r>
                </w:p>
              </w:tc>
              <w:tc>
                <w:tcPr>
                  <w:tcW w:type="dxa" w:w="10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线路全长（</w:t>
                  </w:r>
                  <w:r>
                    <w:rPr>
                      <w:rFonts w:ascii="仿宋" w:hAnsi="仿宋" w:cs="仿宋" w:eastAsia="仿宋"/>
                      <w:sz w:val="24"/>
                    </w:rPr>
                    <w:t>m）</w:t>
                  </w: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1</w:t>
                  </w:r>
                </w:p>
              </w:tc>
              <w:tc>
                <w:tcPr>
                  <w:tcW w:type="dxa" w:w="30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沣经三路（雁长界</w:t>
                  </w:r>
                  <w:r>
                    <w:rPr>
                      <w:rFonts w:ascii="仿宋" w:hAnsi="仿宋" w:cs="仿宋" w:eastAsia="仿宋"/>
                      <w:sz w:val="24"/>
                    </w:rPr>
                    <w:t>—樱花二路）</w:t>
                  </w:r>
                </w:p>
              </w:tc>
              <w:tc>
                <w:tcPr>
                  <w:tcW w:type="dxa" w:w="10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1</w:t>
                  </w:r>
                  <w:r>
                    <w:rPr>
                      <w:rFonts w:ascii="仿宋" w:hAnsi="仿宋" w:cs="仿宋" w:eastAsia="仿宋"/>
                      <w:sz w:val="24"/>
                    </w:rPr>
                    <w:t>04</w:t>
                  </w: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2</w:t>
                  </w:r>
                </w:p>
              </w:tc>
              <w:tc>
                <w:tcPr>
                  <w:tcW w:type="dxa" w:w="30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青龙南</w:t>
                  </w:r>
                  <w:r>
                    <w:rPr>
                      <w:rFonts w:ascii="仿宋" w:hAnsi="仿宋" w:cs="仿宋" w:eastAsia="仿宋"/>
                      <w:sz w:val="24"/>
                    </w:rPr>
                    <w:t>路</w:t>
                  </w:r>
                  <w:r>
                    <w:rPr>
                      <w:rFonts w:ascii="仿宋" w:hAnsi="仿宋" w:cs="仿宋" w:eastAsia="仿宋"/>
                      <w:sz w:val="24"/>
                    </w:rPr>
                    <w:t>东段</w:t>
                  </w:r>
                  <w:r>
                    <w:rPr>
                      <w:rFonts w:ascii="仿宋" w:hAnsi="仿宋" w:cs="仿宋" w:eastAsia="仿宋"/>
                      <w:sz w:val="24"/>
                    </w:rPr>
                    <w:t>（</w:t>
                  </w:r>
                  <w:r>
                    <w:rPr>
                      <w:rFonts w:ascii="仿宋" w:hAnsi="仿宋" w:cs="仿宋" w:eastAsia="仿宋"/>
                      <w:sz w:val="24"/>
                    </w:rPr>
                    <w:t>雁翔</w:t>
                  </w:r>
                  <w:r>
                    <w:rPr>
                      <w:rFonts w:ascii="仿宋" w:hAnsi="仿宋" w:cs="仿宋" w:eastAsia="仿宋"/>
                      <w:sz w:val="24"/>
                    </w:rPr>
                    <w:t>路</w:t>
                  </w:r>
                  <w:r>
                    <w:rPr>
                      <w:rFonts w:ascii="仿宋" w:hAnsi="仿宋" w:cs="仿宋" w:eastAsia="仿宋"/>
                      <w:sz w:val="24"/>
                    </w:rPr>
                    <w:t>-</w:t>
                  </w:r>
                  <w:r>
                    <w:rPr>
                      <w:rFonts w:ascii="仿宋" w:hAnsi="仿宋" w:cs="仿宋" w:eastAsia="仿宋"/>
                      <w:sz w:val="24"/>
                    </w:rPr>
                    <w:t>经九</w:t>
                  </w:r>
                  <w:r>
                    <w:rPr>
                      <w:rFonts w:ascii="仿宋" w:hAnsi="仿宋" w:cs="仿宋" w:eastAsia="仿宋"/>
                      <w:sz w:val="24"/>
                    </w:rPr>
                    <w:t>路）</w:t>
                  </w:r>
                </w:p>
              </w:tc>
              <w:tc>
                <w:tcPr>
                  <w:tcW w:type="dxa" w:w="10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951</w:t>
                  </w: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3</w:t>
                  </w:r>
                </w:p>
              </w:tc>
              <w:tc>
                <w:tcPr>
                  <w:tcW w:type="dxa" w:w="30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青龙南</w:t>
                  </w:r>
                  <w:r>
                    <w:rPr>
                      <w:rFonts w:ascii="仿宋" w:hAnsi="仿宋" w:cs="仿宋" w:eastAsia="仿宋"/>
                      <w:sz w:val="24"/>
                    </w:rPr>
                    <w:t>路</w:t>
                  </w:r>
                  <w:r>
                    <w:rPr>
                      <w:rFonts w:ascii="仿宋" w:hAnsi="仿宋" w:cs="仿宋" w:eastAsia="仿宋"/>
                      <w:sz w:val="24"/>
                    </w:rPr>
                    <w:t>西段</w:t>
                  </w:r>
                  <w:r>
                    <w:rPr>
                      <w:rFonts w:ascii="仿宋" w:hAnsi="仿宋" w:cs="仿宋" w:eastAsia="仿宋"/>
                      <w:sz w:val="24"/>
                    </w:rPr>
                    <w:t>（</w:t>
                  </w:r>
                  <w:r>
                    <w:rPr>
                      <w:rFonts w:ascii="仿宋" w:hAnsi="仿宋" w:cs="仿宋" w:eastAsia="仿宋"/>
                      <w:sz w:val="24"/>
                    </w:rPr>
                    <w:t>西延路</w:t>
                  </w:r>
                  <w:r>
                    <w:rPr>
                      <w:rFonts w:ascii="仿宋" w:hAnsi="仿宋" w:cs="仿宋" w:eastAsia="仿宋"/>
                      <w:sz w:val="24"/>
                    </w:rPr>
                    <w:t>-</w:t>
                  </w:r>
                  <w:r>
                    <w:rPr>
                      <w:rFonts w:ascii="仿宋" w:hAnsi="仿宋" w:cs="仿宋" w:eastAsia="仿宋"/>
                      <w:sz w:val="24"/>
                    </w:rPr>
                    <w:t>经九</w:t>
                  </w:r>
                  <w:r>
                    <w:rPr>
                      <w:rFonts w:ascii="仿宋" w:hAnsi="仿宋" w:cs="仿宋" w:eastAsia="仿宋"/>
                      <w:sz w:val="24"/>
                    </w:rPr>
                    <w:t>路）</w:t>
                  </w:r>
                </w:p>
              </w:tc>
              <w:tc>
                <w:tcPr>
                  <w:tcW w:type="dxa" w:w="10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919</w:t>
                  </w: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4</w:t>
                  </w:r>
                </w:p>
              </w:tc>
              <w:tc>
                <w:tcPr>
                  <w:tcW w:type="dxa" w:w="30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省武警家属院东侧路</w:t>
                  </w:r>
                  <w:r>
                    <w:rPr>
                      <w:rFonts w:ascii="仿宋" w:hAnsi="仿宋" w:cs="仿宋" w:eastAsia="仿宋"/>
                      <w:sz w:val="24"/>
                    </w:rPr>
                    <w:t>（</w:t>
                  </w:r>
                  <w:r>
                    <w:rPr>
                      <w:rFonts w:ascii="仿宋" w:hAnsi="仿宋" w:cs="仿宋" w:eastAsia="仿宋"/>
                      <w:sz w:val="24"/>
                    </w:rPr>
                    <w:t>西影路</w:t>
                  </w:r>
                  <w:r>
                    <w:rPr>
                      <w:rFonts w:ascii="仿宋" w:hAnsi="仿宋" w:cs="仿宋" w:eastAsia="仿宋"/>
                      <w:sz w:val="24"/>
                    </w:rPr>
                    <w:t>-青龙南</w:t>
                  </w:r>
                  <w:r>
                    <w:rPr>
                      <w:rFonts w:ascii="仿宋" w:hAnsi="仿宋" w:cs="仿宋" w:eastAsia="仿宋"/>
                      <w:sz w:val="24"/>
                    </w:rPr>
                    <w:t>路</w:t>
                  </w:r>
                  <w:r>
                    <w:rPr>
                      <w:rFonts w:ascii="仿宋" w:hAnsi="仿宋" w:cs="仿宋" w:eastAsia="仿宋"/>
                      <w:sz w:val="24"/>
                    </w:rPr>
                    <w:t>西段</w:t>
                  </w:r>
                  <w:r>
                    <w:rPr>
                      <w:rFonts w:ascii="仿宋" w:hAnsi="仿宋" w:cs="仿宋" w:eastAsia="仿宋"/>
                      <w:sz w:val="24"/>
                    </w:rPr>
                    <w:t>）</w:t>
                  </w:r>
                </w:p>
              </w:tc>
              <w:tc>
                <w:tcPr>
                  <w:tcW w:type="dxa" w:w="10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290</w:t>
                  </w:r>
                </w:p>
              </w:tc>
            </w:tr>
          </w:tbl>
          <w:p>
            <w:pPr>
              <w:pStyle w:val="null3"/>
              <w:ind w:firstLine="480"/>
              <w:jc w:val="both"/>
            </w:pPr>
            <w:r>
              <w:rPr>
                <w:rFonts w:ascii="仿宋" w:hAnsi="仿宋" w:cs="仿宋" w:eastAsia="仿宋"/>
                <w:sz w:val="24"/>
              </w:rPr>
              <w:t>项目结合规划道路实际情况，充分落实上位规划传导要求，衔接道路工程设计，对道路工程的交通功能、市政管线深入研究，编制市政道路详细规划。</w:t>
            </w:r>
          </w:p>
          <w:p>
            <w:pPr>
              <w:pStyle w:val="null3"/>
              <w:ind w:firstLine="482"/>
              <w:jc w:val="both"/>
            </w:pPr>
            <w:r>
              <w:rPr>
                <w:rFonts w:ascii="仿宋" w:hAnsi="仿宋" w:cs="仿宋" w:eastAsia="仿宋"/>
                <w:sz w:val="24"/>
                <w:b/>
              </w:rPr>
              <w:t>三、技术要求</w:t>
            </w:r>
          </w:p>
          <w:p>
            <w:pPr>
              <w:pStyle w:val="null3"/>
              <w:ind w:firstLine="480"/>
              <w:jc w:val="both"/>
            </w:pPr>
            <w:r>
              <w:rPr>
                <w:rFonts w:ascii="仿宋" w:hAnsi="仿宋" w:cs="仿宋" w:eastAsia="仿宋"/>
                <w:sz w:val="24"/>
              </w:rPr>
              <w:t>本项目规划设计必须执行中华人民共和国现行规划行业设计规范、规定、规程、条例、标准等。</w:t>
            </w:r>
          </w:p>
          <w:p>
            <w:pPr>
              <w:pStyle w:val="null3"/>
              <w:ind w:firstLine="480"/>
              <w:jc w:val="both"/>
            </w:pPr>
            <w:r>
              <w:rPr>
                <w:rFonts w:ascii="仿宋" w:hAnsi="仿宋" w:cs="仿宋" w:eastAsia="仿宋"/>
                <w:sz w:val="24"/>
              </w:rPr>
              <w:t>本项目规划设计文件应符合行业及地方通用标准和惯例的要求。</w:t>
            </w:r>
          </w:p>
          <w:p>
            <w:pPr>
              <w:pStyle w:val="null3"/>
              <w:ind w:firstLine="482"/>
              <w:jc w:val="both"/>
            </w:pPr>
            <w:r>
              <w:rPr>
                <w:rFonts w:ascii="仿宋" w:hAnsi="仿宋" w:cs="仿宋" w:eastAsia="仿宋"/>
                <w:sz w:val="24"/>
                <w:b/>
              </w:rPr>
              <w:t>四、服务要求</w:t>
            </w:r>
          </w:p>
          <w:p>
            <w:pPr>
              <w:pStyle w:val="null3"/>
              <w:ind w:firstLine="480"/>
              <w:jc w:val="both"/>
            </w:pPr>
            <w:r>
              <w:rPr>
                <w:rFonts w:ascii="仿宋" w:hAnsi="仿宋" w:cs="仿宋" w:eastAsia="仿宋"/>
                <w:sz w:val="24"/>
              </w:rPr>
              <w:t>充分掌握规划设计项目现状情况，保证项目调查与研究，严格按照规范要求进行规划成果编制。</w:t>
            </w:r>
          </w:p>
          <w:p>
            <w:pPr>
              <w:pStyle w:val="null3"/>
              <w:ind w:firstLine="480"/>
              <w:jc w:val="both"/>
            </w:pPr>
            <w:r>
              <w:rPr>
                <w:rFonts w:ascii="仿宋" w:hAnsi="仿宋" w:cs="仿宋" w:eastAsia="仿宋"/>
                <w:sz w:val="24"/>
              </w:rPr>
              <w:t>服务周期：合同签订后</w:t>
            </w:r>
            <w:r>
              <w:rPr>
                <w:rFonts w:ascii="仿宋" w:hAnsi="仿宋" w:cs="仿宋" w:eastAsia="仿宋"/>
                <w:sz w:val="24"/>
              </w:rPr>
              <w:t>90个日历天。</w:t>
            </w:r>
          </w:p>
          <w:p>
            <w:pPr>
              <w:pStyle w:val="null3"/>
              <w:ind w:firstLine="482"/>
              <w:jc w:val="both"/>
            </w:pPr>
            <w:r>
              <w:rPr>
                <w:rFonts w:ascii="仿宋" w:hAnsi="仿宋" w:cs="仿宋" w:eastAsia="仿宋"/>
                <w:sz w:val="24"/>
                <w:b/>
                <w:color w:val="000000"/>
              </w:rPr>
              <w:t>五、付款方式</w:t>
            </w:r>
          </w:p>
          <w:p>
            <w:pPr>
              <w:pStyle w:val="null3"/>
              <w:ind w:firstLine="480"/>
              <w:jc w:val="both"/>
            </w:pPr>
            <w:r>
              <w:rPr>
                <w:rFonts w:ascii="仿宋" w:hAnsi="仿宋" w:cs="仿宋" w:eastAsia="仿宋"/>
                <w:sz w:val="24"/>
              </w:rPr>
              <w:t>1、第一阶段费用：自本合同签订后五日内，甲方应支付总费用的50%；</w:t>
            </w:r>
          </w:p>
          <w:p>
            <w:pPr>
              <w:pStyle w:val="null3"/>
              <w:ind w:firstLine="480"/>
              <w:jc w:val="both"/>
            </w:pPr>
            <w:r>
              <w:rPr>
                <w:rFonts w:ascii="仿宋" w:hAnsi="仿宋" w:cs="仿宋" w:eastAsia="仿宋"/>
                <w:sz w:val="24"/>
              </w:rPr>
              <w:t>2、第二阶段费用：乙方向甲方提交技术成果当日，甲方向乙方支付至总费用的80%；</w:t>
            </w:r>
          </w:p>
          <w:p>
            <w:pPr>
              <w:pStyle w:val="null3"/>
              <w:ind w:firstLine="480"/>
              <w:jc w:val="both"/>
            </w:pPr>
            <w:r>
              <w:rPr>
                <w:rFonts w:ascii="仿宋" w:hAnsi="仿宋" w:cs="仿宋" w:eastAsia="仿宋"/>
                <w:sz w:val="24"/>
              </w:rPr>
              <w:t>3、第三阶段费用：3个月后，甲方向乙方支付至剩余的20%。</w:t>
            </w:r>
          </w:p>
        </w:tc>
      </w:tr>
    </w:tbl>
    <w:p>
      <w:pPr>
        <w:pStyle w:val="null3"/>
        <w:outlineLvl w:val="2"/>
      </w:pPr>
      <w:r>
        <w:rPr>
          <w:sz w:val="28"/>
          <w:b/>
        </w:rPr>
        <w:t>3.2.3人员配置要求</w:t>
      </w:r>
    </w:p>
    <w:p>
      <w:pPr>
        <w:pStyle w:val="null3"/>
      </w:pPr>
      <w:r>
        <w:rPr/>
        <w:t>采购包1：</w:t>
      </w:r>
    </w:p>
    <w:p>
      <w:pPr>
        <w:pStyle w:val="null3"/>
      </w:pPr>
      <w:r>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sz w:val="28"/>
          <w:b/>
        </w:rPr>
        <w:t>3.2.4设施设备要求</w:t>
      </w:r>
    </w:p>
    <w:p>
      <w:pPr>
        <w:pStyle w:val="null3"/>
      </w:pPr>
      <w:r>
        <w:rPr/>
        <w:t>采购包1：</w:t>
      </w:r>
    </w:p>
    <w:p>
      <w:pPr>
        <w:pStyle w:val="null3"/>
      </w:pPr>
      <w:r>
        <w:rPr/>
        <w:t>提供具有履行本合同所必需的设备。</w:t>
      </w:r>
    </w:p>
    <w:p>
      <w:pPr>
        <w:pStyle w:val="null3"/>
        <w:outlineLvl w:val="2"/>
      </w:pPr>
      <w:r>
        <w:rPr>
          <w:sz w:val="28"/>
          <w:b/>
        </w:rPr>
        <w:t>3.2.5其他要求</w:t>
      </w:r>
    </w:p>
    <w:p>
      <w:pPr>
        <w:pStyle w:val="null3"/>
      </w:pPr>
      <w:r>
        <w:rPr/>
        <w:t>采购包1：</w:t>
      </w:r>
    </w:p>
    <w:p>
      <w:pPr>
        <w:pStyle w:val="null3"/>
      </w:pPr>
      <w:r>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合同签订后90个日历天。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符合国家、省、市及行业相关规定，满足采购人要求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合同签订后五日内</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乙方向甲方提交技术成果当日</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第二次付款3个月后</w:t>
      </w:r>
      <w:r>
        <w:rPr/>
        <w:t xml:space="preserve"> ，达到付款条件起 </w:t>
      </w:r>
      <w:r>
        <w:rPr/>
        <w:t>7</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（一）违约责任及其他约定事项 1.在合同履行期间，甲方要求终止或解除合同，乙方未开始设计工作的，无条件全额退还甲方已付的费用；已开始设计工作的，甲方应根据乙方已进行的实际工作量据实结算，乙方应提供费用明细清单，甲方审核无误后5个工作日内支付给乙方。 2.甲方应按本合同第八条规定的金额和时间向乙方支付设计费用，如甲方未按约定时间足额支付设计费用的，应向乙方偿付当期应支付费用的2‰作为逾期违约金。因乙方原因导致甲方迟延付款的，甲方不承担任何违约责任。 3.甲方变更委托项目、规模、条件，或因提交的资料错误，或所提资料作重大修改，以致造成乙方需返工时，除非甲、乙双方需另行协商签订补充合同（或另订合同）或重新明确有关条款外，甲方应按乙方所耗工作量向乙方支付返工费，返工费具体金额经双方另行协商并书面确认。 4.因乙方责任造成工作重大返工或重作的，所需要额外支出的费用由乙方全部承担，甲方不承担任何费用。 5.乙方由于自身过错，延误按本合同规定的规划设计成果交付时间，甲方有权督促乙方在指定期限内完成，如在甲方指定期限内乙方仍不能及时提交工作成果的，每延误一天，应减收当期应收费用的2‰作为延误违约金，甲方有权在未支付的费用中直接扣除，未支付的费用不足以扣除的，乙方应在3个工作日内支付给甲方。 6.合同生效后，非因甲方原因乙方要求终止或解除合同的，乙方应向甲方退回全部已收款项，并按照本合同全部金额的30%承担违约金。 7.如果本合同因非乙方过错在执行中途被终止，乙方应对终止前的阶段性设计文件的准确性及可行性负责。 8.因不可抗力导致本合同无法履行或因不可抗力造成不良后果及损失的，甲乙双方对此互不承担违约责任，各自承担己方损失部分。但是遭受不可抗力的一方应及时通知另一方，并提供相应证明。 （二）争议的解决方式 双方因履行本合同而发生的争议，应协商、调解解决。协商、调解不成的，依法向甲方所在地人民法院起诉。</w:t>
      </w:r>
    </w:p>
    <w:p>
      <w:pPr>
        <w:pStyle w:val="null3"/>
        <w:outlineLvl w:val="2"/>
      </w:pPr>
      <w:r>
        <w:rPr>
          <w:sz w:val="28"/>
          <w:b/>
        </w:rPr>
        <w:t>3.4其他要求</w:t>
      </w:r>
    </w:p>
    <w:p>
      <w:pPr>
        <w:pStyle w:val="null3"/>
      </w:pPr>
      <w:r>
        <w:rPr/>
        <w:t>（一）价格： 1.合同价包括：服务费、售后服务费、利润、税金、保险、相关伴随费用等的一切费用。 2.合同有效期内，合同总价一次包死，不受国家政策性调价或原材料价格变化及外汇汇率变化的影响，并作为最终结算的唯一依据。 3、服务承诺：供应商应遵照国家规范规定的技术服务内容及要求作出明确承诺。 （二）质量安排排查保密要求： 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 （三）合同实施： 1 、成交供应商应在合同签订后尽快安排人员与采购单位就服务工作进行安排、部署。 2 、若因成交供应商原因未能在服务期内完成合同规定的义务，由此对采购人造成的延误和一切损失，由成交单位人承担和赔偿。</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供应商资格要求 供应商认为应提交的相关资格证明材料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供应商资格要求 供应商认为应提交的相关资格证明材料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供应商资格要求 供应商认为应提交的相关资格证明材料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供应商资格要求 供应商认为应提交的相关资格证明材料</w:t>
            </w:r>
          </w:p>
        </w:tc>
      </w:tr>
      <w:tr>
        <w:tc>
          <w:tcPr>
            <w:tcW w:type="dxa" w:w="831"/>
          </w:tcPr>
          <w:p>
            <w:pPr>
              <w:pStyle w:val="null3"/>
            </w:pPr>
            <w:r>
              <w:rPr/>
              <w:t>2</w:t>
            </w:r>
          </w:p>
        </w:tc>
        <w:tc>
          <w:tcPr>
            <w:tcW w:type="dxa" w:w="2492"/>
          </w:tcPr>
          <w:p>
            <w:pPr>
              <w:pStyle w:val="null3"/>
            </w:pPr>
            <w:r>
              <w:rPr/>
              <w:t>资质</w:t>
            </w:r>
          </w:p>
        </w:tc>
        <w:tc>
          <w:tcPr>
            <w:tcW w:type="dxa" w:w="3322"/>
          </w:tcPr>
          <w:p>
            <w:pPr>
              <w:pStyle w:val="null3"/>
            </w:pPr>
            <w:r>
              <w:rPr/>
              <w:t>供应商须具备城乡规划编制乙级及以上资质。</w:t>
            </w:r>
          </w:p>
        </w:tc>
        <w:tc>
          <w:tcPr>
            <w:tcW w:type="dxa" w:w="1661"/>
          </w:tcPr>
          <w:p>
            <w:pPr>
              <w:pStyle w:val="null3"/>
            </w:pPr>
            <w:r>
              <w:rPr/>
              <w:t>供应商资格要求 供应商认为应提交的相关资格证明材料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供应商资格要求 供应商认为应提交的相关资格证明材料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供应商资格要求 供应商认为应提交的相关资格证明材料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 供应商认为应提交的相关资格证明材料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t>供应商资格要求 供应商认为应提交的相关资格证明材料</w:t>
            </w:r>
          </w:p>
        </w:tc>
      </w:tr>
      <w:tr>
        <w:tc>
          <w:tcPr>
            <w:tcW w:type="dxa" w:w="831"/>
          </w:tcPr>
          <w:p>
            <w:pPr>
              <w:pStyle w:val="null3"/>
            </w:pPr>
            <w:r>
              <w:rPr/>
              <w:t>7</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供应商资格要求 供应商认为应提交的相关资格证明材料</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供应商资格要求 供应商认为应提交的相关资格证明材料</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供应商资格要求 供应商认为应提交的相关资格证明材料</w:t>
            </w:r>
          </w:p>
        </w:tc>
      </w:tr>
      <w:tr>
        <w:tc>
          <w:tcPr>
            <w:tcW w:type="dxa" w:w="831"/>
          </w:tcPr>
          <w:p>
            <w:pPr>
              <w:pStyle w:val="null3"/>
            </w:pPr>
            <w:r>
              <w:rPr/>
              <w:t>10</w:t>
            </w:r>
          </w:p>
        </w:tc>
        <w:tc>
          <w:tcPr>
            <w:tcW w:type="dxa" w:w="2492"/>
          </w:tcPr>
          <w:p>
            <w:pPr>
              <w:pStyle w:val="null3"/>
            </w:pPr>
            <w:r>
              <w:rPr/>
              <w:t>法定代表人授权委托书</w:t>
            </w:r>
          </w:p>
        </w:tc>
        <w:tc>
          <w:tcPr>
            <w:tcW w:type="dxa" w:w="3322"/>
          </w:tcPr>
          <w:p>
            <w:pPr>
              <w:pStyle w:val="null3"/>
            </w:pPr>
            <w:r>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t>供应商资格要求 供应商认为应提交的相关资格证明材料</w:t>
            </w:r>
          </w:p>
        </w:tc>
      </w:tr>
      <w:tr>
        <w:tc>
          <w:tcPr>
            <w:tcW w:type="dxa" w:w="831"/>
          </w:tcPr>
          <w:p>
            <w:pPr>
              <w:pStyle w:val="null3"/>
            </w:pPr>
            <w:r>
              <w:rPr/>
              <w:t>11</w:t>
            </w:r>
          </w:p>
        </w:tc>
        <w:tc>
          <w:tcPr>
            <w:tcW w:type="dxa" w:w="2492"/>
          </w:tcPr>
          <w:p>
            <w:pPr>
              <w:pStyle w:val="null3"/>
            </w:pPr>
            <w:r>
              <w:rPr/>
              <w:t>本项目不接受联合体磋商，不允许分包</w:t>
            </w:r>
          </w:p>
        </w:tc>
        <w:tc>
          <w:tcPr>
            <w:tcW w:type="dxa" w:w="3322"/>
          </w:tcPr>
          <w:p>
            <w:pPr>
              <w:pStyle w:val="null3"/>
            </w:pPr>
            <w:r>
              <w:rPr/>
              <w:t>供应商应提供《非联合体不分包磋商声明》，视为独立磋商，不分包。</w:t>
            </w:r>
          </w:p>
        </w:tc>
        <w:tc>
          <w:tcPr>
            <w:tcW w:type="dxa" w:w="1661"/>
          </w:tcPr>
          <w:p>
            <w:pPr>
              <w:pStyle w:val="null3"/>
            </w:pPr>
            <w:r>
              <w:rPr/>
              <w:t>供应商资格要求 供应商认为应提交的相关资格证明材料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分项报价表 中小企业声明函 报价表 供应商认为应提交的相关资格证明材料 供应商近三年类似项目业绩证明材料 响应文件封面 商务、服务内容偏离表、技术响应偏差表 残疾人福利性单位声明函 服务方案 供应商资格要求 标的清单 拟投入本项目的人员配置情况表 响应函 监狱企业的证明文件</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分项报价表 中小企业声明函 报价表 供应商认为应提交的相关资格证明材料 供应商近三年类似项目业绩证明材料 响应文件封面 商务、服务内容偏离表、技术响应偏差表 残疾人福利性单位声明函 服务方案 供应商资格要求 标的清单 拟投入本项目的人员配置情况表 响应函 监狱企业的证明文件</w:t>
            </w:r>
          </w:p>
        </w:tc>
      </w:tr>
      <w:tr>
        <w:tc>
          <w:tcPr>
            <w:tcW w:type="dxa" w:w="831"/>
          </w:tcPr>
          <w:p>
            <w:pPr>
              <w:pStyle w:val="null3"/>
            </w:pPr>
            <w:r>
              <w:rPr/>
              <w:t>4</w:t>
            </w:r>
          </w:p>
        </w:tc>
        <w:tc>
          <w:tcPr>
            <w:tcW w:type="dxa" w:w="2492"/>
          </w:tcPr>
          <w:p>
            <w:pPr>
              <w:pStyle w:val="null3"/>
            </w:pPr>
            <w:r>
              <w:rPr/>
              <w:t>响应报价表</w:t>
            </w:r>
          </w:p>
        </w:tc>
        <w:tc>
          <w:tcPr>
            <w:tcW w:type="dxa" w:w="3322"/>
          </w:tcPr>
          <w:p>
            <w:pPr>
              <w:pStyle w:val="null3"/>
            </w:pPr>
            <w:r>
              <w:rPr/>
              <w:t>（1）响应报价符合唯一性要求：（2）响应报价表填写符合要求；（3）计量单位、报价货币均符合磋商文件要求； （4）未超出采购预算或磋商文件规定的最高限价。</w:t>
            </w:r>
          </w:p>
        </w:tc>
        <w:tc>
          <w:tcPr>
            <w:tcW w:type="dxa" w:w="1661"/>
          </w:tcPr>
          <w:p>
            <w:pPr>
              <w:pStyle w:val="null3"/>
            </w:pPr>
            <w:r>
              <w:rPr/>
              <w:t>分项报价表 标的清单 报价表</w:t>
            </w:r>
          </w:p>
        </w:tc>
      </w:tr>
      <w:tr>
        <w:tc>
          <w:tcPr>
            <w:tcW w:type="dxa" w:w="831"/>
          </w:tcPr>
          <w:p>
            <w:pPr>
              <w:pStyle w:val="null3"/>
            </w:pPr>
            <w:r>
              <w:rPr/>
              <w:t>5</w:t>
            </w:r>
          </w:p>
        </w:tc>
        <w:tc>
          <w:tcPr>
            <w:tcW w:type="dxa" w:w="2492"/>
          </w:tcPr>
          <w:p>
            <w:pPr>
              <w:pStyle w:val="null3"/>
            </w:pPr>
            <w:r>
              <w:rPr/>
              <w:t>商务条款响应</w:t>
            </w:r>
          </w:p>
        </w:tc>
        <w:tc>
          <w:tcPr>
            <w:tcW w:type="dxa" w:w="3322"/>
          </w:tcPr>
          <w:p>
            <w:pPr>
              <w:pStyle w:val="null3"/>
            </w:pPr>
            <w:r>
              <w:rPr/>
              <w:t>完全理解接受磋商文件商务条款。</w:t>
            </w:r>
          </w:p>
        </w:tc>
        <w:tc>
          <w:tcPr>
            <w:tcW w:type="dxa" w:w="1661"/>
          </w:tcPr>
          <w:p>
            <w:pPr>
              <w:pStyle w:val="null3"/>
            </w:pPr>
            <w:r>
              <w:rPr/>
              <w:t>商务、服务内容偏离表、技术响应偏差表</w:t>
            </w:r>
          </w:p>
        </w:tc>
      </w:tr>
      <w:tr>
        <w:tc>
          <w:tcPr>
            <w:tcW w:type="dxa" w:w="831"/>
          </w:tcPr>
          <w:p>
            <w:pPr>
              <w:pStyle w:val="null3"/>
            </w:pPr>
            <w:r>
              <w:rPr/>
              <w:t>6</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分项报价表 中小企业声明函 报价表 供应商认为应提交的相关资格证明材料 供应商近三年类似项目业绩证明材料 响应文件封面 商务、服务内容偏离表、技术响应偏差表 残疾人福利性单位声明函 服务方案 供应商资格要求 标的清单 拟投入本项目的人员配置情况表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项目理解：1、对项目理解透彻，服务方案总体思路清晰，对编制任务、编制依据、编制体系、规划指标、有详细的认识和评价，计【10～7） 分 2、对项目理解基本正确，对项目的总体思路清晰，对编制任务、 编制依据、编制体系、规划指标的认识和评价比较简单，对项目的特点和编制重点分析不够详细，计【7～3）分 3、对项目理解无误，但总体思路、编制任务、编制依据、编制体系、规划指标认知欠缺，没有对项目的特点和对编制重点作出分析，计【3～0】分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拟投入本项目的人员配置情况表</w:t>
            </w:r>
          </w:p>
        </w:tc>
      </w:tr>
      <w:tr>
        <w:tc>
          <w:tcPr>
            <w:tcW w:type="dxa" w:w="831"/>
            <w:vMerge/>
          </w:tcPr>
          <w:p/>
        </w:tc>
        <w:tc>
          <w:tcPr>
            <w:tcW w:type="dxa" w:w="1661"/>
          </w:tcPr>
          <w:p>
            <w:pPr>
              <w:pStyle w:val="null3"/>
            </w:pPr>
            <w:r>
              <w:rPr/>
              <w:t>服务方案</w:t>
            </w:r>
          </w:p>
        </w:tc>
        <w:tc>
          <w:tcPr>
            <w:tcW w:type="dxa" w:w="2492"/>
          </w:tcPr>
          <w:p>
            <w:pPr>
              <w:pStyle w:val="null3"/>
            </w:pPr>
            <w:r>
              <w:rPr/>
              <w:t>关键点、重难点分析：1、正确识别本项目的关键点及重难点，逐条列出且分析全面、具体、透彻，实施方案针对性强，计【10～7）分 2、对本项目的关键点、重难点的分析较全面，但不够具体和透彻，解决对策较合理可行，计【7～3）分 3、对本项目的关键点、重难点分析及解决对策分析不到位，描述不具体的，计【3～0】分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拟投入本项目的人员配置情况表</w:t>
            </w:r>
          </w:p>
        </w:tc>
      </w:tr>
      <w:tr>
        <w:tc>
          <w:tcPr>
            <w:tcW w:type="dxa" w:w="831"/>
            <w:vMerge/>
          </w:tcPr>
          <w:p/>
        </w:tc>
        <w:tc>
          <w:tcPr>
            <w:tcW w:type="dxa" w:w="1661"/>
          </w:tcPr>
          <w:p>
            <w:pPr>
              <w:pStyle w:val="null3"/>
            </w:pPr>
            <w:r>
              <w:rPr/>
              <w:t>服务方案</w:t>
            </w:r>
          </w:p>
        </w:tc>
        <w:tc>
          <w:tcPr>
            <w:tcW w:type="dxa" w:w="2492"/>
          </w:tcPr>
          <w:p>
            <w:pPr>
              <w:pStyle w:val="null3"/>
            </w:pPr>
            <w:r>
              <w:rPr/>
              <w:t>实施方案：1、实施内容详细具体，针对性强 、可操作性强、落地性高的，计【25～17）分 2、实施内容较详细合理，基本可行的，计【17～8）分 3、实施内容粗略简单、无针对性、可操作性较低的，计【8～0】分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拟投入本项目的人员配置情况表</w:t>
            </w:r>
          </w:p>
        </w:tc>
      </w:tr>
      <w:tr>
        <w:tc>
          <w:tcPr>
            <w:tcW w:type="dxa" w:w="831"/>
            <w:vMerge/>
          </w:tcPr>
          <w:p/>
        </w:tc>
        <w:tc>
          <w:tcPr>
            <w:tcW w:type="dxa" w:w="1661"/>
          </w:tcPr>
          <w:p>
            <w:pPr>
              <w:pStyle w:val="null3"/>
            </w:pPr>
            <w:r>
              <w:rPr/>
              <w:t>服务方案</w:t>
            </w:r>
          </w:p>
        </w:tc>
        <w:tc>
          <w:tcPr>
            <w:tcW w:type="dxa" w:w="2492"/>
          </w:tcPr>
          <w:p>
            <w:pPr>
              <w:pStyle w:val="null3"/>
            </w:pPr>
            <w:r>
              <w:rPr/>
              <w:t>进度计划：1、工作实施进度计划全面、合理 ，计【10～7）分 2、工作实施进度计划较全面、较合理，计【7～3）分 3、工作实施进度计划较不合理，计【3～0】分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拟投入本项目的人员配置情况表</w:t>
            </w:r>
          </w:p>
        </w:tc>
      </w:tr>
      <w:tr>
        <w:tc>
          <w:tcPr>
            <w:tcW w:type="dxa" w:w="831"/>
            <w:vMerge/>
          </w:tcPr>
          <w:p/>
        </w:tc>
        <w:tc>
          <w:tcPr>
            <w:tcW w:type="dxa" w:w="1661"/>
          </w:tcPr>
          <w:p>
            <w:pPr>
              <w:pStyle w:val="null3"/>
            </w:pPr>
            <w:r>
              <w:rPr/>
              <w:t>服务方案</w:t>
            </w:r>
          </w:p>
        </w:tc>
        <w:tc>
          <w:tcPr>
            <w:tcW w:type="dxa" w:w="2492"/>
          </w:tcPr>
          <w:p>
            <w:pPr>
              <w:pStyle w:val="null3"/>
            </w:pPr>
            <w:r>
              <w:rPr/>
              <w:t>成果质量保证措施：1、质量保证措施具体完善、完全满足项目需求的，计【8～5）分 2、质量保证措施较具体较完善、一般满足项目需求的，计【5～3）分 3、质量保证措施有欠缺、不完全满足项目需求的，计【3～0】分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拟投入本项目的人员配置情况表</w:t>
            </w:r>
          </w:p>
        </w:tc>
      </w:tr>
      <w:tr>
        <w:tc>
          <w:tcPr>
            <w:tcW w:type="dxa" w:w="831"/>
            <w:vMerge/>
          </w:tcPr>
          <w:p/>
        </w:tc>
        <w:tc>
          <w:tcPr>
            <w:tcW w:type="dxa" w:w="1661"/>
          </w:tcPr>
          <w:p>
            <w:pPr>
              <w:pStyle w:val="null3"/>
            </w:pPr>
            <w:r>
              <w:rPr/>
              <w:t>服务方案</w:t>
            </w:r>
          </w:p>
        </w:tc>
        <w:tc>
          <w:tcPr>
            <w:tcW w:type="dxa" w:w="2492"/>
          </w:tcPr>
          <w:p>
            <w:pPr>
              <w:pStyle w:val="null3"/>
            </w:pPr>
            <w:r>
              <w:rPr/>
              <w:t>服务承诺：针对本项目提供服务承诺，就技术支持、确保成果完成时限、控制编制失误、项目负责人全过程负责项目方案修改、整合、沟通等做出承诺。 1、有详细全面的服务承诺且可操作性高，计【8～5）分 2、有较详细较全面的服务承诺且可操作性一般，【5～3）分 有服务承诺但无操作性，计【3～0】分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拟投入本项目的人员配置情况表</w:t>
            </w:r>
          </w:p>
        </w:tc>
      </w:tr>
      <w:tr>
        <w:tc>
          <w:tcPr>
            <w:tcW w:type="dxa" w:w="831"/>
            <w:vMerge/>
          </w:tcPr>
          <w:p/>
        </w:tc>
        <w:tc>
          <w:tcPr>
            <w:tcW w:type="dxa" w:w="1661"/>
          </w:tcPr>
          <w:p>
            <w:pPr>
              <w:pStyle w:val="null3"/>
            </w:pPr>
            <w:r>
              <w:rPr/>
              <w:t>服务方案</w:t>
            </w:r>
          </w:p>
        </w:tc>
        <w:tc>
          <w:tcPr>
            <w:tcW w:type="dxa" w:w="2492"/>
          </w:tcPr>
          <w:p>
            <w:pPr>
              <w:pStyle w:val="null3"/>
            </w:pPr>
            <w:r>
              <w:rPr/>
              <w:t>团队配置：1、项目团队配置合理，有明确的人员分工，团队人员具有丰富的相关领域工作经验，计【7～5）分 2、项目团队配置较合理，有较明确的人员分工，团队人员具有较丰富的相关领域工作经验，计【5～3）分 3、项目团队配置一般，人员分工不明确，团队人员相关领域工作经验不足，计【3～0）分； 4.项目负责人具有城乡规划相关专业高级工程师职称得2分，无则不得分。（提供加盖公章的职称证书复印件，未提供不得分）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拟投入本项目的人员配置情况表</w:t>
            </w:r>
          </w:p>
        </w:tc>
      </w:tr>
      <w:tr>
        <w:tc>
          <w:tcPr>
            <w:tcW w:type="dxa" w:w="831"/>
            <w:vMerge/>
          </w:tcPr>
          <w:p/>
        </w:tc>
        <w:tc>
          <w:tcPr>
            <w:tcW w:type="dxa" w:w="1661"/>
          </w:tcPr>
          <w:p>
            <w:pPr>
              <w:pStyle w:val="null3"/>
            </w:pPr>
            <w:r>
              <w:rPr/>
              <w:t>类似业绩</w:t>
            </w:r>
          </w:p>
        </w:tc>
        <w:tc>
          <w:tcPr>
            <w:tcW w:type="dxa" w:w="2492"/>
          </w:tcPr>
          <w:p>
            <w:pPr>
              <w:pStyle w:val="null3"/>
            </w:pPr>
            <w:r>
              <w:rPr/>
              <w:t>供应商具有近三年（2021年1月1日至今，以合同签订时间为准）的类似项目业绩，每提供一个得2分，最高得10分。注：供应商响应文件中提供合同复印件加盖公章。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详见附件：商务、服务内容偏离表、技术响应偏差表</w:t>
      </w:r>
    </w:p>
    <w:p>
      <w:pPr>
        <w:pStyle w:val="null3"/>
        <w:ind w:firstLine="960"/>
      </w:pPr>
      <w:r>
        <w:rPr/>
        <w:t>详见附件：服务方案</w:t>
      </w:r>
    </w:p>
    <w:p>
      <w:pPr>
        <w:pStyle w:val="null3"/>
        <w:ind w:firstLine="960"/>
      </w:pPr>
      <w:r>
        <w:rPr/>
        <w:t>详见附件：拟投入本项目的人员配置情况表</w:t>
      </w:r>
    </w:p>
    <w:p>
      <w:pPr>
        <w:pStyle w:val="null3"/>
        <w:ind w:firstLine="960"/>
      </w:pPr>
      <w:r>
        <w:rPr/>
        <w:t>详见附件：供应商近三年类似项目业绩证明材料</w:t>
      </w:r>
    </w:p>
    <w:p>
      <w:pPr>
        <w:pStyle w:val="null3"/>
        <w:ind w:firstLine="960"/>
      </w:pPr>
      <w:r>
        <w:rPr/>
        <w:t>详见附件：供应商资格要求</w:t>
      </w:r>
    </w:p>
    <w:p>
      <w:pPr>
        <w:pStyle w:val="null3"/>
        <w:ind w:firstLine="960"/>
      </w:pPr>
      <w:r>
        <w:rPr/>
        <w:t>详见附件：供应商认为应提交的相关资格证明材料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