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8D" w:rsidRPr="0080658D" w:rsidRDefault="0080658D" w:rsidP="0080658D">
      <w:pPr>
        <w:widowControl/>
        <w:shd w:val="clear" w:color="auto" w:fill="FFFFFF"/>
        <w:spacing w:line="450" w:lineRule="atLeast"/>
        <w:jc w:val="center"/>
        <w:outlineLvl w:val="1"/>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磋商项目技术、服务、商务及其他要求</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bookmarkStart w:id="0" w:name="_GoBack"/>
      <w:r w:rsidRPr="0080658D">
        <w:rPr>
          <w:rFonts w:ascii="宋体" w:eastAsia="宋体" w:hAnsi="宋体" w:cs="宋体" w:hint="eastAsia"/>
          <w:color w:val="333333"/>
          <w:kern w:val="0"/>
          <w:szCs w:val="21"/>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rsidR="0080658D" w:rsidRPr="0080658D" w:rsidRDefault="0080658D" w:rsidP="00E0671D">
      <w:pPr>
        <w:widowControl/>
        <w:shd w:val="clear" w:color="auto" w:fill="FFFFFF"/>
        <w:spacing w:line="360" w:lineRule="auto"/>
        <w:jc w:val="left"/>
        <w:outlineLvl w:val="2"/>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3.1采购项目概况</w:t>
      </w:r>
    </w:p>
    <w:p w:rsidR="0080658D" w:rsidRPr="0080658D" w:rsidRDefault="0080658D" w:rsidP="00E0671D">
      <w:pPr>
        <w:widowControl/>
        <w:shd w:val="clear" w:color="auto" w:fill="FFFFFF"/>
        <w:spacing w:line="360" w:lineRule="auto"/>
        <w:ind w:firstLine="480"/>
        <w:jc w:val="left"/>
        <w:rPr>
          <w:rFonts w:ascii="宋体" w:eastAsia="宋体" w:hAnsi="宋体" w:cs="宋体"/>
          <w:kern w:val="0"/>
          <w:szCs w:val="21"/>
        </w:rPr>
      </w:pPr>
      <w:r w:rsidRPr="0080658D">
        <w:rPr>
          <w:rFonts w:ascii="宋体" w:eastAsia="宋体" w:hAnsi="宋体" w:cs="宋体" w:hint="eastAsia"/>
          <w:kern w:val="0"/>
          <w:szCs w:val="21"/>
        </w:rPr>
        <w:t>对雁塔区全区约2500㎡的通讯电力箱格栅（格栏）进行修缮和巡查管护，按照实际损坏或丢失情况对已损坏或丢失的箱柜格栅（格栏）部位（侧板、顶板、背板、锁具、链接等部位）进行修缮或更换；修补结构构选材应选用金属、塑木等与原有格栅（格栏）匹配；修缮完成后，焊接部分平整，经喷塑防腐处理，外形规整，安装牢靠，颜色和原颜色一致，整体美观大方，标准符合国家、省、市（行业）强制性标准及采购人要求。</w:t>
      </w:r>
    </w:p>
    <w:p w:rsidR="0080658D" w:rsidRPr="0080658D" w:rsidRDefault="0080658D" w:rsidP="00E0671D">
      <w:pPr>
        <w:widowControl/>
        <w:shd w:val="clear" w:color="auto" w:fill="FFFFFF"/>
        <w:spacing w:line="360" w:lineRule="auto"/>
        <w:jc w:val="left"/>
        <w:outlineLvl w:val="2"/>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3.2服务内容及服务要求</w:t>
      </w:r>
    </w:p>
    <w:p w:rsidR="0080658D" w:rsidRPr="0080658D" w:rsidRDefault="0080658D" w:rsidP="00E0671D">
      <w:pPr>
        <w:widowControl/>
        <w:shd w:val="clear" w:color="auto" w:fill="FFFFFF"/>
        <w:spacing w:line="360" w:lineRule="auto"/>
        <w:jc w:val="left"/>
        <w:outlineLvl w:val="3"/>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3.2.1服务内容</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采购包预算金额（元）: 500,000.00</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采购包最高限价（元）: 500,000.00</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供应商报价不允许超过标的金额</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（招单价的）供应商报价不允许超过标的单价</w:t>
      </w:r>
    </w:p>
    <w:tbl>
      <w:tblPr>
        <w:tblW w:w="6071" w:type="pct"/>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4"/>
        <w:gridCol w:w="2077"/>
        <w:gridCol w:w="743"/>
        <w:gridCol w:w="1335"/>
        <w:gridCol w:w="889"/>
        <w:gridCol w:w="1186"/>
        <w:gridCol w:w="890"/>
        <w:gridCol w:w="889"/>
        <w:gridCol w:w="890"/>
        <w:gridCol w:w="890"/>
      </w:tblGrid>
      <w:tr w:rsidR="0080658D" w:rsidRPr="0080658D" w:rsidTr="0080658D">
        <w:tc>
          <w:tcPr>
            <w:tcW w:w="7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bookmarkEnd w:id="0"/>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序号</w:t>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标的名称</w:t>
            </w:r>
          </w:p>
        </w:tc>
        <w:tc>
          <w:tcPr>
            <w:tcW w:w="7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数量</w:t>
            </w:r>
          </w:p>
        </w:tc>
        <w:tc>
          <w:tcPr>
            <w:tcW w:w="1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标的金额 （元）</w:t>
            </w:r>
          </w:p>
        </w:tc>
        <w:tc>
          <w:tcPr>
            <w:tcW w:w="8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计量单位</w:t>
            </w:r>
          </w:p>
        </w:tc>
        <w:tc>
          <w:tcPr>
            <w:tcW w:w="11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所属行业</w:t>
            </w:r>
          </w:p>
        </w:tc>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是否核心产品</w:t>
            </w:r>
          </w:p>
        </w:tc>
        <w:tc>
          <w:tcPr>
            <w:tcW w:w="8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是否允许进口产品</w:t>
            </w:r>
          </w:p>
        </w:tc>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是否属于节能产品</w:t>
            </w:r>
          </w:p>
        </w:tc>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是否属于环境标志产品</w:t>
            </w:r>
          </w:p>
        </w:tc>
      </w:tr>
      <w:tr w:rsidR="0080658D" w:rsidRPr="0080658D" w:rsidTr="0080658D">
        <w:tc>
          <w:tcPr>
            <w:tcW w:w="7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宋体" w:hint="eastAsia"/>
                <w:kern w:val="0"/>
                <w:szCs w:val="21"/>
              </w:rPr>
              <w:t>1</w:t>
            </w:r>
          </w:p>
        </w:tc>
        <w:tc>
          <w:tcPr>
            <w:tcW w:w="19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宋体" w:hint="eastAsia"/>
                <w:kern w:val="0"/>
                <w:szCs w:val="21"/>
              </w:rPr>
              <w:t>电力箱柜格栅修护</w:t>
            </w:r>
          </w:p>
        </w:tc>
        <w:tc>
          <w:tcPr>
            <w:tcW w:w="7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right"/>
              <w:rPr>
                <w:rFonts w:ascii="宋体" w:eastAsia="宋体" w:hAnsi="宋体" w:cs="宋体"/>
                <w:kern w:val="0"/>
                <w:szCs w:val="21"/>
              </w:rPr>
            </w:pPr>
            <w:r w:rsidRPr="0080658D">
              <w:rPr>
                <w:rFonts w:ascii="宋体" w:eastAsia="宋体" w:hAnsi="宋体" w:cs="宋体" w:hint="eastAsia"/>
                <w:kern w:val="0"/>
                <w:szCs w:val="21"/>
              </w:rPr>
              <w:t>1.00</w:t>
            </w:r>
          </w:p>
        </w:tc>
        <w:tc>
          <w:tcPr>
            <w:tcW w:w="127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ind w:right="630"/>
              <w:jc w:val="right"/>
              <w:rPr>
                <w:rFonts w:ascii="宋体" w:eastAsia="宋体" w:hAnsi="宋体" w:cs="宋体"/>
                <w:kern w:val="0"/>
                <w:szCs w:val="21"/>
              </w:rPr>
            </w:pPr>
            <w:r w:rsidRPr="0080658D">
              <w:rPr>
                <w:rFonts w:ascii="宋体" w:eastAsia="宋体" w:hAnsi="宋体" w:cs="宋体" w:hint="eastAsia"/>
                <w:kern w:val="0"/>
                <w:szCs w:val="21"/>
              </w:rPr>
              <w:t>500,000.00</w:t>
            </w:r>
          </w:p>
        </w:tc>
        <w:tc>
          <w:tcPr>
            <w:tcW w:w="8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宋体" w:hint="eastAsia"/>
                <w:kern w:val="0"/>
                <w:szCs w:val="21"/>
              </w:rPr>
              <w:t>项</w:t>
            </w:r>
          </w:p>
        </w:tc>
        <w:tc>
          <w:tcPr>
            <w:tcW w:w="11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宋体" w:hint="eastAsia"/>
                <w:kern w:val="0"/>
                <w:szCs w:val="21"/>
              </w:rPr>
              <w:t>其他未列明行业</w:t>
            </w:r>
          </w:p>
        </w:tc>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宋体" w:hint="eastAsia"/>
                <w:kern w:val="0"/>
                <w:szCs w:val="21"/>
              </w:rPr>
              <w:t>否</w:t>
            </w:r>
          </w:p>
        </w:tc>
        <w:tc>
          <w:tcPr>
            <w:tcW w:w="8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宋体" w:hint="eastAsia"/>
                <w:kern w:val="0"/>
                <w:szCs w:val="21"/>
              </w:rPr>
              <w:t>否</w:t>
            </w:r>
          </w:p>
        </w:tc>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宋体" w:hint="eastAsia"/>
                <w:kern w:val="0"/>
                <w:szCs w:val="21"/>
              </w:rPr>
              <w:t>否</w:t>
            </w:r>
          </w:p>
        </w:tc>
        <w:tc>
          <w:tcPr>
            <w:tcW w:w="8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宋体" w:hint="eastAsia"/>
                <w:kern w:val="0"/>
                <w:szCs w:val="21"/>
              </w:rPr>
              <w:t>否</w:t>
            </w:r>
          </w:p>
        </w:tc>
      </w:tr>
    </w:tbl>
    <w:p w:rsidR="0080658D" w:rsidRPr="0080658D" w:rsidRDefault="0080658D" w:rsidP="0080658D">
      <w:pPr>
        <w:widowControl/>
        <w:shd w:val="clear" w:color="auto" w:fill="FFFFFF"/>
        <w:spacing w:line="360" w:lineRule="atLeast"/>
        <w:jc w:val="left"/>
        <w:outlineLvl w:val="2"/>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3.2.2服务要求</w:t>
      </w:r>
    </w:p>
    <w:p w:rsidR="0080658D" w:rsidRPr="0080658D" w:rsidRDefault="0080658D" w:rsidP="0080658D">
      <w:pPr>
        <w:widowControl/>
        <w:shd w:val="clear" w:color="auto" w:fill="FFFFFF"/>
        <w:spacing w:line="480" w:lineRule="atLeast"/>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w:t>
      </w:r>
    </w:p>
    <w:p w:rsidR="0080658D" w:rsidRPr="0080658D" w:rsidRDefault="0080658D" w:rsidP="0080658D">
      <w:pPr>
        <w:widowControl/>
        <w:shd w:val="clear" w:color="auto" w:fill="FFFFFF"/>
        <w:spacing w:line="480" w:lineRule="atLeast"/>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供应商报价不允许超过标的金额</w:t>
      </w:r>
    </w:p>
    <w:p w:rsidR="0080658D" w:rsidRPr="0080658D" w:rsidRDefault="0080658D" w:rsidP="0080658D">
      <w:pPr>
        <w:widowControl/>
        <w:shd w:val="clear" w:color="auto" w:fill="FFFFFF"/>
        <w:spacing w:line="480" w:lineRule="atLeast"/>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（招单价的）供应商报价不允许超过标的单价</w:t>
      </w:r>
    </w:p>
    <w:p w:rsidR="0080658D" w:rsidRPr="0080658D" w:rsidRDefault="0080658D" w:rsidP="0080658D">
      <w:pPr>
        <w:widowControl/>
        <w:shd w:val="clear" w:color="auto" w:fill="FFFFFF"/>
        <w:spacing w:line="480" w:lineRule="atLeast"/>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标的名称：电力箱柜格栅修护</w:t>
      </w:r>
    </w:p>
    <w:tbl>
      <w:tblPr>
        <w:tblW w:w="589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
        <w:gridCol w:w="785"/>
        <w:gridCol w:w="8343"/>
      </w:tblGrid>
      <w:tr w:rsidR="0080658D" w:rsidRPr="0080658D" w:rsidTr="0080658D">
        <w:trPr>
          <w:jc w:val="center"/>
        </w:trPr>
        <w:tc>
          <w:tcPr>
            <w:tcW w:w="1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参数性质</w:t>
            </w:r>
          </w:p>
        </w:tc>
        <w:tc>
          <w:tcPr>
            <w:tcW w:w="7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序号</w:t>
            </w:r>
          </w:p>
        </w:tc>
        <w:tc>
          <w:tcPr>
            <w:tcW w:w="79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r w:rsidRPr="0080658D">
              <w:rPr>
                <w:rFonts w:ascii="宋体" w:eastAsia="宋体" w:hAnsi="宋体" w:cs="宋体" w:hint="eastAsia"/>
                <w:b/>
                <w:bCs/>
                <w:kern w:val="0"/>
                <w:szCs w:val="21"/>
              </w:rPr>
              <w:t>技术参数与性能指标</w:t>
            </w:r>
          </w:p>
        </w:tc>
      </w:tr>
      <w:tr w:rsidR="0080658D" w:rsidRPr="0080658D" w:rsidTr="0080658D">
        <w:trPr>
          <w:jc w:val="center"/>
        </w:trPr>
        <w:tc>
          <w:tcPr>
            <w:tcW w:w="1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b/>
                <w:bCs/>
                <w:kern w:val="0"/>
                <w:szCs w:val="21"/>
              </w:rPr>
            </w:pPr>
          </w:p>
        </w:tc>
        <w:tc>
          <w:tcPr>
            <w:tcW w:w="7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宋体" w:hint="eastAsia"/>
                <w:kern w:val="0"/>
                <w:szCs w:val="21"/>
              </w:rPr>
              <w:t>1</w:t>
            </w:r>
          </w:p>
        </w:tc>
        <w:tc>
          <w:tcPr>
            <w:tcW w:w="797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Times New Roman" w:hint="eastAsia"/>
                <w:color w:val="000000"/>
                <w:kern w:val="0"/>
                <w:szCs w:val="21"/>
              </w:rPr>
              <w:t>一、项目概况及总体要求</w:t>
            </w:r>
          </w:p>
          <w:p w:rsidR="0080658D" w:rsidRPr="0080658D" w:rsidRDefault="0080658D" w:rsidP="0080658D">
            <w:pPr>
              <w:widowControl/>
              <w:wordWrap w:val="0"/>
              <w:spacing w:line="480" w:lineRule="atLeast"/>
              <w:ind w:firstLine="420"/>
              <w:rPr>
                <w:rFonts w:ascii="宋体" w:eastAsia="宋体" w:hAnsi="宋体" w:cs="宋体"/>
                <w:kern w:val="0"/>
                <w:szCs w:val="21"/>
              </w:rPr>
            </w:pPr>
            <w:r w:rsidRPr="0080658D">
              <w:rPr>
                <w:rFonts w:ascii="宋体" w:eastAsia="宋体" w:hAnsi="宋体" w:cs="Times New Roman" w:hint="eastAsia"/>
                <w:color w:val="000000"/>
                <w:kern w:val="0"/>
                <w:szCs w:val="21"/>
              </w:rPr>
              <w:t>1.1对雁塔区全区约2500㎡的通讯电力箱格栅（格栏）进行修缮和巡查管护，按照实际损坏或丢失情况，已损坏或丢失的箱柜格栅（格栏）部位（侧板、顶板、背板、锁具、链接等部位）进行修缮或更换；修补结构构选材应选用金属、塑木等与原有格栅（格栏）匹配；修缮完成后，焊接部分平整，经喷塑防腐处理，外形规整，安装牢靠，颜色和原颜色一致，整体美观大方，标准符合国家、省、市（行业）强制性标准及采购人要求。</w:t>
            </w:r>
          </w:p>
          <w:p w:rsidR="0080658D" w:rsidRPr="0080658D" w:rsidRDefault="0080658D" w:rsidP="0080658D">
            <w:pPr>
              <w:widowControl/>
              <w:wordWrap w:val="0"/>
              <w:spacing w:line="480" w:lineRule="atLeast"/>
              <w:ind w:right="-195"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1.2本项目所属行业为:</w:t>
            </w:r>
            <w:r w:rsidRPr="0080658D">
              <w:rPr>
                <w:rFonts w:ascii="宋体" w:eastAsia="宋体" w:hAnsi="宋体" w:cs="Times New Roman" w:hint="eastAsia"/>
                <w:color w:val="000000"/>
                <w:kern w:val="0"/>
                <w:szCs w:val="21"/>
                <w:u w:val="single"/>
              </w:rPr>
              <w:t> 其他未列明行业</w:t>
            </w:r>
            <w:r w:rsidRPr="0080658D">
              <w:rPr>
                <w:rFonts w:ascii="宋体" w:eastAsia="宋体" w:hAnsi="宋体" w:cs="Times New Roman" w:hint="eastAsia"/>
                <w:color w:val="000000"/>
                <w:kern w:val="0"/>
                <w:szCs w:val="21"/>
              </w:rPr>
              <w:t>（从业人员300人以下的为中小微型企业。其中，从业人员100人及以上的为中型企业；从业人员10人及以上的为小型企业；从业人员10人以下的为微型企业）</w:t>
            </w:r>
          </w:p>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Times New Roman" w:hint="eastAsia"/>
                <w:color w:val="000000"/>
                <w:kern w:val="0"/>
                <w:szCs w:val="21"/>
              </w:rPr>
              <w:t>二、服务内容与要求</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2.1服务内容</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对雁塔区全区约2500㎡的通讯电力箱格栅（格栏）进行修缮和巡查管护，按照实际损坏或丢失情况对已损坏或丢失的箱柜格栅（格栏）部位（侧板、顶板、背板、锁具、链接等部位）进行修缮或更换；修补结构构选材应选用金属、塑木等与原有格栅（格栏）匹配；修缮完成后，焊接部分平整，经喷塑防腐处理，外形规整，安装牢靠，颜色和原颜色一致，整体美观大方。</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2.2技术要求</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（1）采取可靠的修缮措施和防护措施保证修缮区域的安全。</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2）选用的材料（金属、塑木等）必须符合国家相关规范并能满足实际使用功能，不达标材料应禁止使用；塑木条规格3.0*3.5，型材间隙：3.0，紧固件：金属材质的L型、T型角码固定，整体要求防火、抗腐蚀、耐酸碱，稳固、耐用；，如出现因材质不符合、尺寸测量错误等原因造成修缮质量不达标，后果由服务商自负。</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（3）格栅（格栏）修补后应达到安全性能良好，焊缝饱满牢固，焊接处均匀、细腻、焊缝打磨良好，栅栏整体抛光打磨，经喷塑防腐处理，表面平整光滑，颜色与原有格栅（格栏）颜色一致；</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（4）修缮过程产生的垃圾及时外运，现场材料运至指定地点堆放整齐；修缮材料、设备等堆放整齐，不需要的材料和设备应及时周转运走，不要影响市容和道路畅通；</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（5）整体修缮过程应注意现场保护、减少破坏，施工区域周围设施安全隔离墩，注重安全、文明；</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lastRenderedPageBreak/>
              <w:t>（6）每日统计当天修缮情况，注明故障原因、维修内容、修复时间及更换的备品备件情况等记录汇总，并拍图留档，报送采购人。</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2.3成果交付要求</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（1）服务商应根据修缮服务方案规范进行服务工作，采购人在服务过程中起到配合、监督及管理的作用；</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（2）维修效果：修缮完成后，焊接部分平整，经喷塑防腐处理，外形规整，安装牢靠，颜色和原颜色一致，整体美观大方。</w:t>
            </w:r>
          </w:p>
          <w:p w:rsidR="0080658D" w:rsidRPr="0080658D" w:rsidRDefault="0080658D" w:rsidP="0080658D">
            <w:pPr>
              <w:widowControl/>
              <w:wordWrap w:val="0"/>
              <w:spacing w:line="480" w:lineRule="atLeast"/>
              <w:ind w:firstLine="600"/>
              <w:jc w:val="center"/>
              <w:rPr>
                <w:rFonts w:ascii="宋体" w:eastAsia="宋体" w:hAnsi="宋体" w:cs="Times New Roman"/>
                <w:color w:val="000000"/>
                <w:kern w:val="0"/>
                <w:szCs w:val="21"/>
              </w:rPr>
            </w:pPr>
            <w:r w:rsidRPr="0080658D">
              <w:rPr>
                <w:rFonts w:ascii="宋体" w:eastAsia="宋体" w:hAnsi="宋体" w:cs="Times New Roman"/>
                <w:noProof/>
                <w:color w:val="000000"/>
                <w:kern w:val="0"/>
                <w:szCs w:val="21"/>
              </w:rPr>
              <w:drawing>
                <wp:inline distT="0" distB="0" distL="0" distR="0">
                  <wp:extent cx="3267075" cy="170433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84038" cy="1713188"/>
                          </a:xfrm>
                          <a:prstGeom prst="rect">
                            <a:avLst/>
                          </a:prstGeom>
                        </pic:spPr>
                      </pic:pic>
                    </a:graphicData>
                  </a:graphic>
                </wp:inline>
              </w:drawing>
            </w:r>
          </w:p>
          <w:p w:rsidR="0080658D" w:rsidRPr="0080658D" w:rsidRDefault="0080658D" w:rsidP="0080658D">
            <w:pPr>
              <w:widowControl/>
              <w:wordWrap w:val="0"/>
              <w:spacing w:line="480" w:lineRule="atLeast"/>
              <w:ind w:firstLine="600"/>
              <w:jc w:val="center"/>
              <w:rPr>
                <w:rFonts w:ascii="宋体" w:eastAsia="宋体" w:hAnsi="宋体" w:cs="宋体"/>
                <w:kern w:val="0"/>
                <w:szCs w:val="21"/>
              </w:rPr>
            </w:pPr>
            <w:r w:rsidRPr="0080658D">
              <w:rPr>
                <w:rFonts w:ascii="宋体" w:eastAsia="宋体" w:hAnsi="宋体" w:cs="Times New Roman" w:hint="eastAsia"/>
                <w:color w:val="000000"/>
                <w:kern w:val="0"/>
                <w:szCs w:val="21"/>
              </w:rPr>
              <w:t>（电力通讯箱柜格栅效果参照图）</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（3）在修缮服务期内，如果发现服务内容、服务质量等存在与合同中任何一项不符，服务商应按采购人要求进行再次修缮，直到符合要求；</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（4）维修（包括新安装）的格栅（格栏）的质保期为365天，要求完好率100%；</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（5）服务完成后，由双方共同验收，并填写书面验收单。</w:t>
            </w:r>
          </w:p>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Times New Roman" w:hint="eastAsia"/>
                <w:color w:val="000000"/>
                <w:kern w:val="0"/>
                <w:szCs w:val="21"/>
              </w:rPr>
              <w:t>三、质量要求：</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3.1服务质量：合格。</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3.2服务、产品（如有）执行的标准、规范：</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（1）国家标准、规范/；</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（2）行业标准、规范/；</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（3）地方标准、规范/；</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（4）团体标准、规范/；</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（5）企业标准、规范/。</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3.3本章3.2款未明确服务（产品）执行标准、规范的，按下列方法进行选择：</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t>□顺序执行：国家标准→行业标准→地方标准→团体标准→企业标准（有国家标准按国家标准执行，没有国家标准按行业标准，以此类推）；</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宋体" w:eastAsia="宋体" w:hAnsi="宋体" w:cs="Times New Roman" w:hint="eastAsia"/>
                <w:color w:val="000000"/>
                <w:kern w:val="0"/>
                <w:szCs w:val="21"/>
              </w:rPr>
              <w:lastRenderedPageBreak/>
              <w:t>□最高标准执行：国家标准，行业标准，地方标准，团体标准，企业标准（哪个标准高执行哪个标准）；</w:t>
            </w:r>
          </w:p>
          <w:p w:rsidR="0080658D" w:rsidRPr="0080658D" w:rsidRDefault="0080658D" w:rsidP="0080658D">
            <w:pPr>
              <w:widowControl/>
              <w:wordWrap w:val="0"/>
              <w:spacing w:line="480" w:lineRule="atLeast"/>
              <w:ind w:firstLine="420"/>
              <w:jc w:val="left"/>
              <w:rPr>
                <w:rFonts w:ascii="宋体" w:eastAsia="宋体" w:hAnsi="宋体" w:cs="宋体"/>
                <w:kern w:val="0"/>
                <w:szCs w:val="21"/>
              </w:rPr>
            </w:pPr>
            <w:r w:rsidRPr="0080658D">
              <w:rPr>
                <w:rFonts w:ascii="Segoe UI Symbol" w:eastAsia="宋体" w:hAnsi="Segoe UI Symbol" w:cs="Segoe UI Symbol"/>
                <w:color w:val="000000"/>
                <w:kern w:val="0"/>
                <w:szCs w:val="21"/>
              </w:rPr>
              <w:t>☑</w:t>
            </w:r>
            <w:r w:rsidRPr="0080658D">
              <w:rPr>
                <w:rFonts w:ascii="宋体" w:eastAsia="宋体" w:hAnsi="宋体" w:cs="Times New Roman" w:hint="eastAsia"/>
                <w:color w:val="000000"/>
                <w:kern w:val="0"/>
                <w:szCs w:val="21"/>
              </w:rPr>
              <w:t>必须执行：国家（行业）强制性标准。</w:t>
            </w:r>
          </w:p>
          <w:p w:rsidR="0080658D" w:rsidRPr="0080658D" w:rsidRDefault="0080658D" w:rsidP="0080658D">
            <w:pPr>
              <w:widowControl/>
              <w:wordWrap w:val="0"/>
              <w:spacing w:line="480" w:lineRule="atLeast"/>
              <w:jc w:val="left"/>
              <w:rPr>
                <w:rFonts w:ascii="宋体" w:eastAsia="宋体" w:hAnsi="宋体" w:cs="宋体"/>
                <w:kern w:val="0"/>
                <w:szCs w:val="21"/>
              </w:rPr>
            </w:pPr>
            <w:r w:rsidRPr="0080658D">
              <w:rPr>
                <w:rFonts w:ascii="宋体" w:eastAsia="宋体" w:hAnsi="宋体" w:cs="Times New Roman" w:hint="eastAsia"/>
                <w:color w:val="000000"/>
                <w:kern w:val="0"/>
                <w:szCs w:val="21"/>
              </w:rPr>
              <w:t>四、其他说明：</w:t>
            </w:r>
          </w:p>
          <w:p w:rsidR="0080658D" w:rsidRPr="0080658D" w:rsidRDefault="0080658D" w:rsidP="0080658D">
            <w:pPr>
              <w:widowControl/>
              <w:wordWrap w:val="0"/>
              <w:spacing w:line="480" w:lineRule="atLeast"/>
              <w:rPr>
                <w:rFonts w:ascii="宋体" w:eastAsia="宋体" w:hAnsi="宋体" w:cs="宋体"/>
                <w:kern w:val="0"/>
                <w:szCs w:val="21"/>
              </w:rPr>
            </w:pPr>
            <w:r w:rsidRPr="0080658D">
              <w:rPr>
                <w:rFonts w:ascii="宋体" w:eastAsia="宋体" w:hAnsi="宋体" w:cs="Times New Roman" w:hint="eastAsia"/>
                <w:color w:val="000000"/>
                <w:kern w:val="0"/>
                <w:szCs w:val="21"/>
              </w:rPr>
              <w:t>4.1采购人根据实际服务数量据实结算服务费，即结算服务费=实际服务量*服务商最终总报价/暂定面积（2500㎡），本项目采购预算作为最终合执行同的依据，最终结算价款不超过本项目的采购预算。</w:t>
            </w:r>
          </w:p>
        </w:tc>
      </w:tr>
    </w:tbl>
    <w:p w:rsidR="0080658D" w:rsidRPr="0080658D" w:rsidRDefault="0080658D" w:rsidP="00E0671D">
      <w:pPr>
        <w:widowControl/>
        <w:shd w:val="clear" w:color="auto" w:fill="FFFFFF"/>
        <w:spacing w:line="360" w:lineRule="auto"/>
        <w:jc w:val="left"/>
        <w:outlineLvl w:val="2"/>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lastRenderedPageBreak/>
        <w:t>3.2.3人员配置要求</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服务商按项目服务要求及特性，自行组织项目实施与管理，建立以项目负责人为核心的服务团队（专业的维修人员不少于4名，管理人员1名），实行项目负责人责任制，维修人员经过严格培训，能够胜任项目工作，保证项目顺利实施。</w:t>
      </w:r>
    </w:p>
    <w:p w:rsidR="0080658D" w:rsidRPr="0080658D" w:rsidRDefault="0080658D" w:rsidP="00E0671D">
      <w:pPr>
        <w:widowControl/>
        <w:shd w:val="clear" w:color="auto" w:fill="FFFFFF"/>
        <w:spacing w:line="360" w:lineRule="auto"/>
        <w:jc w:val="left"/>
        <w:outlineLvl w:val="2"/>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3.2.4设施设备要求</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采购包1：服务商根据项目特性，自行配置投入有利于完成本项目服务各类设施设备（专业维修车辆，发电机、电焊机、空压机、辅助设备、工具等）。</w:t>
      </w:r>
    </w:p>
    <w:p w:rsidR="0080658D" w:rsidRPr="0080658D" w:rsidRDefault="0080658D" w:rsidP="00E0671D">
      <w:pPr>
        <w:widowControl/>
        <w:shd w:val="clear" w:color="auto" w:fill="FFFFFF"/>
        <w:spacing w:line="360" w:lineRule="auto"/>
        <w:jc w:val="left"/>
        <w:outlineLvl w:val="2"/>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3.2.5其他要求</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采购包1：（1）现场具备服务条件，辅助材料、辅助设备、服务商案等全部由服务商自行制定、本项目实行包组织、包服务； （2）服务商需根据服务实际情况编制服务商案，服务计划、服务进度安排等方案措施； （3）服务商在本服务项目中的负责人，要求技术水平高、组织能力强、有丰富的实践经验，懂管理、善于协调。服务人员中的组织人员、技术人员、监管人员、辅助人员等要求有服务经验或持证上岗；服务队伍稳定，保证整个项目顺利完成，服务商未经采购人同意，不得擅自更换本项目在响应文件中指定的负责人及服务队伍； （4）服务商的主要负责人是服务安全第一责任人，服务商应建立健全安全生产责任制度和安全教育培训、安全生产检查和安全生产操作规程等各项规章制度；设立服务安全管理机构，配备专职安全员；向服务作业人员提供符合相关标准的劳动安全防护用品； （5）服务过程中，服务商应严格遵守各种管理规定及规章制度，整体修缮过程应注意现场保护、减少破坏，施工区域周围隔离墩、防护栏、数目等公共设施，注重安全、文明； （6）上路巡查发现小的问题现场维修处理，发现有严重变形的，拆回固定维修地点修整以后，再安装，如果损坏严重，无法修复的，更换与原外形、颜色一致的通讯电力箱格栅，不另外计费； （7）服务过程中必须按照国家、省、市（行业）相关标准要求，服务商根据服务特点和周边管线管网、相邻建筑物等制定专项服务商案；涉及煤气管道、高压电线以及特殊结构电力通讯箱柜格栅（或侧板、顶板、背</w:t>
      </w:r>
      <w:r w:rsidRPr="0080658D">
        <w:rPr>
          <w:rFonts w:ascii="宋体" w:eastAsia="宋体" w:hAnsi="宋体" w:cs="宋体" w:hint="eastAsia"/>
          <w:color w:val="333333"/>
          <w:kern w:val="0"/>
          <w:szCs w:val="21"/>
        </w:rPr>
        <w:lastRenderedPageBreak/>
        <w:t>板等），修缮单位可根据实际情况提出修缮方案，并以书面形式递交采购方，经采购方同意后，方可实施； （8）严格按照国家、陕西省有关规定及采购人要求进行服务，不得随意更改或者变换服务内容，每项服务内容实施前应事先取得采购人的落实后方可实施； （9）服务商应认真按照标准、规范的要求以及采购文件要求，随时接受采购方的检查检验，并为检查检验提供便利条件； （10）服务商在服务过程中使用或参考上述标准、规范以外的技术标准、规范时，应征得采购人同意。</w:t>
      </w:r>
    </w:p>
    <w:p w:rsidR="0080658D" w:rsidRPr="0080658D" w:rsidRDefault="0080658D" w:rsidP="00E0671D">
      <w:pPr>
        <w:widowControl/>
        <w:shd w:val="clear" w:color="auto" w:fill="FFFFFF"/>
        <w:spacing w:line="360" w:lineRule="auto"/>
        <w:jc w:val="left"/>
        <w:outlineLvl w:val="2"/>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3.3商务要求</w:t>
      </w:r>
    </w:p>
    <w:p w:rsidR="0080658D" w:rsidRPr="0080658D" w:rsidRDefault="0080658D" w:rsidP="00E0671D">
      <w:pPr>
        <w:widowControl/>
        <w:shd w:val="clear" w:color="auto" w:fill="FFFFFF"/>
        <w:spacing w:line="360" w:lineRule="auto"/>
        <w:jc w:val="left"/>
        <w:outlineLvl w:val="3"/>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3.3.1服务期限</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采购包1：自合同签订之日起25个日历日</w:t>
      </w:r>
    </w:p>
    <w:p w:rsidR="0080658D" w:rsidRPr="0080658D" w:rsidRDefault="0080658D" w:rsidP="00E0671D">
      <w:pPr>
        <w:widowControl/>
        <w:shd w:val="clear" w:color="auto" w:fill="FFFFFF"/>
        <w:spacing w:line="360" w:lineRule="auto"/>
        <w:jc w:val="left"/>
        <w:outlineLvl w:val="3"/>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3.3.2服务地点</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采购包1：按采购人指定地点</w:t>
      </w:r>
    </w:p>
    <w:p w:rsidR="0080658D" w:rsidRPr="0080658D" w:rsidRDefault="0080658D" w:rsidP="00E0671D">
      <w:pPr>
        <w:widowControl/>
        <w:shd w:val="clear" w:color="auto" w:fill="FFFFFF"/>
        <w:spacing w:line="360" w:lineRule="auto"/>
        <w:jc w:val="left"/>
        <w:outlineLvl w:val="3"/>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3.3.3考核（验收）标准和方法</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采购人单位根据有关规范规定，不定期对服务方的进行检查或考核，服务方须无条件的接受采购人的各类考核或检查；若审查不通过或质量不合格，服务方应在一定期限进行整改完善，以采购人要求的标准提供合格服务；因服务方原因达不到约定标准的，由服务方承担重新服务实施的全部费用，若服务商在采购人要求期限内，仍未修缮达到约定标准，采购方有权自行确定第三方修缮，产生费用均由服务商承担；若服务方在接受检查整改后，仍不能提供符合采购要求的合格服务，采购人有权按违约予以撤项。</w:t>
      </w:r>
    </w:p>
    <w:p w:rsidR="0080658D" w:rsidRPr="0080658D" w:rsidRDefault="0080658D" w:rsidP="00E0671D">
      <w:pPr>
        <w:widowControl/>
        <w:shd w:val="clear" w:color="auto" w:fill="FFFFFF"/>
        <w:spacing w:line="360" w:lineRule="auto"/>
        <w:jc w:val="left"/>
        <w:outlineLvl w:val="3"/>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3.3.4支付方式</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采购包1：分期付款</w:t>
      </w:r>
    </w:p>
    <w:p w:rsidR="0080658D" w:rsidRPr="0080658D" w:rsidRDefault="0080658D" w:rsidP="00E0671D">
      <w:pPr>
        <w:widowControl/>
        <w:shd w:val="clear" w:color="auto" w:fill="FFFFFF"/>
        <w:spacing w:line="360" w:lineRule="auto"/>
        <w:jc w:val="left"/>
        <w:outlineLvl w:val="3"/>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3.3.5支付约定</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 付款条件说明： 合同签约生效后，服务方开始服务 ，达到付款条件起 10 日内，支付合同总金额的 40.00%。</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 付款条件说明： 服务期满，所有服务完成，经验收合格，结算审计完成后 ，达到付款条件起 30 日内，支付合同总金额的 60.00%。</w:t>
      </w:r>
    </w:p>
    <w:p w:rsidR="0080658D" w:rsidRPr="0080658D" w:rsidRDefault="0080658D" w:rsidP="00E0671D">
      <w:pPr>
        <w:widowControl/>
        <w:shd w:val="clear" w:color="auto" w:fill="FFFFFF"/>
        <w:spacing w:line="360" w:lineRule="auto"/>
        <w:jc w:val="left"/>
        <w:outlineLvl w:val="3"/>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3.3.6违约责任及解决争议的方法</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采购包1：</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1.甲、乙双方必须遵守本合同并执行合同中的各项规定，保证本合同的正常履行。 2.如因乙方工作人员在履行职务过程中的疏忽、失职、过错等故意或者过失原因给甲方、乙方或第三方造成财产损失或人身损害的，乙方对此应承担全部的赔偿责任。如导致甲方承担责任或给</w:t>
      </w:r>
      <w:r w:rsidRPr="0080658D">
        <w:rPr>
          <w:rFonts w:ascii="宋体" w:eastAsia="宋体" w:hAnsi="宋体" w:cs="宋体" w:hint="eastAsia"/>
          <w:color w:val="333333"/>
          <w:kern w:val="0"/>
          <w:szCs w:val="21"/>
        </w:rPr>
        <w:lastRenderedPageBreak/>
        <w:t>甲方造成损失的，甲方有权向乙方进行追偿。 3.甲、乙双方任何一方违反本合同约定，应承担违约责任，双方约定违约金为本合同总价格的5%。本合同另有约定的除外。 4.若乙方未按本合同约定履行任意合同义务的，乙方应无条件在甲方要求的期限内整改，若乙方未按期整改或整改后履行仍不符合合同约定或甲方要求的，甲方有权单方解除本协议，乙方应按合同总价的5%向甲方支付违约金，违约金不足以赔偿甲方损失的，由乙方另行承担相应费用。 5.本合同所述乙方向甲方承担的损失赔偿等违约责任，包括但不限于赔偿金、诉讼费、差旅费、保全费、保函费、律师费等。 解决合同纠纷的方式 在执行本合同中发生的或与本合同有关的争端，双方应通过友好协商解决，经协商不能达成协议时，可向甲方所在地有管辖权的人民法院提起诉讼。</w:t>
      </w:r>
    </w:p>
    <w:p w:rsidR="0080658D" w:rsidRPr="0080658D" w:rsidRDefault="0080658D" w:rsidP="00E0671D">
      <w:pPr>
        <w:widowControl/>
        <w:shd w:val="clear" w:color="auto" w:fill="FFFFFF"/>
        <w:spacing w:line="360" w:lineRule="auto"/>
        <w:jc w:val="left"/>
        <w:outlineLvl w:val="2"/>
        <w:rPr>
          <w:rFonts w:ascii="宋体" w:eastAsia="宋体" w:hAnsi="宋体" w:cs="宋体"/>
          <w:b/>
          <w:bCs/>
          <w:color w:val="333333"/>
          <w:kern w:val="0"/>
          <w:szCs w:val="21"/>
        </w:rPr>
      </w:pPr>
      <w:r w:rsidRPr="0080658D">
        <w:rPr>
          <w:rFonts w:ascii="宋体" w:eastAsia="宋体" w:hAnsi="宋体" w:cs="宋体" w:hint="eastAsia"/>
          <w:b/>
          <w:bCs/>
          <w:color w:val="333333"/>
          <w:kern w:val="0"/>
          <w:szCs w:val="21"/>
        </w:rPr>
        <w:t>3.4其他要求</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一、供应商的磋商报价是供应商响应磋商项目要求的全部工作内容的价格体现，包括供应商完成本项目所需的直接费、间接费、利润、税金及其它相关的一切费用；包括但不限于：人工费、维护费、设备费、管理费、验收费、采购代理服务费、利润和税金等全部费用；在提供服务的过程中的任何遗漏，均由成交供应商免费提供，采购人将不再支付任何费用。</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 xml:space="preserve"> 二、磋商有效期 1.出现特殊情况需要延长磋商有效期的，采购代理机构或采购人可于磋商有效期满之前，以书面形式通知所有供应商延长磋商有效期。 2.在磋商有效期内，供应商撤销响应文件的，应承担磋商文件和法律规定的责任。 3.成交供应商的磋商有效期自动延长至合同终止为止。 </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 xml:space="preserve">三、合格供应商少于3家的处理 1.评审过程中，若出现合格供应商只有2家时，符合《政府采购竞争性磋商采购方式管理暂行办法》第3条第4项情形的，或者本项目为政府购买服务指导性目录中的，可以继续进行；只有1家时，采购人应依法重新组织采购活动。 2.评审过程中，除符合第1条条款规定情形外，若出现合格供应商少于3家时，采购人应依法重新组织采购活动。 </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 xml:space="preserve">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五、恶意质疑、投诉的法律后果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w:t>
      </w:r>
      <w:r w:rsidRPr="0080658D">
        <w:rPr>
          <w:rFonts w:ascii="宋体" w:eastAsia="宋体" w:hAnsi="宋体" w:cs="宋体" w:hint="eastAsia"/>
          <w:color w:val="333333"/>
          <w:kern w:val="0"/>
          <w:szCs w:val="21"/>
        </w:rPr>
        <w:lastRenderedPageBreak/>
        <w:t xml:space="preserve">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w:t>
      </w:r>
    </w:p>
    <w:p w:rsidR="0080658D" w:rsidRPr="0080658D" w:rsidRDefault="0080658D" w:rsidP="00E0671D">
      <w:pPr>
        <w:widowControl/>
        <w:shd w:val="clear" w:color="auto" w:fill="FFFFFF"/>
        <w:spacing w:line="360" w:lineRule="auto"/>
        <w:ind w:firstLine="480"/>
        <w:jc w:val="left"/>
        <w:rPr>
          <w:rFonts w:ascii="宋体" w:eastAsia="宋体" w:hAnsi="宋体" w:cs="宋体"/>
          <w:color w:val="333333"/>
          <w:kern w:val="0"/>
          <w:szCs w:val="21"/>
        </w:rPr>
      </w:pPr>
      <w:r w:rsidRPr="0080658D">
        <w:rPr>
          <w:rFonts w:ascii="宋体" w:eastAsia="宋体" w:hAnsi="宋体" w:cs="宋体" w:hint="eastAsia"/>
          <w:color w:val="333333"/>
          <w:kern w:val="0"/>
          <w:szCs w:val="21"/>
        </w:rPr>
        <w:t>六、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莲湖区丰登南路9号怡景花园酒店A座2层招标一部。</w:t>
      </w:r>
    </w:p>
    <w:p w:rsidR="003E7D7A" w:rsidRPr="0080658D" w:rsidRDefault="00E0671D" w:rsidP="00E0671D">
      <w:pPr>
        <w:spacing w:line="360" w:lineRule="auto"/>
        <w:rPr>
          <w:rFonts w:ascii="宋体" w:eastAsia="宋体" w:hAnsi="宋体"/>
          <w:szCs w:val="21"/>
        </w:rPr>
      </w:pPr>
    </w:p>
    <w:p w:rsidR="0080658D" w:rsidRPr="0080658D" w:rsidRDefault="00E0671D" w:rsidP="00E0671D">
      <w:pPr>
        <w:spacing w:line="360" w:lineRule="auto"/>
        <w:rPr>
          <w:rFonts w:ascii="宋体" w:eastAsia="宋体" w:hAnsi="宋体"/>
          <w:szCs w:val="21"/>
        </w:rPr>
      </w:pPr>
      <w:r w:rsidRPr="00C80176">
        <w:rPr>
          <w:rFonts w:asciiTheme="minorEastAsia" w:hAnsiTheme="minorEastAsia"/>
          <w:b/>
          <w:color w:val="FF0000"/>
          <w:szCs w:val="21"/>
        </w:rPr>
        <w:t>注：此附件采购需求仅</w:t>
      </w:r>
      <w:r w:rsidRPr="00C80176">
        <w:rPr>
          <w:rFonts w:asciiTheme="minorEastAsia" w:hAnsiTheme="minorEastAsia" w:hint="eastAsia"/>
          <w:b/>
          <w:color w:val="FF0000"/>
          <w:szCs w:val="21"/>
        </w:rPr>
        <w:t>作为</w:t>
      </w:r>
      <w:r w:rsidRPr="00C80176">
        <w:rPr>
          <w:rFonts w:asciiTheme="minorEastAsia" w:hAnsiTheme="minorEastAsia"/>
          <w:b/>
          <w:color w:val="FF0000"/>
          <w:szCs w:val="21"/>
        </w:rPr>
        <w:t>潜在供应商</w:t>
      </w:r>
      <w:r w:rsidRPr="00C80176">
        <w:rPr>
          <w:rFonts w:asciiTheme="minorEastAsia" w:hAnsiTheme="minorEastAsia" w:hint="eastAsia"/>
          <w:b/>
          <w:color w:val="FF0000"/>
          <w:szCs w:val="21"/>
        </w:rPr>
        <w:t>知晓</w:t>
      </w:r>
      <w:r w:rsidRPr="00C80176">
        <w:rPr>
          <w:rFonts w:asciiTheme="minorEastAsia" w:hAnsiTheme="minorEastAsia"/>
          <w:b/>
          <w:color w:val="FF0000"/>
          <w:szCs w:val="21"/>
        </w:rPr>
        <w:t>项目基本情况，采购文件具体内容请</w:t>
      </w:r>
      <w:r w:rsidRPr="00C80176">
        <w:rPr>
          <w:rFonts w:asciiTheme="minorEastAsia" w:hAnsiTheme="minorEastAsia" w:hint="eastAsia"/>
          <w:b/>
          <w:color w:val="FF0000"/>
          <w:szCs w:val="21"/>
        </w:rPr>
        <w:t>供应商用户</w:t>
      </w:r>
      <w:r w:rsidRPr="00C80176">
        <w:rPr>
          <w:rFonts w:asciiTheme="minorEastAsia" w:hAnsiTheme="minorEastAsia"/>
          <w:b/>
          <w:color w:val="FF0000"/>
          <w:szCs w:val="21"/>
        </w:rPr>
        <w:t>登录“</w:t>
      </w:r>
      <w:r w:rsidRPr="00C80176">
        <w:rPr>
          <w:rFonts w:asciiTheme="minorEastAsia" w:hAnsiTheme="minorEastAsia" w:hint="eastAsia"/>
          <w:b/>
          <w:color w:val="FF0000"/>
          <w:szCs w:val="21"/>
        </w:rPr>
        <w:t>陕西省政府采购综合管理平台（以下简称“政府采购平台”），进入项目电子化交易系统</w:t>
      </w:r>
      <w:r w:rsidRPr="00C80176">
        <w:rPr>
          <w:rFonts w:asciiTheme="minorEastAsia" w:hAnsiTheme="minorEastAsia"/>
          <w:b/>
          <w:color w:val="FF0000"/>
          <w:szCs w:val="21"/>
        </w:rPr>
        <w:t>”</w:t>
      </w:r>
      <w:r w:rsidRPr="00C80176">
        <w:rPr>
          <w:rFonts w:asciiTheme="minorEastAsia" w:hAnsiTheme="minorEastAsia" w:hint="eastAsia"/>
          <w:b/>
          <w:color w:val="FF0000"/>
          <w:szCs w:val="21"/>
        </w:rPr>
        <w:t>内下载的电子采购文件</w:t>
      </w:r>
      <w:r w:rsidRPr="00C80176">
        <w:rPr>
          <w:rFonts w:asciiTheme="minorEastAsia" w:hAnsiTheme="minorEastAsia"/>
          <w:b/>
          <w:color w:val="FF0000"/>
          <w:szCs w:val="21"/>
        </w:rPr>
        <w:t>为准。</w:t>
      </w:r>
    </w:p>
    <w:sectPr w:rsidR="0080658D" w:rsidRPr="0080658D" w:rsidSect="00E0671D">
      <w:pgSz w:w="11906" w:h="16838"/>
      <w:pgMar w:top="1270" w:right="1582" w:bottom="1327" w:left="163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8D"/>
    <w:rsid w:val="00601C68"/>
    <w:rsid w:val="007C6E2A"/>
    <w:rsid w:val="0080658D"/>
    <w:rsid w:val="00E06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7A603-BA40-455D-97BE-BBC81B59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0658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0658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80658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658D"/>
    <w:rPr>
      <w:rFonts w:ascii="宋体" w:eastAsia="宋体" w:hAnsi="宋体" w:cs="宋体"/>
      <w:b/>
      <w:bCs/>
      <w:kern w:val="0"/>
      <w:sz w:val="36"/>
      <w:szCs w:val="36"/>
    </w:rPr>
  </w:style>
  <w:style w:type="character" w:customStyle="1" w:styleId="3Char">
    <w:name w:val="标题 3 Char"/>
    <w:basedOn w:val="a0"/>
    <w:link w:val="3"/>
    <w:uiPriority w:val="9"/>
    <w:rsid w:val="0080658D"/>
    <w:rPr>
      <w:rFonts w:ascii="宋体" w:eastAsia="宋体" w:hAnsi="宋体" w:cs="宋体"/>
      <w:b/>
      <w:bCs/>
      <w:kern w:val="0"/>
      <w:sz w:val="27"/>
      <w:szCs w:val="27"/>
    </w:rPr>
  </w:style>
  <w:style w:type="character" w:customStyle="1" w:styleId="4Char">
    <w:name w:val="标题 4 Char"/>
    <w:basedOn w:val="a0"/>
    <w:link w:val="4"/>
    <w:uiPriority w:val="9"/>
    <w:rsid w:val="0080658D"/>
    <w:rPr>
      <w:rFonts w:ascii="宋体" w:eastAsia="宋体" w:hAnsi="宋体" w:cs="宋体"/>
      <w:b/>
      <w:bCs/>
      <w:kern w:val="0"/>
      <w:sz w:val="24"/>
      <w:szCs w:val="24"/>
    </w:rPr>
  </w:style>
  <w:style w:type="paragraph" w:styleId="a3">
    <w:name w:val="Normal (Web)"/>
    <w:basedOn w:val="a"/>
    <w:uiPriority w:val="99"/>
    <w:semiHidden/>
    <w:unhideWhenUsed/>
    <w:rsid w:val="0080658D"/>
    <w:pPr>
      <w:widowControl/>
      <w:spacing w:before="100" w:beforeAutospacing="1" w:after="100" w:afterAutospacing="1"/>
      <w:jc w:val="left"/>
    </w:pPr>
    <w:rPr>
      <w:rFonts w:ascii="宋体" w:eastAsia="宋体" w:hAnsi="宋体" w:cs="宋体"/>
      <w:kern w:val="0"/>
      <w:sz w:val="24"/>
      <w:szCs w:val="24"/>
    </w:rPr>
  </w:style>
  <w:style w:type="paragraph" w:styleId="a4">
    <w:name w:val="Body Text"/>
    <w:basedOn w:val="a"/>
    <w:link w:val="Char"/>
    <w:uiPriority w:val="99"/>
    <w:semiHidden/>
    <w:unhideWhenUsed/>
    <w:rsid w:val="0080658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4"/>
    <w:uiPriority w:val="99"/>
    <w:semiHidden/>
    <w:rsid w:val="0080658D"/>
    <w:rPr>
      <w:rFonts w:ascii="宋体" w:eastAsia="宋体" w:hAnsi="宋体" w:cs="宋体"/>
      <w:kern w:val="0"/>
      <w:sz w:val="24"/>
      <w:szCs w:val="24"/>
    </w:rPr>
  </w:style>
  <w:style w:type="character" w:styleId="a5">
    <w:name w:val="Strong"/>
    <w:basedOn w:val="a0"/>
    <w:uiPriority w:val="22"/>
    <w:qFormat/>
    <w:rsid w:val="00806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4072">
      <w:bodyDiv w:val="1"/>
      <w:marLeft w:val="0"/>
      <w:marRight w:val="0"/>
      <w:marTop w:val="0"/>
      <w:marBottom w:val="0"/>
      <w:divBdr>
        <w:top w:val="none" w:sz="0" w:space="0" w:color="auto"/>
        <w:left w:val="none" w:sz="0" w:space="0" w:color="auto"/>
        <w:bottom w:val="none" w:sz="0" w:space="0" w:color="auto"/>
        <w:right w:val="none" w:sz="0" w:space="0" w:color="auto"/>
      </w:divBdr>
      <w:divsChild>
        <w:div w:id="1307931011">
          <w:marLeft w:val="0"/>
          <w:marRight w:val="0"/>
          <w:marTop w:val="0"/>
          <w:marBottom w:val="0"/>
          <w:divBdr>
            <w:top w:val="none" w:sz="0" w:space="0" w:color="auto"/>
            <w:left w:val="none" w:sz="0" w:space="0" w:color="auto"/>
            <w:bottom w:val="none" w:sz="0" w:space="0" w:color="auto"/>
            <w:right w:val="none" w:sz="0" w:space="0" w:color="auto"/>
          </w:divBdr>
        </w:div>
        <w:div w:id="1296255787">
          <w:marLeft w:val="0"/>
          <w:marRight w:val="0"/>
          <w:marTop w:val="0"/>
          <w:marBottom w:val="0"/>
          <w:divBdr>
            <w:top w:val="none" w:sz="0" w:space="0" w:color="auto"/>
            <w:left w:val="none" w:sz="0" w:space="0" w:color="auto"/>
            <w:bottom w:val="none" w:sz="0" w:space="0" w:color="auto"/>
            <w:right w:val="none" w:sz="0" w:space="0" w:color="auto"/>
          </w:divBdr>
          <w:divsChild>
            <w:div w:id="1676303438">
              <w:marLeft w:val="0"/>
              <w:marRight w:val="0"/>
              <w:marTop w:val="0"/>
              <w:marBottom w:val="0"/>
              <w:divBdr>
                <w:top w:val="none" w:sz="0" w:space="0" w:color="auto"/>
                <w:left w:val="none" w:sz="0" w:space="0" w:color="auto"/>
                <w:bottom w:val="none" w:sz="0" w:space="0" w:color="auto"/>
                <w:right w:val="none" w:sz="0" w:space="0" w:color="auto"/>
              </w:divBdr>
              <w:divsChild>
                <w:div w:id="15016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7647">
          <w:marLeft w:val="0"/>
          <w:marRight w:val="0"/>
          <w:marTop w:val="0"/>
          <w:marBottom w:val="0"/>
          <w:divBdr>
            <w:top w:val="none" w:sz="0" w:space="0" w:color="auto"/>
            <w:left w:val="none" w:sz="0" w:space="0" w:color="auto"/>
            <w:bottom w:val="none" w:sz="0" w:space="0" w:color="auto"/>
            <w:right w:val="none" w:sz="0" w:space="0" w:color="auto"/>
          </w:divBdr>
          <w:divsChild>
            <w:div w:id="855078240">
              <w:marLeft w:val="0"/>
              <w:marRight w:val="0"/>
              <w:marTop w:val="0"/>
              <w:marBottom w:val="0"/>
              <w:divBdr>
                <w:top w:val="none" w:sz="0" w:space="0" w:color="auto"/>
                <w:left w:val="none" w:sz="0" w:space="0" w:color="auto"/>
                <w:bottom w:val="none" w:sz="0" w:space="0" w:color="auto"/>
                <w:right w:val="none" w:sz="0" w:space="0" w:color="auto"/>
              </w:divBdr>
              <w:divsChild>
                <w:div w:id="1628243419">
                  <w:marLeft w:val="0"/>
                  <w:marRight w:val="0"/>
                  <w:marTop w:val="0"/>
                  <w:marBottom w:val="0"/>
                  <w:divBdr>
                    <w:top w:val="none" w:sz="0" w:space="0" w:color="auto"/>
                    <w:left w:val="none" w:sz="0" w:space="0" w:color="auto"/>
                    <w:bottom w:val="none" w:sz="0" w:space="0" w:color="auto"/>
                    <w:right w:val="none" w:sz="0" w:space="0" w:color="auto"/>
                  </w:divBdr>
                  <w:divsChild>
                    <w:div w:id="4158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4455">
          <w:marLeft w:val="0"/>
          <w:marRight w:val="0"/>
          <w:marTop w:val="0"/>
          <w:marBottom w:val="0"/>
          <w:divBdr>
            <w:top w:val="none" w:sz="0" w:space="0" w:color="auto"/>
            <w:left w:val="none" w:sz="0" w:space="0" w:color="auto"/>
            <w:bottom w:val="none" w:sz="0" w:space="0" w:color="auto"/>
            <w:right w:val="none" w:sz="0" w:space="0" w:color="auto"/>
          </w:divBdr>
          <w:divsChild>
            <w:div w:id="1716857212">
              <w:marLeft w:val="0"/>
              <w:marRight w:val="0"/>
              <w:marTop w:val="0"/>
              <w:marBottom w:val="0"/>
              <w:divBdr>
                <w:top w:val="none" w:sz="0" w:space="0" w:color="auto"/>
                <w:left w:val="none" w:sz="0" w:space="0" w:color="auto"/>
                <w:bottom w:val="none" w:sz="0" w:space="0" w:color="auto"/>
                <w:right w:val="none" w:sz="0" w:space="0" w:color="auto"/>
              </w:divBdr>
              <w:divsChild>
                <w:div w:id="9312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1952">
          <w:marLeft w:val="0"/>
          <w:marRight w:val="0"/>
          <w:marTop w:val="0"/>
          <w:marBottom w:val="0"/>
          <w:divBdr>
            <w:top w:val="none" w:sz="0" w:space="0" w:color="auto"/>
            <w:left w:val="none" w:sz="0" w:space="0" w:color="auto"/>
            <w:bottom w:val="none" w:sz="0" w:space="0" w:color="auto"/>
            <w:right w:val="none" w:sz="0" w:space="0" w:color="auto"/>
          </w:divBdr>
          <w:divsChild>
            <w:div w:id="575434894">
              <w:marLeft w:val="0"/>
              <w:marRight w:val="0"/>
              <w:marTop w:val="0"/>
              <w:marBottom w:val="0"/>
              <w:divBdr>
                <w:top w:val="none" w:sz="0" w:space="0" w:color="auto"/>
                <w:left w:val="none" w:sz="0" w:space="0" w:color="auto"/>
                <w:bottom w:val="none" w:sz="0" w:space="0" w:color="auto"/>
                <w:right w:val="none" w:sz="0" w:space="0" w:color="auto"/>
              </w:divBdr>
              <w:divsChild>
                <w:div w:id="20777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9924">
          <w:marLeft w:val="0"/>
          <w:marRight w:val="0"/>
          <w:marTop w:val="0"/>
          <w:marBottom w:val="0"/>
          <w:divBdr>
            <w:top w:val="none" w:sz="0" w:space="0" w:color="auto"/>
            <w:left w:val="none" w:sz="0" w:space="0" w:color="auto"/>
            <w:bottom w:val="none" w:sz="0" w:space="0" w:color="auto"/>
            <w:right w:val="none" w:sz="0" w:space="0" w:color="auto"/>
          </w:divBdr>
          <w:divsChild>
            <w:div w:id="456685269">
              <w:marLeft w:val="0"/>
              <w:marRight w:val="0"/>
              <w:marTop w:val="0"/>
              <w:marBottom w:val="0"/>
              <w:divBdr>
                <w:top w:val="none" w:sz="0" w:space="0" w:color="auto"/>
                <w:left w:val="none" w:sz="0" w:space="0" w:color="auto"/>
                <w:bottom w:val="none" w:sz="0" w:space="0" w:color="auto"/>
                <w:right w:val="none" w:sz="0" w:space="0" w:color="auto"/>
              </w:divBdr>
              <w:divsChild>
                <w:div w:id="7147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7170">
          <w:marLeft w:val="0"/>
          <w:marRight w:val="0"/>
          <w:marTop w:val="0"/>
          <w:marBottom w:val="0"/>
          <w:divBdr>
            <w:top w:val="none" w:sz="0" w:space="0" w:color="auto"/>
            <w:left w:val="none" w:sz="0" w:space="0" w:color="auto"/>
            <w:bottom w:val="none" w:sz="0" w:space="0" w:color="auto"/>
            <w:right w:val="none" w:sz="0" w:space="0" w:color="auto"/>
          </w:divBdr>
          <w:divsChild>
            <w:div w:id="1091583280">
              <w:marLeft w:val="0"/>
              <w:marRight w:val="0"/>
              <w:marTop w:val="0"/>
              <w:marBottom w:val="0"/>
              <w:divBdr>
                <w:top w:val="none" w:sz="0" w:space="0" w:color="auto"/>
                <w:left w:val="none" w:sz="0" w:space="0" w:color="auto"/>
                <w:bottom w:val="none" w:sz="0" w:space="0" w:color="auto"/>
                <w:right w:val="none" w:sz="0" w:space="0" w:color="auto"/>
              </w:divBdr>
              <w:divsChild>
                <w:div w:id="20950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7973">
          <w:marLeft w:val="0"/>
          <w:marRight w:val="0"/>
          <w:marTop w:val="0"/>
          <w:marBottom w:val="0"/>
          <w:divBdr>
            <w:top w:val="none" w:sz="0" w:space="0" w:color="auto"/>
            <w:left w:val="none" w:sz="0" w:space="0" w:color="auto"/>
            <w:bottom w:val="none" w:sz="0" w:space="0" w:color="auto"/>
            <w:right w:val="none" w:sz="0" w:space="0" w:color="auto"/>
          </w:divBdr>
          <w:divsChild>
            <w:div w:id="1740252154">
              <w:marLeft w:val="0"/>
              <w:marRight w:val="0"/>
              <w:marTop w:val="0"/>
              <w:marBottom w:val="0"/>
              <w:divBdr>
                <w:top w:val="none" w:sz="0" w:space="0" w:color="auto"/>
                <w:left w:val="none" w:sz="0" w:space="0" w:color="auto"/>
                <w:bottom w:val="none" w:sz="0" w:space="0" w:color="auto"/>
                <w:right w:val="none" w:sz="0" w:space="0" w:color="auto"/>
              </w:divBdr>
              <w:divsChild>
                <w:div w:id="19211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9784">
          <w:marLeft w:val="0"/>
          <w:marRight w:val="0"/>
          <w:marTop w:val="0"/>
          <w:marBottom w:val="0"/>
          <w:divBdr>
            <w:top w:val="none" w:sz="0" w:space="0" w:color="auto"/>
            <w:left w:val="none" w:sz="0" w:space="0" w:color="auto"/>
            <w:bottom w:val="none" w:sz="0" w:space="0" w:color="auto"/>
            <w:right w:val="none" w:sz="0" w:space="0" w:color="auto"/>
          </w:divBdr>
          <w:divsChild>
            <w:div w:id="809246951">
              <w:marLeft w:val="0"/>
              <w:marRight w:val="0"/>
              <w:marTop w:val="0"/>
              <w:marBottom w:val="0"/>
              <w:divBdr>
                <w:top w:val="none" w:sz="0" w:space="0" w:color="auto"/>
                <w:left w:val="none" w:sz="0" w:space="0" w:color="auto"/>
                <w:bottom w:val="none" w:sz="0" w:space="0" w:color="auto"/>
                <w:right w:val="none" w:sz="0" w:space="0" w:color="auto"/>
              </w:divBdr>
              <w:divsChild>
                <w:div w:id="19391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616">
          <w:marLeft w:val="0"/>
          <w:marRight w:val="0"/>
          <w:marTop w:val="0"/>
          <w:marBottom w:val="0"/>
          <w:divBdr>
            <w:top w:val="none" w:sz="0" w:space="0" w:color="auto"/>
            <w:left w:val="none" w:sz="0" w:space="0" w:color="auto"/>
            <w:bottom w:val="none" w:sz="0" w:space="0" w:color="auto"/>
            <w:right w:val="none" w:sz="0" w:space="0" w:color="auto"/>
          </w:divBdr>
          <w:divsChild>
            <w:div w:id="911424793">
              <w:marLeft w:val="0"/>
              <w:marRight w:val="0"/>
              <w:marTop w:val="0"/>
              <w:marBottom w:val="0"/>
              <w:divBdr>
                <w:top w:val="none" w:sz="0" w:space="0" w:color="auto"/>
                <w:left w:val="none" w:sz="0" w:space="0" w:color="auto"/>
                <w:bottom w:val="none" w:sz="0" w:space="0" w:color="auto"/>
                <w:right w:val="none" w:sz="0" w:space="0" w:color="auto"/>
              </w:divBdr>
              <w:divsChild>
                <w:div w:id="19000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541">
          <w:marLeft w:val="0"/>
          <w:marRight w:val="0"/>
          <w:marTop w:val="0"/>
          <w:marBottom w:val="0"/>
          <w:divBdr>
            <w:top w:val="none" w:sz="0" w:space="0" w:color="auto"/>
            <w:left w:val="none" w:sz="0" w:space="0" w:color="auto"/>
            <w:bottom w:val="none" w:sz="0" w:space="0" w:color="auto"/>
            <w:right w:val="none" w:sz="0" w:space="0" w:color="auto"/>
          </w:divBdr>
          <w:divsChild>
            <w:div w:id="1049455988">
              <w:marLeft w:val="0"/>
              <w:marRight w:val="0"/>
              <w:marTop w:val="0"/>
              <w:marBottom w:val="0"/>
              <w:divBdr>
                <w:top w:val="none" w:sz="0" w:space="0" w:color="auto"/>
                <w:left w:val="none" w:sz="0" w:space="0" w:color="auto"/>
                <w:bottom w:val="none" w:sz="0" w:space="0" w:color="auto"/>
                <w:right w:val="none" w:sz="0" w:space="0" w:color="auto"/>
              </w:divBdr>
              <w:divsChild>
                <w:div w:id="3735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11600">
          <w:marLeft w:val="0"/>
          <w:marRight w:val="0"/>
          <w:marTop w:val="0"/>
          <w:marBottom w:val="0"/>
          <w:divBdr>
            <w:top w:val="none" w:sz="0" w:space="0" w:color="auto"/>
            <w:left w:val="none" w:sz="0" w:space="0" w:color="auto"/>
            <w:bottom w:val="none" w:sz="0" w:space="0" w:color="auto"/>
            <w:right w:val="none" w:sz="0" w:space="0" w:color="auto"/>
          </w:divBdr>
          <w:divsChild>
            <w:div w:id="562176546">
              <w:marLeft w:val="0"/>
              <w:marRight w:val="0"/>
              <w:marTop w:val="0"/>
              <w:marBottom w:val="0"/>
              <w:divBdr>
                <w:top w:val="none" w:sz="0" w:space="0" w:color="auto"/>
                <w:left w:val="none" w:sz="0" w:space="0" w:color="auto"/>
                <w:bottom w:val="none" w:sz="0" w:space="0" w:color="auto"/>
                <w:right w:val="none" w:sz="0" w:space="0" w:color="auto"/>
              </w:divBdr>
              <w:divsChild>
                <w:div w:id="11223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1268">
          <w:marLeft w:val="0"/>
          <w:marRight w:val="0"/>
          <w:marTop w:val="0"/>
          <w:marBottom w:val="0"/>
          <w:divBdr>
            <w:top w:val="none" w:sz="0" w:space="0" w:color="auto"/>
            <w:left w:val="none" w:sz="0" w:space="0" w:color="auto"/>
            <w:bottom w:val="none" w:sz="0" w:space="0" w:color="auto"/>
            <w:right w:val="none" w:sz="0" w:space="0" w:color="auto"/>
          </w:divBdr>
          <w:divsChild>
            <w:div w:id="2621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832</Words>
  <Characters>4747</Characters>
  <Application>Microsoft Office Word</Application>
  <DocSecurity>0</DocSecurity>
  <Lines>39</Lines>
  <Paragraphs>11</Paragraphs>
  <ScaleCrop>false</ScaleCrop>
  <Company>MS</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2024-10-16T08:13:00Z</dcterms:created>
  <dcterms:modified xsi:type="dcterms:W3CDTF">2024-10-16T08:23:00Z</dcterms:modified>
</cp:coreProperties>
</file>