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版本号：SXWL-2025-00220250402001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尚耘路（草滩七路-草滩八路）两侧环境整治项目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SXWL-2025-002</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陕西旺莱项目管理有限公司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陕西旺莱项目管理有限公司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尚耘路（草滩七路-草滩八路）两侧环境整治项目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SXWL-2025-002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尚耘路（草滩七路-草滩八路）两侧环境整治项目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尚耘路（草滩七路-草滩八路）两侧环境整治项目：包括道路南北两侧场地平整、土壤改良、铺设草皮、栽植绿篱等。切实改善未央工业园周边环境。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采购包1（尚耘路（草滩七路-草滩八路）两侧环境整治项目）：属于专门面向中小企业采购。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2、拟派项目经理资质要求：拟派项目经理具备市政工程专业二级或以上注册建造师证书和安全生产考核合格证（B证），无不良记录，且无在建项目（提供承诺书）；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029-86220199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陕西省西安市未央区陕西省西安市未央区书香水岸小区11幢底商103号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程倩雯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18142395344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采购包1：982,093.03元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按工程项目收费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陕西旺莱项目管理有限公司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一、按照合同约定执行，详见合同附件。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陕西旺莱项目管理有限公司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陕西旺莱项目管理有限公司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陕西旺莱项目管理有限公司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联系人：程倩雯</w:t>
      </w:r>
    </w:p>
    <w:p>
      <w:pPr>
        <w:pStyle w:val="null3"/>
      </w:pPr>
      <w:r>
        <w:rPr>
          <w:rFonts w:ascii="仿宋_GB2312" w:hAnsi="仿宋_GB2312" w:cs="仿宋_GB2312" w:eastAsia="仿宋_GB2312"/>
        </w:rPr>
        <w:t>联系电话：18142395344</w:t>
      </w:r>
    </w:p>
    <w:p>
      <w:pPr>
        <w:pStyle w:val="null3"/>
      </w:pPr>
      <w:r>
        <w:rPr>
          <w:rFonts w:ascii="仿宋_GB2312" w:hAnsi="仿宋_GB2312" w:cs="仿宋_GB2312" w:eastAsia="仿宋_GB2312"/>
        </w:rPr>
        <w:t>地址：陕西省西安市未央区书香水岸11幢底商103号</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982,093.03</w:t>
      </w:r>
    </w:p>
    <w:p>
      <w:pPr>
        <w:pStyle w:val="null3"/>
      </w:pPr>
      <w:r>
        <w:rPr>
          <w:rFonts w:ascii="仿宋_GB2312" w:hAnsi="仿宋_GB2312" w:cs="仿宋_GB2312" w:eastAsia="仿宋_GB2312"/>
        </w:rPr>
        <w:t>采购包最高限价（元）: 982,093.03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尚耘路（草滩七路-草滩八路）两侧环境整治项目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982,093.03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标的名称：尚耘路（草滩七路-草滩八路）两侧环境整治项目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主要功能或目标：本次整治包括道路南北两侧场地平整、土壤改良、铺设草皮、栽植绿篱等。提升完成后，切实改善未央工业园周边环境。</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技术要求及工程量清单详见附件</w:t>
            </w:r>
            <w:r>
              <w:rPr>
                <w:rFonts w:ascii="仿宋_GB2312" w:hAnsi="仿宋_GB2312" w:cs="仿宋_GB2312" w:eastAsia="仿宋_GB2312"/>
                <w:sz w:val="21"/>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1"/>
              </w:rPr>
              <w:t>30日历天</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施工地点</w:t>
            </w:r>
          </w:p>
        </w:tc>
        <w:tc>
          <w:tcPr>
            <w:tcW w:type="dxa" w:w="2076"/>
          </w:tcPr>
          <w:p>
            <w:pPr>
              <w:pStyle w:val="null3"/>
              <w:jc w:val="both"/>
            </w:pPr>
            <w:r>
              <w:rPr>
                <w:rFonts w:ascii="仿宋_GB2312" w:hAnsi="仿宋_GB2312" w:cs="仿宋_GB2312" w:eastAsia="仿宋_GB2312"/>
                <w:sz w:val="21"/>
              </w:rPr>
              <w:t>采购人指定地点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982093.03元，措施项目费为41568.81元，安全文明施工费为32482.80元，规费为43243.82元，暂列金额为42000元，供应商提交的已标价工程量清单应符合本项目工程量清单以及清单说明的要求，未按照磋商文件要求填报综合单价或超过磋商文件最高限价的，视为未响应磋商文件，作无效处理。 2.工程量清单所注明的整理绿化用地每平方米综合单价为2.79元，缺方内运每立方米综合单价为6.28元，铺种草坪每平方米综合单价为19.71元，栽植色带每平方米综合单价为209.32元，供应商提交的已标价工程量清单应符合本项目工程量清单以及清单说明的要求，未按照磋商文件要求填报综合单价或超过磋商文件最高限价的，视为未响应磋商文件，作无效处理。 3.成交人在施工期间应严格遵守国家、省、市有关防火、安全文明施工、夜间施工等规定,建立规章制度和防护措施,应按安全施工的要求,采取严格科学的安全措施,确保施工安全和第三者的安全,确保工程质量和生产安全。否则,由此造成的经济和法律责任均由成交人承担。 4.成交人应配合项目建设进度,向采购人提供本项目施工组织方案、施工进度计划和施工作业计划，并签订施工安全责任书。 5.成交供应商在领取成交通知书前，须向采购代理机构提供纸质版响应文件3套（1正2副），U盘2份（U盘需包括系统生成的全部已签章响应文件（PDF格式）、U盘标明供应商名称。）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供应商需在项目电子化交易系统中按要求填写《投标函》完成承诺并进行电子签章，并提供以下证明材料：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①财务状况报告：提供具有经审计资质单位出具的2023年度或2024年度的财务审计报告，成立时间至提交竞争性磋商响应文件截止时间不足一年的可提供成立后任意时段的资产负债表；或其首次响应文件递交截止前前六个月内基本存款账户开户银行出具的资信证明。（以上两种形式的资料提供任何一种即可）；②提供首次响应文件递交截止时间前六个月内任意时段的纳税证明或完税证明（除印花税外任意税种），纳税证明或完税证明上应有代收机构或税务机关的公章或业务专用章。依法免税的供应商应提供相关文件证明；③提供首次响应文件递交截止时间前六个月内任意时段的社会保障资金缴存单据或社保机构开具的社会保险参保缴费情况证明，依法不需要缴纳社会保障资金的单位应提供相关证明材料；④提供具有履行合同所必需的设备和专业技术能力的承诺；⑤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响应函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拟派项目经理具备市政工程专业二级或以上注册建造师证书和安全生产考核合格证（B证），无不良记录，且无在建项目（提供承诺书）；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资格证明文件.docx 施工组织设计.docx 响应文件封面 残疾人福利性单位声明函 报价函 技术和商务偏离表.docx 业绩证明材料.docx 标的清单 响应函 合同条款响应.docx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技术和商务偏离表.docx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技术和商务偏离表.docx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评审内容：施工方案及技术措施具有创新性、可靠性等，思路清晰合理，有明确的工作程序。 评审标准：施工方案及技术措施能响应招标文件服务要求，切合本项目实际情况，方案详细有针对性得5分； 未提供施工方案不得分。 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施工总平面、现场临时设施布置</w:t>
            </w:r>
          </w:p>
        </w:tc>
        <w:tc>
          <w:tcPr>
            <w:tcW w:type="dxa" w:w="2492"/>
          </w:tcPr>
          <w:p>
            <w:pPr>
              <w:pStyle w:val="null3"/>
            </w:pPr>
            <w:r>
              <w:rPr>
                <w:rFonts w:ascii="仿宋_GB2312" w:hAnsi="仿宋_GB2312" w:cs="仿宋_GB2312" w:eastAsia="仿宋_GB2312"/>
              </w:rPr>
              <w:t>评审内容：针对施工现场平面布置科学合理、临时设施解决方案。 评审标准：解决方案针对性强、扰民问题解决方案或措施完善，方案详细有针对性得4分； 未提供方案的不得分。 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项目组织管理机构及项目经理部组成</w:t>
            </w:r>
          </w:p>
        </w:tc>
        <w:tc>
          <w:tcPr>
            <w:tcW w:type="dxa" w:w="2492"/>
          </w:tcPr>
          <w:p>
            <w:pPr>
              <w:pStyle w:val="null3"/>
            </w:pPr>
            <w:r>
              <w:rPr>
                <w:rFonts w:ascii="仿宋_GB2312" w:hAnsi="仿宋_GB2312" w:cs="仿宋_GB2312" w:eastAsia="仿宋_GB2312"/>
              </w:rPr>
              <w:t>评审内容：①项目管理机构②项目经理部组成评审标准：以上内容切合本项目实际情况及实施要求，内容与要点相符、每个要点均有展开详细的阐述且能够适用于本项目的得6分； 评审内容任意一项缺项扣3分； 评审内容任意一项中有缺陷（缺陷是指：内容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评审内容：确保安全生产的技术组织措施 评审标准：技术组织措施切合本项目实际情况，内容详细有针对性得4分； 未提供措施方案不得分。 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评审内容：结合工程环境、特点分析安全隐患，给出有针对性的安全施工管理制度、文明施工、环保施工、防尘降噪等。 评审标准：以上内容切合本项目实际情况及实施要求，内容与要点相符、每个要点均有展开详细的阐述且能够适用于本项目的得6分； 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-5.9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评审内容：①劳动力计划②主要材料供应计划评审标准：以上内容切合本项目实际情况及实施要求，内容与要点相符、每个要点均有展开详细的阐述且能够适用于本项目的得6分； 评审内容任意一项缺项扣3分； 评审内容任意一项中有缺陷（缺陷是指：劳动力计划安排不合理、主要材料供应计划不满足项目需求、与项目特点不匹配、、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评审标准：施工方案切合本项目实际情况，方案详细有针对性得4分； 未提供施工机械设备配备计划不得分。 评审内容有缺陷（缺陷是指：施工机械设备配备不合理、施工机械配备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评审标准：施工方案切合本项目实际情况，方案详细有针对性得4分； 未提供措施方案不得分。 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评审标准：以上内容切合本项目实际情况及实施要求，内容与要点相符、每个要点均有展开详细的阐述且能够适用于本项目的得8分； 评审内容任意一项缺项扣4分； 评审内容任意一项中有缺陷（缺陷是指：进度计划安排不合理、措施内容简单、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评审标准：垃圾清运方案切合本项目实际情况，方案详细有针对性得4分； 未提供方案不得分。 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评审标准：以上内容与要点相符、每个要点均有展开详细的阐述且能够适用于本项目的得4分； 评审内容任意一项缺项扣2分； 评审内容任意一项中有缺陷（缺陷是指：内容简单、与项目特点不匹配、套用其他项目相关内容或存在不适用项目实际情况的情形）扣0.1-1.9分。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供应商2021年1月以来同类项目业绩；每提供1份计1分，最高得5分。业绩证明（以合同或中标/成交通知书为准，须在磋商响应文件中附以上证明材料的扫描件加盖单位公章，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