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版本号：QHY-2025-ZB-00620250328001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未央区2024年度国土变更调查及2025年日常变更调查项目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QHY-2025-ZB-006</w:t>
      </w:r>
      <w:r>
        <w:br/>
      </w:r>
      <w:r>
        <w:br/>
      </w:r>
      <w:r>
        <w:br/>
      </w:r>
    </w:p>
    <w:p>
      <w:pPr>
        <w:pStyle w:val="null3"/>
        <w:jc w:val="center"/>
        <w:outlineLvl w:val="2"/>
      </w:pPr>
      <w:r>
        <w:rPr>
          <w:rFonts w:ascii="仿宋_GB2312" w:hAnsi="仿宋_GB2312" w:cs="仿宋_GB2312" w:eastAsia="仿宋_GB2312"/>
          <w:sz w:val="28"/>
          <w:b/>
        </w:rPr>
        <w:t>西安市自然资源和规划局未央分局</w:t>
      </w:r>
    </w:p>
    <w:p>
      <w:pPr>
        <w:pStyle w:val="null3"/>
        <w:jc w:val="center"/>
        <w:outlineLvl w:val="2"/>
      </w:pPr>
      <w:r>
        <w:rPr>
          <w:rFonts w:ascii="仿宋_GB2312" w:hAnsi="仿宋_GB2312" w:cs="仿宋_GB2312" w:eastAsia="仿宋_GB2312"/>
          <w:sz w:val="28"/>
          <w:b/>
        </w:rPr>
        <w:t>陕西齐海宇工程项目管理有限公司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陕西齐海宇工程项目管理有限公司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西安市自然资源和规划局未央分局</w:t>
      </w:r>
      <w:r>
        <w:rPr>
          <w:rFonts w:ascii="仿宋_GB2312" w:hAnsi="仿宋_GB2312" w:cs="仿宋_GB2312" w:eastAsia="仿宋_GB2312"/>
        </w:rPr>
        <w:t>委托，拟对</w:t>
      </w:r>
      <w:r>
        <w:rPr>
          <w:rFonts w:ascii="仿宋_GB2312" w:hAnsi="仿宋_GB2312" w:cs="仿宋_GB2312" w:eastAsia="仿宋_GB2312"/>
        </w:rPr>
        <w:t>未央区2024年度国土变更调查及2025年日常变更调查项目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QHY-2025-ZB-006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未央区2024年度国土变更调查及2025年日常变更调查项目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未央区2024年度国土变更调查及2025年日常变更调查项目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采购包1（未央区2024年度国土变更调查及2025年日常变更调查项目）：属于专门面向中小企业采购。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1、法定代表人授权书：法定代表人直接参加磋商的，须出具法定代表人身份证明。法定代表人委托代理人参加磋商的，须出具法定代表人授权书（附法定代表人、代理人身份证复印件）。</w:t>
      </w:r>
    </w:p>
    <w:p>
      <w:pPr>
        <w:pStyle w:val="null3"/>
      </w:pPr>
      <w:r>
        <w:rPr>
          <w:rFonts w:ascii="仿宋_GB2312" w:hAnsi="仿宋_GB2312" w:cs="仿宋_GB2312" w:eastAsia="仿宋_GB2312"/>
        </w:rPr>
        <w:t>2、资质条件：供应商须具备行业主管部门颁发的乙级（含乙级）及以上测绘资质。</w:t>
      </w:r>
    </w:p>
    <w:p>
      <w:pPr>
        <w:pStyle w:val="null3"/>
      </w:pPr>
      <w:r>
        <w:rPr>
          <w:rFonts w:ascii="仿宋_GB2312" w:hAnsi="仿宋_GB2312" w:cs="仿宋_GB2312" w:eastAsia="仿宋_GB2312"/>
        </w:rPr>
        <w:t>3、信用记录：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供应商可不在响应文件中提供，采购代理机构自行查询，查询时限为响应文件递交截止之日）。</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西安市自然资源和规划局未央分局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陕西省西安市未央区龙首北路西段29号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029-86265941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陕西齐海宇工程项目管理有限公司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西安市未央区朱宏路8号保亿公元印12幢808室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029-89151632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成交单位在领取成交通知书前，须向采购代理机构一次性支付招标代理服务费。 招标代理服务费账户： 户名：陕西齐海宇工程项目管理有限公司 开户行：中国建设银行股份有限公司西安文景小区支行 账 号：610 5011 0057 8000 0078 9 请成交供应商按照要求将招标代理服务费转入以上指定账户，如因自身原因发生错误，产生的不利后果均由供应商自行承担。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西安市自然资源和规划局未央分局</w:t>
      </w:r>
      <w:r>
        <w:rPr>
          <w:rFonts w:ascii="仿宋_GB2312" w:hAnsi="仿宋_GB2312" w:cs="仿宋_GB2312" w:eastAsia="仿宋_GB2312"/>
        </w:rPr>
        <w:t>和</w:t>
      </w:r>
      <w:r>
        <w:rPr>
          <w:rFonts w:ascii="仿宋_GB2312" w:hAnsi="仿宋_GB2312" w:cs="仿宋_GB2312" w:eastAsia="仿宋_GB2312"/>
        </w:rPr>
        <w:t>陕西齐海宇工程项目管理有限公司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西安市自然资源和规划局未央分局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陕西齐海宇工程项目管理有限公司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西安市自然资源和规划局未央分局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陕西齐海宇工程项目管理有限公司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陕西齐海宇工程项目管理有限公司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联系人：陕西齐海宇工程项目管理有限公司</w:t>
      </w:r>
    </w:p>
    <w:p>
      <w:pPr>
        <w:pStyle w:val="null3"/>
      </w:pPr>
      <w:r>
        <w:rPr>
          <w:rFonts w:ascii="仿宋_GB2312" w:hAnsi="仿宋_GB2312" w:cs="仿宋_GB2312" w:eastAsia="仿宋_GB2312"/>
        </w:rPr>
        <w:t>联系电话：029-89151632</w:t>
      </w:r>
    </w:p>
    <w:p>
      <w:pPr>
        <w:pStyle w:val="null3"/>
      </w:pPr>
      <w:r>
        <w:rPr>
          <w:rFonts w:ascii="仿宋_GB2312" w:hAnsi="仿宋_GB2312" w:cs="仿宋_GB2312" w:eastAsia="仿宋_GB2312"/>
        </w:rPr>
        <w:t>地址：西安市未央区朱宏路8号保亿公元印12幢808室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未央区2024年度国土变更调查及2025年日常变更调查项目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555,000.00</w:t>
      </w:r>
    </w:p>
    <w:p>
      <w:pPr>
        <w:pStyle w:val="null3"/>
      </w:pPr>
      <w:r>
        <w:rPr>
          <w:rFonts w:ascii="仿宋_GB2312" w:hAnsi="仿宋_GB2312" w:cs="仿宋_GB2312" w:eastAsia="仿宋_GB2312"/>
        </w:rPr>
        <w:t>采购包最高限价（元）: 555,000.00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国土变更调查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标的名称：国土变更调查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80"/>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根据《自然资源部办公厅关于开展</w:t>
            </w:r>
            <w:r>
              <w:rPr>
                <w:rFonts w:ascii="仿宋_GB2312" w:hAnsi="仿宋_GB2312" w:cs="仿宋_GB2312" w:eastAsia="仿宋_GB2312"/>
                <w:sz w:val="24"/>
              </w:rPr>
              <w:t>2024年度全国国土变更调查工作的通知》(自然资办发〔2024〕44号)、《陕西省自然资源厅关于做好2024年度国土变更调查工作的通知》(陕自然资发〔2024〕1502号)、西安市自然资源和规划局《关于开展西安市2024年度国土变更调查工作的通知》(市资源发〔2024〕163号)等相关文件，要求在2023年度国土变更调查成果基础上，通过开展2024年度国土变更调查工作，全面掌握本区2024年度国土利用变化情况，进一步夯实国土调查成果作为自然资源管理工作底数、底版和底图的工作基础，扎实做好耕地保护和粮食安全责任制考核的数据准备，有效支撑高质量发展和国土空间治理现代化。</w:t>
            </w:r>
          </w:p>
          <w:p>
            <w:pPr>
              <w:pStyle w:val="null3"/>
              <w:ind w:firstLine="480"/>
              <w:jc w:val="both"/>
            </w:pPr>
            <w:r>
              <w:rPr>
                <w:rFonts w:ascii="仿宋_GB2312" w:hAnsi="仿宋_GB2312" w:cs="仿宋_GB2312" w:eastAsia="仿宋_GB2312"/>
                <w:sz w:val="24"/>
                <w:b/>
              </w:rPr>
              <w:t>二、服务内容及要求</w:t>
            </w:r>
          </w:p>
          <w:p>
            <w:pPr>
              <w:pStyle w:val="null3"/>
              <w:ind w:firstLine="480"/>
              <w:jc w:val="both"/>
            </w:pPr>
            <w:r>
              <w:rPr>
                <w:rFonts w:ascii="仿宋_GB2312" w:hAnsi="仿宋_GB2312" w:cs="仿宋_GB2312" w:eastAsia="仿宋_GB2312"/>
                <w:sz w:val="24"/>
              </w:rPr>
              <w:t>2024年度国土变更</w:t>
            </w:r>
          </w:p>
          <w:p>
            <w:pPr>
              <w:pStyle w:val="null3"/>
              <w:ind w:firstLine="480"/>
              <w:jc w:val="both"/>
            </w:pPr>
            <w:r>
              <w:rPr>
                <w:rFonts w:ascii="仿宋_GB2312" w:hAnsi="仿宋_GB2312" w:cs="仿宋_GB2312" w:eastAsia="仿宋_GB2312"/>
                <w:sz w:val="24"/>
              </w:rPr>
              <w:t>（一）国土变更调查工作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1）地类调查及举证</w:t>
            </w:r>
          </w:p>
          <w:p>
            <w:pPr>
              <w:pStyle w:val="null3"/>
              <w:ind w:firstLine="480"/>
              <w:jc w:val="both"/>
            </w:pPr>
            <w:r>
              <w:rPr>
                <w:rFonts w:ascii="仿宋_GB2312" w:hAnsi="仿宋_GB2312" w:cs="仿宋_GB2312" w:eastAsia="仿宋_GB2312"/>
                <w:sz w:val="24"/>
              </w:rPr>
              <w:t>按照以实地现状认定地类的原则，对国家下发遥感监测图斑及区县级补充提取的变化图斑进行外业实地调查及举证。利用</w:t>
            </w:r>
            <w:r>
              <w:rPr>
                <w:rFonts w:ascii="仿宋_GB2312" w:hAnsi="仿宋_GB2312" w:cs="仿宋_GB2312" w:eastAsia="仿宋_GB2312"/>
                <w:sz w:val="24"/>
              </w:rPr>
              <w:t>“互联网+”举证软件，对需举证的图斑地块拍摄包含图斑实地卫星定位坐标、拍摄方位角、拍摄时间、实地照片及举证说明等综合信息的加密举证数据包，上传至统一举证平台。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2）数据库建设</w:t>
            </w:r>
          </w:p>
          <w:p>
            <w:pPr>
              <w:pStyle w:val="null3"/>
              <w:ind w:firstLine="480"/>
              <w:jc w:val="both"/>
            </w:pPr>
            <w:r>
              <w:rPr>
                <w:rFonts w:ascii="仿宋_GB2312" w:hAnsi="仿宋_GB2312" w:cs="仿宋_GB2312" w:eastAsia="仿宋_GB2312"/>
                <w:sz w:val="24"/>
              </w:rPr>
              <w:t>按照统一的年度国土变更调查数据更新技术要求、数据库变更方法、标准及相关质量要求，采用增量更新的方式，建立更新后的国土调查数据库及年度更新数据包成果。</w:t>
            </w:r>
          </w:p>
          <w:p>
            <w:pPr>
              <w:pStyle w:val="null3"/>
              <w:ind w:firstLine="480"/>
              <w:jc w:val="both"/>
            </w:pPr>
            <w:r>
              <w:rPr>
                <w:rFonts w:ascii="仿宋_GB2312" w:hAnsi="仿宋_GB2312" w:cs="仿宋_GB2312" w:eastAsia="仿宋_GB2312"/>
                <w:sz w:val="24"/>
              </w:rPr>
              <w:t>（二）耕地资源分区分类评价更新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1）样点选取、外业调查与实验室分析</w:t>
            </w:r>
          </w:p>
          <w:p>
            <w:pPr>
              <w:pStyle w:val="null3"/>
              <w:ind w:firstLine="480"/>
              <w:jc w:val="both"/>
            </w:pPr>
            <w:r>
              <w:rPr>
                <w:rFonts w:ascii="仿宋_GB2312" w:hAnsi="仿宋_GB2312" w:cs="仿宋_GB2312" w:eastAsia="仿宋_GB2312"/>
                <w:sz w:val="24"/>
              </w:rPr>
              <w:t>按照要求进行底图制作，在底图的新增耕地</w:t>
            </w:r>
            <w:r>
              <w:rPr>
                <w:rFonts w:ascii="仿宋_GB2312" w:hAnsi="仿宋_GB2312" w:cs="仿宋_GB2312" w:eastAsia="仿宋_GB2312"/>
                <w:sz w:val="24"/>
              </w:rPr>
              <w:t>(恢复地类)、二级地类(恢复属性)变化地类图斑中选取一定数量的样点图斑进行外业调查采样，样点选取后需上传至平台，进行数据分发，分配给外业人员。外业人员实地调查耕地资源分区分类评价指标，主要包括现场确定有效土层厚度、采取土壤样品，并拍摄景观照片，土壤样品用于分析化验土壤质地、土壤有机质含量、pH值；将外业调查获取的土壤样品送到实验室进行检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2）数据赋值及数据库建设</w:t>
            </w:r>
          </w:p>
          <w:p>
            <w:pPr>
              <w:pStyle w:val="null3"/>
              <w:ind w:firstLine="480"/>
              <w:jc w:val="both"/>
            </w:pPr>
            <w:r>
              <w:rPr>
                <w:rFonts w:ascii="仿宋_GB2312" w:hAnsi="仿宋_GB2312" w:cs="仿宋_GB2312" w:eastAsia="仿宋_GB2312"/>
                <w:sz w:val="24"/>
              </w:rPr>
              <w:t>对未央自管区耕地资源质量分类数据更新数据开展数据赋值，并依据赋值情况开展数据库建设工作，形成未央自管区范围年度耕地资源质量分类数据库。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3）成果自检及配合省市进行数据修改</w:t>
            </w:r>
          </w:p>
          <w:p>
            <w:pPr>
              <w:pStyle w:val="null3"/>
              <w:ind w:firstLine="480"/>
              <w:jc w:val="both"/>
            </w:pPr>
            <w:r>
              <w:rPr>
                <w:rFonts w:ascii="仿宋_GB2312" w:hAnsi="仿宋_GB2312" w:cs="仿宋_GB2312" w:eastAsia="仿宋_GB2312"/>
                <w:sz w:val="24"/>
              </w:rPr>
              <w:t>采用人机交互的方式检查、比对、分析县级耕地资源质量分类年度更新成果是否完整、空间关系是否正确、属性是否一致、面积汇总是否正确等内容，并形成质量检查报告，需自检三次。根据省市核查安排，对核查反馈的图斑进行核实修改，数据修改工作量按照数据赋值及数据库建设工作量的</w:t>
            </w:r>
            <w:r>
              <w:rPr>
                <w:rFonts w:ascii="仿宋_GB2312" w:hAnsi="仿宋_GB2312" w:cs="仿宋_GB2312" w:eastAsia="仿宋_GB2312"/>
                <w:sz w:val="24"/>
              </w:rPr>
              <w:t>20%计。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4）数据汇总及成果报告编制</w:t>
            </w:r>
          </w:p>
          <w:p>
            <w:pPr>
              <w:pStyle w:val="null3"/>
              <w:ind w:firstLine="480"/>
              <w:jc w:val="both"/>
            </w:pPr>
            <w:r>
              <w:rPr>
                <w:rFonts w:ascii="仿宋_GB2312" w:hAnsi="仿宋_GB2312" w:cs="仿宋_GB2312" w:eastAsia="仿宋_GB2312"/>
                <w:sz w:val="24"/>
              </w:rPr>
              <w:t>对已完成的数据库进行汇总分析，汇总统计各类统计报表；依据《耕地资源质量分类年度更新与监测技术手册》要求，汇总形成未央自管区年度耕地资源质量分类成果。根据各分类单元指标属性值，按照分类指标逐项进行分级分类统计，分析不同自然区、不同坡度级、不同土壤条件、不同生态环境条件、不同熟制和不同地类条件及不同条件组合的耕地面积与分布状况，形成成果分析报告及基础资料汇编。</w:t>
            </w:r>
          </w:p>
          <w:p>
            <w:pPr>
              <w:pStyle w:val="null3"/>
              <w:ind w:firstLine="480"/>
              <w:jc w:val="both"/>
            </w:pPr>
            <w:r>
              <w:rPr>
                <w:rFonts w:ascii="仿宋_GB2312" w:hAnsi="仿宋_GB2312" w:cs="仿宋_GB2312" w:eastAsia="仿宋_GB2312"/>
                <w:sz w:val="24"/>
              </w:rPr>
              <w:t>2025年国土日常变更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1）地类调查及举证</w:t>
            </w:r>
          </w:p>
          <w:p>
            <w:pPr>
              <w:pStyle w:val="null3"/>
              <w:ind w:firstLine="480"/>
              <w:jc w:val="both"/>
            </w:pPr>
            <w:r>
              <w:rPr>
                <w:rFonts w:ascii="仿宋_GB2312" w:hAnsi="仿宋_GB2312" w:cs="仿宋_GB2312" w:eastAsia="仿宋_GB2312"/>
                <w:sz w:val="24"/>
              </w:rPr>
              <w:t>按照以实地现状认定地类的原则，对国家下发遥感监测图斑及区县级补充提取的变化图斑进行外业实地调查及举证。利用</w:t>
            </w:r>
            <w:r>
              <w:rPr>
                <w:rFonts w:ascii="仿宋_GB2312" w:hAnsi="仿宋_GB2312" w:cs="仿宋_GB2312" w:eastAsia="仿宋_GB2312"/>
                <w:sz w:val="24"/>
              </w:rPr>
              <w:t>“互联网+”举证软件，对需举证的图斑地块拍摄包含图斑实地卫星定位坐标、拍摄方位角、拍摄时间、实地照片及举证说明等综合信息的加密举证数据包，上传至统一举证平台。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2）内业数据分析及矢量数据制作</w:t>
            </w:r>
          </w:p>
          <w:p>
            <w:pPr>
              <w:pStyle w:val="null3"/>
              <w:ind w:firstLine="480"/>
              <w:jc w:val="both"/>
            </w:pPr>
            <w:r>
              <w:rPr>
                <w:rFonts w:ascii="仿宋_GB2312" w:hAnsi="仿宋_GB2312" w:cs="仿宋_GB2312" w:eastAsia="仿宋_GB2312"/>
                <w:sz w:val="24"/>
              </w:rPr>
              <w:t>对部、省下发图斑进行内业解译，依据相关管理资料以及其他调查成果，确认图斑地类属性，内业解译不能准确确认地类的图斑，根据外业调查结果确认地类属性。批次全部图斑确认地类属性后，按实际现状修改图斑边界，形成矢量数据。</w:t>
            </w:r>
          </w:p>
          <w:p>
            <w:pPr>
              <w:pStyle w:val="null3"/>
              <w:ind w:firstLine="480"/>
              <w:jc w:val="both"/>
            </w:pPr>
            <w:r>
              <w:rPr>
                <w:rFonts w:ascii="仿宋_GB2312" w:hAnsi="仿宋_GB2312" w:cs="仿宋_GB2312" w:eastAsia="仿宋_GB2312"/>
                <w:sz w:val="24"/>
                <w:b/>
              </w:rPr>
              <w:t>三、商务要求</w:t>
            </w:r>
          </w:p>
          <w:p>
            <w:pPr>
              <w:pStyle w:val="null3"/>
              <w:ind w:firstLine="480"/>
              <w:jc w:val="both"/>
            </w:pPr>
            <w:r>
              <w:rPr>
                <w:rFonts w:ascii="仿宋_GB2312" w:hAnsi="仿宋_GB2312" w:cs="仿宋_GB2312" w:eastAsia="仿宋_GB2312"/>
                <w:sz w:val="24"/>
              </w:rPr>
              <w:t>（一）服务期限</w:t>
            </w:r>
          </w:p>
          <w:p>
            <w:pPr>
              <w:pStyle w:val="null3"/>
              <w:ind w:firstLine="480"/>
              <w:jc w:val="both"/>
            </w:pPr>
            <w:r>
              <w:rPr>
                <w:rFonts w:ascii="仿宋_GB2312" w:hAnsi="仿宋_GB2312" w:cs="仿宋_GB2312" w:eastAsia="仿宋_GB2312"/>
                <w:sz w:val="24"/>
              </w:rPr>
              <w:t>自合同签订之日起至成果文件交付时止</w:t>
            </w:r>
          </w:p>
          <w:p>
            <w:pPr>
              <w:pStyle w:val="null3"/>
              <w:ind w:firstLine="480"/>
              <w:jc w:val="both"/>
            </w:pPr>
            <w:r>
              <w:rPr>
                <w:rFonts w:ascii="仿宋_GB2312" w:hAnsi="仿宋_GB2312" w:cs="仿宋_GB2312" w:eastAsia="仿宋_GB2312"/>
                <w:sz w:val="24"/>
              </w:rPr>
              <w:t>（二）服务地点</w:t>
            </w:r>
          </w:p>
          <w:p>
            <w:pPr>
              <w:pStyle w:val="null3"/>
              <w:ind w:firstLine="480"/>
              <w:jc w:val="both"/>
            </w:pPr>
            <w:r>
              <w:rPr>
                <w:rFonts w:ascii="仿宋_GB2312" w:hAnsi="仿宋_GB2312" w:cs="仿宋_GB2312" w:eastAsia="仿宋_GB2312"/>
                <w:sz w:val="24"/>
              </w:rPr>
              <w:t>未央区</w:t>
            </w:r>
          </w:p>
          <w:p>
            <w:pPr>
              <w:pStyle w:val="null3"/>
              <w:ind w:firstLine="480"/>
              <w:jc w:val="both"/>
            </w:pPr>
            <w:r>
              <w:rPr>
                <w:rFonts w:ascii="仿宋_GB2312" w:hAnsi="仿宋_GB2312" w:cs="仿宋_GB2312" w:eastAsia="仿宋_GB2312"/>
                <w:sz w:val="24"/>
              </w:rPr>
              <w:t>（三）款项结算</w:t>
            </w:r>
          </w:p>
          <w:p>
            <w:pPr>
              <w:pStyle w:val="null3"/>
              <w:ind w:firstLine="480"/>
              <w:jc w:val="both"/>
            </w:pPr>
            <w:r>
              <w:rPr>
                <w:rFonts w:ascii="仿宋_GB2312" w:hAnsi="仿宋_GB2312" w:cs="仿宋_GB2312" w:eastAsia="仿宋_GB2312"/>
                <w:sz w:val="24"/>
              </w:rPr>
              <w:t>1、合同签订生效且乙方调查工作正式启动后 ，达到付款条件起30日内，支付合同总金额的70.00%。</w:t>
            </w:r>
          </w:p>
          <w:p>
            <w:pPr>
              <w:pStyle w:val="null3"/>
              <w:ind w:firstLine="480"/>
              <w:jc w:val="both"/>
            </w:pPr>
            <w:r>
              <w:rPr>
                <w:rFonts w:ascii="仿宋_GB2312" w:hAnsi="仿宋_GB2312" w:cs="仿宋_GB2312" w:eastAsia="仿宋_GB2312"/>
                <w:sz w:val="24"/>
              </w:rPr>
              <w:t>2、乙方完成本合同全部约定服务事项，并向甲方提供全部服务资料并经甲方验收合格后 ，达到付款条件起30日内，支付合同总金额的30.00%。</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自合同签订之日起至成果文件交付时止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未央区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合同签订生效且乙方调查工作正式启动后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乙方完成本合同全部约定服务事项，并向甲方提供全部服务资料并经甲方验收合格后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供应商需在项目电子化交易系统中按要求填写《投标函》完成承诺，同时提供以下资料并进行电子签章： a.具有独立承担民事责任能力的法人、其他组织或自然人并出具合法有效的营业执照或事业单位法人证书等国家规定的相关证明，自然人参与的提供其身份证明。 b.财务状况证明：提供2023年度或2024年度经审计的财务报告（成立时间至提交磋商响应文件截止时间不足一年的可提供成立后任意时段的资产负债表），或其基本存款账户开户银行出具的资信证明及基本存款账户开户许可证（基本账户信息表）。 c.社会保障资金缴纳证明：提供磋商响应文件递交截止时间前一年内已缴存的至少一个月的社会保障资金缴存单据或社保机构开具的社会保险参保缴费情况证明，依法不需要缴纳社会保障资金的单位应提供相关证明材料。 d.税收缴纳证明：提供磋商响应文件递交截止时间前一年内已缴纳的至少一个月的纳税证明或完税证明，依法免税的单位应提供相关证明材料。 e.参加政府采购活动前三年内，在经营活动中没有重大违法记录的书面声明。 f.提供具有履行合同所必需的设备和专业技术能力的承诺。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关于财务会计制度的证明材料：财务状况证明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供应商认为有必要说明的其它内容或资料.docx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供应商须具备行业主管部门颁发的乙级（含乙级）及以上测绘资质。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案件当事人名单的供应商，不得为中国政府采购网（www.ccgp.gov.cn）政府采购严重违法失信行为记录名单中被财政部门禁止参加政府采购活动的供应商；（此项供应商可不在响应文件中提供，采购代理机构自行查询，查询时限为响应文件递交截止之日）。</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应满足磋商文件中要求的合同履行期限</w:t>
            </w:r>
          </w:p>
        </w:tc>
        <w:tc>
          <w:tcPr>
            <w:tcW w:type="dxa" w:w="1661"/>
          </w:tcPr>
          <w:p>
            <w:pPr>
              <w:pStyle w:val="null3"/>
            </w:pPr>
            <w:r>
              <w:rPr>
                <w:rFonts w:ascii="仿宋_GB2312" w:hAnsi="仿宋_GB2312" w:cs="仿宋_GB2312" w:eastAsia="仿宋_GB2312"/>
              </w:rPr>
              <w:t>供应商认为有必要说明的其它内容或资料.docx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供应商认为有必要说明的其它内容或资料.docx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根据供应商提供的①项目前期资料收集、分析；②项目区域现状及现状问题分析；③项目实施步骤；④工作目标等。 根据以上每项内容详细、全面、细致程度计[0-5]分，未提供不计分。本项共计20分。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供应商认为有必要说明的其它内容或资料.docx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提供的①项目组织架构；②服务内容；③工作流程；④工作进度计划及成果交付时限；⑤拟投入设备；⑥技术报告编写等。根据以上每项内容详细、全面、细致程度计[0-3]分，未提供不计分。本项共计18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供应商认为有必要说明的其它内容或资料.docx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根据供应商提供的①项目实施质量保证措施；②项目成果质量保证措施等方面进行综合评分。根据以上每项内容详细、全面、细致程度计[0-3]分，未提供不计分。本项共计6分。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供应商认为有必要说明的其它内容或资料.docx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1、拟派项目负责人具有测绘专业高级职称证书的；计2分；其他不计分； 2、派项目人员（除项目负责人外）具备中级或以上规划、测绘专业职称证书每人计1分，计满4分为止。 3、所配备项目团队人员，专业知识构架全面，具备规划、测绘等专业技术能力，岗位职责明确，具有专业职称的操作人员：10人（含）以上得3分，6-9人得2分，5人（含）以下得1分；注：以上内容须提供拟派人员的有效证明材料（含身份证、相关证书），未提供证明材料或提供不完整的均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供应商认为有必要说明的其它内容或资料.docx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根据供应商提供的①保密承诺和相关措施；②档案管理制度；③数据安全保密措施。以上内容每提供一项，根据内容详细、全面、细致程度计[0-2]分，未提供不计分。本项共计6分。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供应商认为有必要说明的其它内容或资料.docx</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根据供应商提供的①重难点分析；②合理化建议；③应急措施。以上内容每提供一项，根据内容详细、全面、细致程度计[0-2]分，未提供不计分。本项共计6分。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供应商认为有必要说明的其它内容或资料.docx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供应商提供的①售后服务流程；②售后服务机构与人员设立；③售后服务范围期限；④服务响应计划；⑤服务管理及质量保证等方面进行综合评分。根据以上每项内容详细、全面、细致程度计[0-2]分，未提供不计分。本项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供应商认为有必要说明的其它内容或资料.docx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具备提供本项目所需服务的能力，提供近年（2022年1月1日起至今）已完成的类似业绩合同为准，提供一个业绩计1分，计满5分为止。 注:未提供或未盖章或不清晰无法判断的不计分。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供应商认为有必要说明的其它内容或资料.docx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分20分。3、磋商报价得分=（磋商基准价/最终磋商报价）×20。 4、磋商报价不完整的，不进入磋商基准价的计算，本项得0分。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详见附件：供应商认为有必要说明的其它内容或资料.docx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