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版本号：SXZHZB2025-ZC001-CS20250115001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西安市次支路微改造治理工程（第一批40条)（未央区4条)监理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SXZHZB2025-ZC001-CS</w:t>
      </w:r>
      <w:r>
        <w:br/>
      </w:r>
      <w:r>
        <w:br/>
      </w:r>
      <w:r>
        <w:br/>
      </w:r>
    </w:p>
    <w:p>
      <w:pPr>
        <w:pStyle w:val="null3"/>
        <w:jc w:val="center"/>
        <w:outlineLvl w:val="2"/>
      </w:pPr>
      <w:r>
        <w:rPr>
          <w:rFonts w:ascii="仿宋_GB2312" w:hAnsi="仿宋_GB2312" w:cs="仿宋_GB2312" w:eastAsia="仿宋_GB2312"/>
          <w:sz w:val="28"/>
          <w:b/>
        </w:rPr>
        <w:t>西安市未央区住房和城市建设局</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2025年01月15日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西安市未央区住房和城市建设局</w:t>
      </w:r>
      <w:r>
        <w:rPr>
          <w:rFonts w:ascii="仿宋_GB2312" w:hAnsi="仿宋_GB2312" w:cs="仿宋_GB2312" w:eastAsia="仿宋_GB2312"/>
        </w:rPr>
        <w:t>委托，拟对</w:t>
      </w:r>
      <w:r>
        <w:rPr>
          <w:rFonts w:ascii="仿宋_GB2312" w:hAnsi="仿宋_GB2312" w:cs="仿宋_GB2312" w:eastAsia="仿宋_GB2312"/>
        </w:rPr>
        <w:t>西安市次支路微改造治理工程（第一批40条)（未央区4条)监理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SXZHZB2025-ZC001-CS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西安市次支路微改造治理工程（第一批40条)（未央区4条)监理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次支路微改造治理工程（第一批40条）（未央区4条）监理为西安市次支路微改造治理工程（第一批40条)（未央区4条）施工和保修阶段内全部监理工作。具体包含本项目施工过程中的质量、安全、进度、投资控制，资料管理、信息管理及协调施工现场各方关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采购包1（西安市次支路微改造治理工程（第一批40条)（未央区4条)监理）：属于专门面向中小企业采购。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 代表人身份证明：法定代表人授权书（附法定代表人、被授权人身份证复印件）及被授权人身份证（法定代表人直接参加磋商，须提供法定代表人身份证明及身份证）；</w:t>
      </w:r>
    </w:p>
    <w:p>
      <w:pPr>
        <w:pStyle w:val="null3"/>
      </w:pPr>
      <w:r>
        <w:rPr>
          <w:rFonts w:ascii="仿宋_GB2312" w:hAnsi="仿宋_GB2312" w:cs="仿宋_GB2312" w:eastAsia="仿宋_GB2312"/>
        </w:rPr>
        <w:t>2、企业资质：供应商须具备建设行政主管部门颁发的工程监理综合资质或市政公用工程监理乙级及以上资质；</w:t>
      </w:r>
    </w:p>
    <w:p>
      <w:pPr>
        <w:pStyle w:val="null3"/>
      </w:pPr>
      <w:r>
        <w:rPr>
          <w:rFonts w:ascii="仿宋_GB2312" w:hAnsi="仿宋_GB2312" w:cs="仿宋_GB2312" w:eastAsia="仿宋_GB2312"/>
        </w:rPr>
        <w:t>3、拟派总监理工程师：拟派的项目总监理工程师具备市政公用工程专业国家注册监理工程师资格证书；</w:t>
      </w:r>
    </w:p>
    <w:p>
      <w:pPr>
        <w:pStyle w:val="null3"/>
      </w:pPr>
      <w:r>
        <w:rPr>
          <w:rFonts w:ascii="仿宋_GB2312" w:hAnsi="仿宋_GB2312" w:cs="仿宋_GB2312" w:eastAsia="仿宋_GB2312"/>
        </w:rPr>
        <w:t>4、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信用记录由采购代理机构在资格审查阶段时通过互联网或者相关系统查询，对列入失信被执行人、重大税收违法失信主体、政府采购严重违法失信行为记录名单的供应商，采购人和采购代理机构将拒绝其参与政府采购活动，查询结果以纸质方式留存）；</w:t>
      </w:r>
    </w:p>
    <w:p>
      <w:pPr>
        <w:pStyle w:val="null3"/>
      </w:pPr>
      <w:r>
        <w:rPr>
          <w:rFonts w:ascii="仿宋_GB2312" w:hAnsi="仿宋_GB2312" w:cs="仿宋_GB2312" w:eastAsia="仿宋_GB2312"/>
        </w:rPr>
        <w:t>5、联合体：本项目不接受联合体磋商，不允许分包。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西安市未央区住房和城市建设局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未央区永祥路9号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029-86254311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采购包1：296,224.00元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lt;招标代理服务收费管理暂行办法&gt;的通知》（计价格【2002】1980号）和《国家发展和改革委员会办公厅关于印发&lt;招标代理服务收费管理暂行办法&gt;的通知》（发改办价格【2003】857号）标准计取。 2、招标代理服务费由成交供应商支付，在领取《成交通知书》前，由成交供应商一次性支付给陕西纵横项目管理有限公司。 3、招标代理服务费缴纳账户： 开户名称：陕西纵横项目管理有限公司 开户银行：浙商银行股份有限公司西安未央路支行 账号：7910000610120100029478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西安市未央区住房和城市建设局</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西安市未央区住房和城市建设局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西安市未央区住房和城市建设局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联系人：曹工</w:t>
      </w:r>
    </w:p>
    <w:p>
      <w:pPr>
        <w:pStyle w:val="null3"/>
      </w:pPr>
      <w:r>
        <w:rPr>
          <w:rFonts w:ascii="仿宋_GB2312" w:hAnsi="仿宋_GB2312" w:cs="仿宋_GB2312" w:eastAsia="仿宋_GB2312"/>
        </w:rPr>
        <w:t>联系电话：029-86252018转805</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次支路微改造治理工程（第一批40条）（未央区4条）监理为西安市次支路微改造治理工程（第一批40条)（未央区4条）施工和保修阶段内全部监理工作。具体包含本项目施工过程中的质量、安全、进度、投资控制，资料管理、信息管理及协调施工现场各方关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296,224.00</w:t>
      </w:r>
    </w:p>
    <w:p>
      <w:pPr>
        <w:pStyle w:val="null3"/>
      </w:pPr>
      <w:r>
        <w:rPr>
          <w:rFonts w:ascii="仿宋_GB2312" w:hAnsi="仿宋_GB2312" w:cs="仿宋_GB2312" w:eastAsia="仿宋_GB2312"/>
        </w:rPr>
        <w:t>采购包最高限价（元）: 296,224.00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西安市次支路微改造治理工程（第一批40条)（未央区4条)监理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296,224.00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标的名称：西安市次支路微改造治理工程（第一批40条)（未央区4条)监理</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技术要求</w:t>
            </w:r>
          </w:p>
        </w:tc>
        <w:tc>
          <w:tcPr>
            <w:tcW w:type="dxa" w:w="2076"/>
          </w:tcPr>
          <w:p>
            <w:pPr>
              <w:pStyle w:val="null3"/>
              <w:ind w:firstLine="420"/>
              <w:jc w:val="left"/>
            </w:pPr>
            <w:r>
              <w:rPr>
                <w:rFonts w:ascii="仿宋_GB2312" w:hAnsi="仿宋_GB2312" w:cs="仿宋_GB2312" w:eastAsia="仿宋_GB2312"/>
                <w:sz w:val="21"/>
              </w:rPr>
              <w:t>1.1项目名称：西安市次支路微改造治理工程（第一批40条)（未央区4条)监理</w:t>
            </w:r>
          </w:p>
          <w:p>
            <w:pPr>
              <w:pStyle w:val="null3"/>
              <w:jc w:val="left"/>
            </w:pPr>
            <w:r>
              <w:rPr>
                <w:rFonts w:ascii="仿宋_GB2312" w:hAnsi="仿宋_GB2312" w:cs="仿宋_GB2312" w:eastAsia="仿宋_GB2312"/>
                <w:sz w:val="21"/>
              </w:rPr>
              <w:t>1.2监理服务期：自项目开工令发出之日起至项目施工验收合格之日止。</w:t>
            </w:r>
          </w:p>
          <w:p>
            <w:pPr>
              <w:pStyle w:val="null3"/>
            </w:pPr>
            <w:r>
              <w:rPr>
                <w:rFonts w:ascii="仿宋_GB2312" w:hAnsi="仿宋_GB2312" w:cs="仿宋_GB2312" w:eastAsia="仿宋_GB2312"/>
                <w:sz w:val="21"/>
              </w:rPr>
              <w:t>1.3服务地点：西安市未央区。</w:t>
            </w:r>
          </w:p>
          <w:p>
            <w:pPr>
              <w:pStyle w:val="null3"/>
            </w:pPr>
            <w:r>
              <w:rPr>
                <w:rFonts w:ascii="仿宋_GB2312" w:hAnsi="仿宋_GB2312" w:cs="仿宋_GB2312" w:eastAsia="仿宋_GB2312"/>
                <w:sz w:val="22"/>
              </w:rPr>
              <w:t>1.4服务质量：达到国家现行施工验收规范“合格”标准。</w:t>
            </w:r>
          </w:p>
          <w:p>
            <w:pPr>
              <w:pStyle w:val="null3"/>
            </w:pPr>
            <w:r>
              <w:rPr>
                <w:rFonts w:ascii="仿宋_GB2312" w:hAnsi="仿宋_GB2312" w:cs="仿宋_GB2312" w:eastAsia="仿宋_GB2312"/>
                <w:sz w:val="22"/>
              </w:rPr>
              <w:t>1.5服务范围：为西安市次支路微改造治理工程（第一批40条)（未央区4条）施工和保修阶段内全部监理工作。具体包含本项目施工过程中的质量、安全、进度、投资控制，资料管理、信息管理及协调施工现场各方关系。</w:t>
            </w:r>
          </w:p>
          <w:p>
            <w:pPr>
              <w:pStyle w:val="null3"/>
              <w:ind w:firstLine="420"/>
              <w:jc w:val="left"/>
            </w:pPr>
          </w:p>
        </w:tc>
      </w:tr>
      <w:tr>
        <w:tc>
          <w:tcPr>
            <w:tcW w:type="dxa" w:w="2076"/>
          </w:tcPr>
          <w:p/>
        </w:tc>
        <w:tc>
          <w:tcPr>
            <w:tcW w:type="dxa" w:w="2076"/>
          </w:tcPr>
          <w:p>
            <w:pPr>
              <w:pStyle w:val="null3"/>
            </w:pPr>
            <w:r>
              <w:rPr>
                <w:rFonts w:ascii="仿宋_GB2312" w:hAnsi="仿宋_GB2312" w:cs="仿宋_GB2312" w:eastAsia="仿宋_GB2312"/>
              </w:rPr>
              <w:t>2</w:t>
            </w:r>
          </w:p>
        </w:tc>
        <w:tc>
          <w:tcPr>
            <w:tcW w:type="dxa" w:w="2076"/>
          </w:tcPr>
          <w:p>
            <w:pPr>
              <w:pStyle w:val="null3"/>
            </w:pPr>
            <w:r>
              <w:rPr>
                <w:rFonts w:ascii="仿宋_GB2312" w:hAnsi="仿宋_GB2312" w:cs="仿宋_GB2312" w:eastAsia="仿宋_GB2312"/>
              </w:rPr>
              <w:t>监理目标</w:t>
            </w:r>
          </w:p>
        </w:tc>
        <w:tc>
          <w:tcPr>
            <w:tcW w:type="dxa" w:w="2076"/>
          </w:tcPr>
          <w:p>
            <w:pPr>
              <w:pStyle w:val="null3"/>
              <w:ind w:firstLine="420"/>
              <w:jc w:val="both"/>
            </w:pPr>
            <w:r>
              <w:rPr>
                <w:rFonts w:ascii="仿宋_GB2312" w:hAnsi="仿宋_GB2312" w:cs="仿宋_GB2312" w:eastAsia="仿宋_GB2312"/>
                <w:sz w:val="21"/>
              </w:rPr>
              <w:t>2.1确保所监理的工程能够达到该工程施工合同所约定的质量标准和质量目标；</w:t>
            </w:r>
          </w:p>
          <w:p>
            <w:pPr>
              <w:pStyle w:val="null3"/>
              <w:jc w:val="left"/>
            </w:pPr>
            <w:r>
              <w:rPr>
                <w:rFonts w:ascii="仿宋_GB2312" w:hAnsi="仿宋_GB2312" w:cs="仿宋_GB2312" w:eastAsia="仿宋_GB2312"/>
                <w:sz w:val="21"/>
              </w:rPr>
              <w:t>2.2确保承包方能够按合同中要求的合同工期完成任务并及时交付使用；</w:t>
            </w:r>
          </w:p>
          <w:p>
            <w:pPr>
              <w:pStyle w:val="null3"/>
              <w:jc w:val="left"/>
            </w:pPr>
            <w:r>
              <w:rPr>
                <w:rFonts w:ascii="仿宋_GB2312" w:hAnsi="仿宋_GB2312" w:cs="仿宋_GB2312" w:eastAsia="仿宋_GB2312"/>
                <w:sz w:val="21"/>
              </w:rPr>
              <w:t>2.3要求在整个项目实施阶段开展管理活动，实现项目的实际投资不超过计划投资；</w:t>
            </w:r>
          </w:p>
          <w:p>
            <w:pPr>
              <w:pStyle w:val="null3"/>
            </w:pPr>
            <w:r>
              <w:rPr>
                <w:rFonts w:ascii="仿宋_GB2312" w:hAnsi="仿宋_GB2312" w:cs="仿宋_GB2312" w:eastAsia="仿宋_GB2312"/>
                <w:sz w:val="21"/>
              </w:rPr>
              <w:t>2.4认真审查施工组织设计中的安全技术措施和专项施工方案，确保承包人建立健全安全生产责任制和安全生产专项系统，落实安全预防措施，确保工地安全无事故。</w:t>
            </w:r>
          </w:p>
          <w:p>
            <w:pPr>
              <w:pStyle w:val="null3"/>
              <w:ind w:firstLine="420"/>
              <w:jc w:val="both"/>
            </w:pPr>
          </w:p>
        </w:tc>
      </w:tr>
      <w:tr>
        <w:tc>
          <w:tcPr>
            <w:tcW w:type="dxa" w:w="2076"/>
          </w:tcPr>
          <w:p/>
        </w:tc>
        <w:tc>
          <w:tcPr>
            <w:tcW w:type="dxa" w:w="2076"/>
          </w:tcPr>
          <w:p>
            <w:pPr>
              <w:pStyle w:val="null3"/>
            </w:pPr>
            <w:r>
              <w:rPr>
                <w:rFonts w:ascii="仿宋_GB2312" w:hAnsi="仿宋_GB2312" w:cs="仿宋_GB2312" w:eastAsia="仿宋_GB2312"/>
              </w:rPr>
              <w:t>3</w:t>
            </w:r>
          </w:p>
        </w:tc>
        <w:tc>
          <w:tcPr>
            <w:tcW w:type="dxa" w:w="2076"/>
          </w:tcPr>
          <w:p>
            <w:pPr>
              <w:pStyle w:val="null3"/>
            </w:pPr>
            <w:r>
              <w:rPr>
                <w:rFonts w:ascii="仿宋_GB2312" w:hAnsi="仿宋_GB2312" w:cs="仿宋_GB2312" w:eastAsia="仿宋_GB2312"/>
              </w:rPr>
              <w:t>服务要求</w:t>
            </w:r>
          </w:p>
        </w:tc>
        <w:tc>
          <w:tcPr>
            <w:tcW w:type="dxa" w:w="2076"/>
          </w:tcPr>
          <w:p>
            <w:pPr>
              <w:pStyle w:val="null3"/>
              <w:ind w:firstLine="420"/>
              <w:jc w:val="both"/>
            </w:pPr>
            <w:r>
              <w:rPr>
                <w:rFonts w:ascii="仿宋_GB2312" w:hAnsi="仿宋_GB2312" w:cs="仿宋_GB2312" w:eastAsia="仿宋_GB2312"/>
                <w:sz w:val="21"/>
              </w:rPr>
              <w:t>3.1严格执行委托人关于建设工程全过程跟踪监理的有关规定，履行各项职责，接受委托人的监督。</w:t>
            </w:r>
          </w:p>
          <w:p>
            <w:pPr>
              <w:pStyle w:val="null3"/>
              <w:jc w:val="left"/>
            </w:pPr>
            <w:r>
              <w:rPr>
                <w:rFonts w:ascii="仿宋_GB2312" w:hAnsi="仿宋_GB2312" w:cs="仿宋_GB2312" w:eastAsia="仿宋_GB2312"/>
                <w:sz w:val="21"/>
              </w:rPr>
              <w:t>3.2建立完善工作制度：</w:t>
            </w:r>
          </w:p>
          <w:p>
            <w:pPr>
              <w:pStyle w:val="null3"/>
              <w:jc w:val="left"/>
            </w:pPr>
            <w:r>
              <w:rPr>
                <w:rFonts w:ascii="仿宋_GB2312" w:hAnsi="仿宋_GB2312" w:cs="仿宋_GB2312" w:eastAsia="仿宋_GB2312"/>
                <w:sz w:val="21"/>
              </w:rPr>
              <w:t>定期沟通制度：成交人定期将监理情况及时向委托人汇报。内容主要包括目前监理工作的进度，监理工作中发现的问题及需要协调的事项。</w:t>
            </w:r>
          </w:p>
          <w:p>
            <w:pPr>
              <w:pStyle w:val="null3"/>
              <w:jc w:val="left"/>
            </w:pPr>
            <w:r>
              <w:rPr>
                <w:rFonts w:ascii="仿宋_GB2312" w:hAnsi="仿宋_GB2312" w:cs="仿宋_GB2312" w:eastAsia="仿宋_GB2312"/>
                <w:sz w:val="21"/>
              </w:rPr>
              <w:t>3.3建立固定联系人制度：明确该监理项目的项目负责人，项目负责人作为与委托人的固定联系人，成交人如需变更则应以书面形式向委托人提出并经委托人书面同意后才能变更。</w:t>
            </w:r>
          </w:p>
          <w:p>
            <w:pPr>
              <w:pStyle w:val="null3"/>
              <w:jc w:val="left"/>
            </w:pPr>
            <w:r>
              <w:rPr>
                <w:rFonts w:ascii="仿宋_GB2312" w:hAnsi="仿宋_GB2312" w:cs="仿宋_GB2312" w:eastAsia="仿宋_GB2312"/>
                <w:sz w:val="21"/>
              </w:rPr>
              <w:t>3.4重大问题请示报告制度：各项目小组在工作中遇到的重大、紧急的、需及时与有关各方沟通及协调处理的问题，经项目负责人提出初步意见后，以重大问题报告的形式随时向提交。</w:t>
            </w:r>
          </w:p>
          <w:p>
            <w:pPr>
              <w:pStyle w:val="null3"/>
              <w:jc w:val="left"/>
            </w:pPr>
            <w:r>
              <w:rPr>
                <w:rFonts w:ascii="仿宋_GB2312" w:hAnsi="仿宋_GB2312" w:cs="仿宋_GB2312" w:eastAsia="仿宋_GB2312"/>
                <w:sz w:val="21"/>
              </w:rPr>
              <w:t>3.5对委托人的服务通知（包括接件及领资料），成交人须在接报后1小时内响应，2小时内到达现场；并保证当委托人有需要时，在3小时内将所有资料按要求完成签名及加盖相应印章后交回委托人。所有需要加盖公章的必须加盖成交人的公章。</w:t>
            </w:r>
          </w:p>
          <w:p>
            <w:pPr>
              <w:pStyle w:val="null3"/>
              <w:jc w:val="left"/>
            </w:pPr>
            <w:r>
              <w:rPr>
                <w:rFonts w:ascii="仿宋_GB2312" w:hAnsi="仿宋_GB2312" w:cs="仿宋_GB2312" w:eastAsia="仿宋_GB2312"/>
                <w:sz w:val="21"/>
              </w:rPr>
              <w:t>3.6本项目跟踪监理，成交人派人进驻现场，实施对工程项目全过程跟踪监理。派驻现场人员确保身体健康，能够适应工程现场工作。且应按响应文件中承诺的人员组织安排，不得更换，如确要变动，需报经委托人书面同意（响应文件需附人员名单及相关资格证书复印件、联系方式）。</w:t>
            </w:r>
          </w:p>
          <w:p>
            <w:pPr>
              <w:pStyle w:val="null3"/>
              <w:jc w:val="left"/>
            </w:pPr>
            <w:r>
              <w:rPr>
                <w:rFonts w:ascii="仿宋_GB2312" w:hAnsi="仿宋_GB2312" w:cs="仿宋_GB2312" w:eastAsia="仿宋_GB2312"/>
                <w:sz w:val="21"/>
              </w:rPr>
              <w:t>3.7验收：工程完工后，由委托人、使用单位组织项目总监及相关人员按照国家行业规范标准和文献资料进行审核、考评。</w:t>
            </w:r>
          </w:p>
          <w:p>
            <w:pPr>
              <w:pStyle w:val="null3"/>
              <w:jc w:val="left"/>
            </w:pPr>
            <w:r>
              <w:rPr>
                <w:rFonts w:ascii="仿宋_GB2312" w:hAnsi="仿宋_GB2312" w:cs="仿宋_GB2312" w:eastAsia="仿宋_GB2312"/>
                <w:sz w:val="21"/>
              </w:rPr>
              <w:t>3.8中标单位应在合同签订后接招标方通知之日起7个日历日内安排人员（项目组成人员简历表所列）与使用单位实施工作进行安排、部署、计划。若未能在按照项目实际施工时间完成规定的义务，由此对招标方造成的延误和一切损失，由中标单位承担和赔偿。</w:t>
            </w:r>
          </w:p>
          <w:p>
            <w:pPr>
              <w:pStyle w:val="null3"/>
            </w:pPr>
            <w:r>
              <w:rPr>
                <w:rFonts w:ascii="仿宋_GB2312" w:hAnsi="仿宋_GB2312" w:cs="仿宋_GB2312" w:eastAsia="仿宋_GB2312"/>
                <w:sz w:val="21"/>
              </w:rPr>
              <w:t>3.9合同金额付清后，该监理项目的所有监理取证资料及监理工作底稿以及监理报告版权属委托人所有，成交人需将相关监理资料按委托人要求提交委托人归档。如有需要，委托人可随时查阅成交人的监理归档材料。</w:t>
            </w:r>
          </w:p>
          <w:p>
            <w:pPr>
              <w:pStyle w:val="null3"/>
              <w:ind w:firstLine="420"/>
              <w:jc w:val="both"/>
            </w:pPr>
          </w:p>
        </w:tc>
      </w:tr>
      <w:tr>
        <w:tc>
          <w:tcPr>
            <w:tcW w:type="dxa" w:w="2076"/>
          </w:tcPr>
          <w:p/>
        </w:tc>
        <w:tc>
          <w:tcPr>
            <w:tcW w:type="dxa" w:w="2076"/>
          </w:tcPr>
          <w:p>
            <w:pPr>
              <w:pStyle w:val="null3"/>
            </w:pPr>
            <w:r>
              <w:rPr>
                <w:rFonts w:ascii="仿宋_GB2312" w:hAnsi="仿宋_GB2312" w:cs="仿宋_GB2312" w:eastAsia="仿宋_GB2312"/>
              </w:rPr>
              <w:t>4</w:t>
            </w:r>
          </w:p>
        </w:tc>
        <w:tc>
          <w:tcPr>
            <w:tcW w:type="dxa" w:w="2076"/>
          </w:tcPr>
          <w:p>
            <w:pPr>
              <w:pStyle w:val="null3"/>
            </w:pPr>
            <w:r>
              <w:rPr>
                <w:rFonts w:ascii="仿宋_GB2312" w:hAnsi="仿宋_GB2312" w:cs="仿宋_GB2312" w:eastAsia="仿宋_GB2312"/>
              </w:rPr>
              <w:t>适用规范标准</w:t>
            </w:r>
          </w:p>
        </w:tc>
        <w:tc>
          <w:tcPr>
            <w:tcW w:type="dxa" w:w="2076"/>
          </w:tcPr>
          <w:p>
            <w:pPr>
              <w:pStyle w:val="null3"/>
              <w:ind w:firstLine="420"/>
              <w:jc w:val="both"/>
            </w:pPr>
            <w:r>
              <w:rPr>
                <w:rFonts w:ascii="仿宋_GB2312" w:hAnsi="仿宋_GB2312" w:cs="仿宋_GB2312" w:eastAsia="仿宋_GB2312"/>
                <w:sz w:val="21"/>
              </w:rPr>
              <w:t>国家、行业、项目所在地现行规范。</w:t>
            </w:r>
          </w:p>
          <w:p>
            <w:pPr>
              <w:pStyle w:val="null3"/>
              <w:jc w:val="left"/>
            </w:pPr>
            <w:r>
              <w:rPr>
                <w:rFonts w:ascii="仿宋_GB2312" w:hAnsi="仿宋_GB2312" w:cs="仿宋_GB2312" w:eastAsia="仿宋_GB2312"/>
                <w:sz w:val="21"/>
              </w:rPr>
              <w:t>1、《建设工程监理规范》GB50319-2013。</w:t>
            </w:r>
          </w:p>
          <w:p>
            <w:pPr>
              <w:pStyle w:val="null3"/>
            </w:pPr>
            <w:r>
              <w:rPr>
                <w:rFonts w:ascii="仿宋_GB2312" w:hAnsi="仿宋_GB2312" w:cs="仿宋_GB2312" w:eastAsia="仿宋_GB2312"/>
                <w:sz w:val="21"/>
              </w:rPr>
              <w:t>2、《建筑工程质量验收统一标准》GB50300-2013。</w:t>
            </w:r>
          </w:p>
          <w:p>
            <w:pPr>
              <w:pStyle w:val="null3"/>
              <w:ind w:firstLine="420"/>
              <w:jc w:val="both"/>
            </w:pPr>
          </w:p>
        </w:tc>
      </w:tr>
      <w:tr>
        <w:tc>
          <w:tcPr>
            <w:tcW w:type="dxa" w:w="2076"/>
          </w:tcPr>
          <w:p/>
        </w:tc>
        <w:tc>
          <w:tcPr>
            <w:tcW w:type="dxa" w:w="2076"/>
          </w:tcPr>
          <w:p>
            <w:pPr>
              <w:pStyle w:val="null3"/>
            </w:pPr>
            <w:r>
              <w:rPr>
                <w:rFonts w:ascii="仿宋_GB2312" w:hAnsi="仿宋_GB2312" w:cs="仿宋_GB2312" w:eastAsia="仿宋_GB2312"/>
              </w:rPr>
              <w:t>5</w:t>
            </w:r>
          </w:p>
        </w:tc>
        <w:tc>
          <w:tcPr>
            <w:tcW w:type="dxa" w:w="2076"/>
          </w:tcPr>
          <w:p>
            <w:pPr>
              <w:pStyle w:val="null3"/>
            </w:pPr>
            <w:r>
              <w:rPr>
                <w:rFonts w:ascii="仿宋_GB2312" w:hAnsi="仿宋_GB2312" w:cs="仿宋_GB2312" w:eastAsia="仿宋_GB2312"/>
              </w:rPr>
              <w:t>补充条款</w:t>
            </w:r>
          </w:p>
        </w:tc>
        <w:tc>
          <w:tcPr>
            <w:tcW w:type="dxa" w:w="2076"/>
          </w:tcPr>
          <w:p>
            <w:pPr>
              <w:pStyle w:val="null3"/>
              <w:ind w:firstLine="420"/>
              <w:jc w:val="both"/>
            </w:pPr>
            <w:r>
              <w:rPr>
                <w:rFonts w:ascii="仿宋_GB2312" w:hAnsi="仿宋_GB2312" w:cs="仿宋_GB2312" w:eastAsia="仿宋_GB2312"/>
                <w:sz w:val="21"/>
              </w:rPr>
              <w:t>1、除合同另有约定外，本工程适用现行国家、省、市、行业和地方规范、标准和规程。</w:t>
            </w:r>
          </w:p>
          <w:p>
            <w:pPr>
              <w:pStyle w:val="null3"/>
              <w:jc w:val="left"/>
            </w:pPr>
            <w:r>
              <w:rPr>
                <w:rFonts w:ascii="仿宋_GB2312" w:hAnsi="仿宋_GB2312" w:cs="仿宋_GB2312" w:eastAsia="仿宋_GB2312"/>
                <w:sz w:val="21"/>
              </w:rPr>
              <w:t>2、规范、标准和规程如发生不一致时，则以要求最为严格的规范、规程或标准作为工作依据。</w:t>
            </w:r>
          </w:p>
          <w:p>
            <w:pPr>
              <w:pStyle w:val="null3"/>
            </w:pPr>
            <w:r>
              <w:rPr>
                <w:rFonts w:ascii="仿宋_GB2312" w:hAnsi="仿宋_GB2312" w:cs="仿宋_GB2312" w:eastAsia="仿宋_GB2312"/>
                <w:sz w:val="21"/>
              </w:rPr>
              <w:t>3、在合同履行期间，监理人应满足委托人的特定技术要求，满足设计要求，满足陕西省及西安市的有关强制性规定；监理人应严格执行中华人民共和国强制性标准，执行现行的或即将颁布的行业标准、规范；如有新颁国家标准及行业标准、规范，委托人指令执行时，监理人应当执行。</w:t>
            </w:r>
          </w:p>
          <w:p>
            <w:pPr>
              <w:pStyle w:val="null3"/>
              <w:ind w:firstLine="420"/>
              <w:jc w:val="both"/>
            </w:pPr>
          </w:p>
        </w:tc>
      </w:tr>
      <w:tr>
        <w:tc>
          <w:tcPr>
            <w:tcW w:type="dxa" w:w="2076"/>
          </w:tcPr>
          <w:p/>
        </w:tc>
        <w:tc>
          <w:tcPr>
            <w:tcW w:type="dxa" w:w="2076"/>
          </w:tcPr>
          <w:p>
            <w:pPr>
              <w:pStyle w:val="null3"/>
            </w:pPr>
            <w:r>
              <w:rPr>
                <w:rFonts w:ascii="仿宋_GB2312" w:hAnsi="仿宋_GB2312" w:cs="仿宋_GB2312" w:eastAsia="仿宋_GB2312"/>
              </w:rPr>
              <w:t>6</w:t>
            </w:r>
          </w:p>
        </w:tc>
        <w:tc>
          <w:tcPr>
            <w:tcW w:type="dxa" w:w="2076"/>
          </w:tcPr>
          <w:p>
            <w:pPr>
              <w:pStyle w:val="null3"/>
            </w:pPr>
            <w:r>
              <w:rPr>
                <w:rFonts w:ascii="仿宋_GB2312" w:hAnsi="仿宋_GB2312" w:cs="仿宋_GB2312" w:eastAsia="仿宋_GB2312"/>
              </w:rPr>
              <w:t>其他说明</w:t>
            </w:r>
          </w:p>
        </w:tc>
        <w:tc>
          <w:tcPr>
            <w:tcW w:type="dxa" w:w="2076"/>
          </w:tcPr>
          <w:p>
            <w:pPr>
              <w:pStyle w:val="null3"/>
              <w:ind w:firstLine="420"/>
              <w:jc w:val="both"/>
            </w:pPr>
            <w:r>
              <w:rPr>
                <w:rFonts w:ascii="仿宋_GB2312" w:hAnsi="仿宋_GB2312" w:cs="仿宋_GB2312" w:eastAsia="仿宋_GB2312"/>
                <w:sz w:val="21"/>
              </w:rPr>
              <w:t>工程开工前应做好施工组织设计，严格遵守有关安全法规文件，针对本工程特点，制定安全专项施工方案，消除事故隐患。</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自项目开工令发出之日起至项目施工验收合格之日止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西安市未央区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工程开工后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每个季度工程实际完成进度同比例支付监理服务费，监理人根据每个季度验收合格工程量价款的80%，结合监理费费率计算出监理费进度款酬金，向发包人提出监理费进度款支付申请，待发包人审查批准后，根据实际情况进行支付，即支付招标合同价（即中标价）的70％时暂停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待工程验收合格、出具验收证书且完成竣工结算、财务对账确认后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因违反或终止合同而引起的对对方损失和损害的赔偿，双方应当协商解决，如未能达成一致时，根据双方约定提交仲裁机关仲裁，或向甲方住所地人民法院起诉。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是供应商应在磋商报价表中标明完成本项目所要求内容且验收合格的所有费用，总价包括但不限于监理服务费、人工费、运杂费、采购代理服务费、税金等其他一切相关费用。任何有选择的报价将不予接受，否则按无效磋商处理。 （2）项目类型：服务 （3）本项目所属行业为：其他未列明行业。从业人员300人以下的为中小微型企业。其中，从业人员100人及以上的为中型企业；从业人员10人及以上的为小型企业；从业人员10人以下的为微型企业。 （4）按照西安市财政局关于促进政府采购公平竞争优化营商环境的通知&gt;(市财函(2021)431号)规定:供应商登记免费领取磋商文件的，如不参与项目投标，应在递交磋商响应文件截止时间前一日以书面形式告知采购代理机构。否则，采购代理机构可以向财政部门反映情况并提供相应的佐证。供应商一年内累计出现三次该情形，将被监管部门记录为失信行为。 （5）本项目是否属于信用担保试点范围：否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磋商截止时间前6个月内任意时段的依法缴纳税收的相关凭据（时间以税款所属日期为准），依法免税或无须缴纳税收的供应商应提供相关证明材料；3、提供磋商截止时间前6个月内任意时段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提供2023年度经审计的财务会计报告（至少包括审计报告、资产负债表和利润表，成立时间至提交磋商响应文件截止时间不足一年的可提供成立后任意时段的资产负债表）；2、或提供供应商开户许可证（或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资格证明文件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 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法定代表人授权书（附法定代表人、被授权人身份证复印件）及被授权人身份证（法定代表人直接参加磋商，须提供法定代表人身份证明及身份证）；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供应商须具备建设行政主管部门颁发的工程监理综合资质或市政公用工程监理乙级及以上资质；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拟派总监理工程师</w:t>
            </w:r>
          </w:p>
        </w:tc>
        <w:tc>
          <w:tcPr>
            <w:tcW w:type="dxa" w:w="3322"/>
          </w:tcPr>
          <w:p>
            <w:pPr>
              <w:pStyle w:val="null3"/>
            </w:pPr>
            <w:r>
              <w:rPr>
                <w:rFonts w:ascii="仿宋_GB2312" w:hAnsi="仿宋_GB2312" w:cs="仿宋_GB2312" w:eastAsia="仿宋_GB2312"/>
              </w:rPr>
              <w:t>拟派的项目总监理工程师具备市政公用工程专业国家注册监理工程师资格证书；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信用记录由采购代理机构在资格审查阶段时通过互联网或者相关系统查询，对列入失信被执行人、重大税收违法失信主体、政府采购严重违法失信行为记录名单的供应商，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本项目不接受联合体磋商，不允许分包。</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磋商报价表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业绩 其它说明 标的清单 陕西省政府采购供应商拒绝政府采购领域商业贿赂承诺书 报价表 磋商报价表 响应函 商务条款偏离表 磋商方案说明书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业绩 其它说明 标的清单 陕西省政府采购供应商拒绝政府采购领域商业贿赂承诺书 报价表 磋商报价表 响应函 商务条款偏离表 磋商方案说明书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标的清单 报价表 磋商报价表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业绩 其它说明 标的清单 陕西省政府采购供应商拒绝政府采购领域商业贿赂承诺书 报价表 磋商报价表 响应函 商务条款偏离表 磋商方案说明书</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业绩 其它说明 标的清单 陕西省政府采购供应商拒绝政府采购领域商业贿赂承诺书 报价表 磋商报价表 响应函 商务条款偏离表 磋商方案说明书</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监理服务期、服务质量</w:t>
            </w:r>
          </w:p>
        </w:tc>
        <w:tc>
          <w:tcPr>
            <w:tcW w:type="dxa" w:w="3322"/>
          </w:tcPr>
          <w:p>
            <w:pPr>
              <w:pStyle w:val="null3"/>
            </w:pPr>
            <w:r>
              <w:rPr>
                <w:rFonts w:ascii="仿宋_GB2312" w:hAnsi="仿宋_GB2312" w:cs="仿宋_GB2312" w:eastAsia="仿宋_GB2312"/>
              </w:rPr>
              <w:t>应满足磋商文件中要求的监理服务期、服务质量</w:t>
            </w:r>
          </w:p>
        </w:tc>
        <w:tc>
          <w:tcPr>
            <w:tcW w:type="dxa" w:w="1661"/>
          </w:tcPr>
          <w:p>
            <w:pPr>
              <w:pStyle w:val="null3"/>
            </w:pPr>
            <w:r>
              <w:rPr>
                <w:rFonts w:ascii="仿宋_GB2312" w:hAnsi="仿宋_GB2312" w:cs="仿宋_GB2312" w:eastAsia="仿宋_GB2312"/>
              </w:rPr>
              <w:t>磋商报价表 商务条款偏离表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应满足竞争性磋商文件中要求的服务地点</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则由全体磋商小组成员无记名投票，得票高者排序在前。</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详细评审90.0000分</w:t>
            </w:r>
          </w:p>
          <w:p>
            <w:pPr>
              <w:pStyle w:val="null3"/>
            </w:pPr>
            <w:r>
              <w:rPr>
                <w:rFonts w:ascii="仿宋_GB2312" w:hAnsi="仿宋_GB2312" w:cs="仿宋_GB2312" w:eastAsia="仿宋_GB2312"/>
              </w:rPr>
              <w:t>报价得分10.0000分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监理大纲1</w:t>
            </w:r>
          </w:p>
        </w:tc>
        <w:tc>
          <w:tcPr>
            <w:tcW w:type="dxa" w:w="2492"/>
          </w:tcPr>
          <w:p>
            <w:pPr>
              <w:pStyle w:val="null3"/>
            </w:pPr>
            <w:r>
              <w:rPr>
                <w:rFonts w:ascii="仿宋_GB2312" w:hAnsi="仿宋_GB2312" w:cs="仿宋_GB2312" w:eastAsia="仿宋_GB2312"/>
              </w:rPr>
              <w:t>监理工作目标明确、工作程序和工作制度齐全，得（10-15）分；监理工作目标较明确、工作程序和工作制度较齐全，得（5-10）分；监理工作目标不明确、工作程序和工作制度不健全，得（0-5）分；不提供不得分。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监理大纲2</w:t>
            </w:r>
          </w:p>
        </w:tc>
        <w:tc>
          <w:tcPr>
            <w:tcW w:type="dxa" w:w="2492"/>
          </w:tcPr>
          <w:p>
            <w:pPr>
              <w:pStyle w:val="null3"/>
            </w:pPr>
            <w:r>
              <w:rPr>
                <w:rFonts w:ascii="仿宋_GB2312" w:hAnsi="仿宋_GB2312" w:cs="仿宋_GB2312" w:eastAsia="仿宋_GB2312"/>
              </w:rPr>
              <w:t>项目监理机构组织完善、合理，得（7-10）分；项目监理机构组织较完善、较合理，得（3-7）分；项目监理机构组织不完善、不合理，得（0-3）分；不提供不得分。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监理大纲3</w:t>
            </w:r>
          </w:p>
        </w:tc>
        <w:tc>
          <w:tcPr>
            <w:tcW w:type="dxa" w:w="2492"/>
          </w:tcPr>
          <w:p>
            <w:pPr>
              <w:pStyle w:val="null3"/>
            </w:pPr>
            <w:r>
              <w:rPr>
                <w:rFonts w:ascii="仿宋_GB2312" w:hAnsi="仿宋_GB2312" w:cs="仿宋_GB2312" w:eastAsia="仿宋_GB2312"/>
              </w:rPr>
              <w:t>安全防护控制措施、环境保护、文明施工控制措施完善、合理、可行，得（10-15）分；较完善、较合理，得（5-10）分；措施一般、可行性较差，得（0-5）分；不提供不得分。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监理大纲4</w:t>
            </w:r>
          </w:p>
        </w:tc>
        <w:tc>
          <w:tcPr>
            <w:tcW w:type="dxa" w:w="2492"/>
          </w:tcPr>
          <w:p>
            <w:pPr>
              <w:pStyle w:val="null3"/>
            </w:pPr>
            <w:r>
              <w:rPr>
                <w:rFonts w:ascii="仿宋_GB2312" w:hAnsi="仿宋_GB2312" w:cs="仿宋_GB2312" w:eastAsia="仿宋_GB2312"/>
              </w:rPr>
              <w:t>本工程重点、难点部位的监理措施，重点部位的控制方法和旁站监理部位清单清晰明了，得（7-10）分；措施、清单较完善合理，得（3-7）分；措施、清单不清晰，得（0-3）分；不提供不得分。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监理大纲5</w:t>
            </w:r>
          </w:p>
        </w:tc>
        <w:tc>
          <w:tcPr>
            <w:tcW w:type="dxa" w:w="2492"/>
          </w:tcPr>
          <w:p>
            <w:pPr>
              <w:pStyle w:val="null3"/>
            </w:pPr>
            <w:r>
              <w:rPr>
                <w:rFonts w:ascii="仿宋_GB2312" w:hAnsi="仿宋_GB2312" w:cs="仿宋_GB2312" w:eastAsia="仿宋_GB2312"/>
              </w:rPr>
              <w:t>合同管理、信息管理措施的全面合理性，科学合理，得（7-10）分；较科学合理，得（3-7）分；一般科学合理，得（0-3）分；不提供不得分。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监理大纲6</w:t>
            </w:r>
          </w:p>
        </w:tc>
        <w:tc>
          <w:tcPr>
            <w:tcW w:type="dxa" w:w="2492"/>
          </w:tcPr>
          <w:p>
            <w:pPr>
              <w:pStyle w:val="null3"/>
            </w:pPr>
            <w:r>
              <w:rPr>
                <w:rFonts w:ascii="仿宋_GB2312" w:hAnsi="仿宋_GB2312" w:cs="仿宋_GB2312" w:eastAsia="仿宋_GB2312"/>
              </w:rPr>
              <w:t>施工中各种矛盾组织协调及保修阶段的服务工作的保修阶段监理服务工作计划，矛盾分析、化解措施及保修阶段监理服务计划完整的，得（7-10）分；较完整，得（3-7）分；一般完整，得（0-3）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磋商文件内容要求作出相关服务承诺，包括但不限于服务质量承诺、监理服务期限承诺，问题处理时限，现场监理服务质量保证措施等。磋商小组根据服务承诺内容综合评价，具有详细服务承诺内容，承诺内容清楚、条理清晰、内容详实具体得（5-10分）； 具有服务承诺内容，但承诺内容模糊、条理不明确、内容不详实得（0-5分）。无服务承诺的不得分。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具有自2022年1月1日至今类似业绩，每提供1份有效业绩得5分，最高得10分。 注：证明材料以合同为准，合同有效时间以合同签订时间为准，在响应文件中附合同关键页复印件，合同金额及合同签订时间以合同中体现的内容为准。未按要求提供的不得分。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1.经初审合格的磋商响应文件，其磋商报价为有效磋商报价，并进行价格评审。 2.满足磋商文件实质性要求且最终报价最低的供应商的价格为磋商基准价，其价格分为满分10分。 3.磋商报价得分=（磋商基准价/最终磋商报价）×10的公式计算得分。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w:t>
      </w:r>
    </w:p>
    <w:p>
      <w:pPr>
        <w:pStyle w:val="null3"/>
        <w:ind w:firstLine="960"/>
      </w:pPr>
      <w:r>
        <w:rPr>
          <w:rFonts w:ascii="仿宋_GB2312" w:hAnsi="仿宋_GB2312" w:cs="仿宋_GB2312" w:eastAsia="仿宋_GB2312"/>
        </w:rPr>
        <w:t>详见附件：磋商方案说明书</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详见附件：其它说明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