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版本号：0617-2576GZ007720250121003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长青变电站文勘清表项目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0617-2576GZ0077</w:t>
      </w:r>
      <w:r>
        <w:br/>
      </w:r>
      <w:r>
        <w:br/>
      </w:r>
      <w:r>
        <w:br/>
      </w:r>
    </w:p>
    <w:p>
      <w:pPr>
        <w:pStyle w:val="null3"/>
        <w:jc w:val="center"/>
        <w:outlineLvl w:val="2"/>
      </w:pPr>
      <w:r>
        <w:rPr>
          <w:rFonts w:ascii="仿宋_GB2312" w:hAnsi="仿宋_GB2312" w:cs="仿宋_GB2312" w:eastAsia="仿宋_GB2312"/>
          <w:sz w:val="28"/>
          <w:b/>
        </w:rPr>
        <w:t>西安市未央区谭家街道办事处</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西安市未央区谭家街道办事处</w:t>
      </w:r>
      <w:r>
        <w:rPr>
          <w:rFonts w:ascii="仿宋_GB2312" w:hAnsi="仿宋_GB2312" w:cs="仿宋_GB2312" w:eastAsia="仿宋_GB2312"/>
        </w:rPr>
        <w:t>委托，拟对</w:t>
      </w:r>
      <w:r>
        <w:rPr>
          <w:rFonts w:ascii="仿宋_GB2312" w:hAnsi="仿宋_GB2312" w:cs="仿宋_GB2312" w:eastAsia="仿宋_GB2312"/>
        </w:rPr>
        <w:t>长青变电站文勘清表项目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0617-2576GZ0077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长青变电站文勘清表项目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长青变电站文勘清表项目，破除面积6.684亩，20cm厚混凝士路面4456.02平方米，砍伐清理野生树木、杂草；开挖：地表下垃圾杂填土，深度暂定3.5m，挖掘及清运量约15603立方米；拆除建筑垃圾及垃圾杂填土；现场装料运输至弃置点；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采购包1（常青变电站文勘清表项目）：属于专门面向中小企业采购。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3、税收缴纳证明：提供2024年1月至今已缴纳的任意1个月的纳税证明或完税证明，依法免税的单位应提供相关证明材料。供应商需在项目电子化交易系统中按要求上传相应证明文件并进行电子签章。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至今已缴纳的任意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被授权人身份证明：法定代表人授权书及被授权人身份证明（法定代表人直接参加磋商的须提供其法定代表人身份证明），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政府采购严重违法失信行为记录名单中被财政部门禁止参加政府采购活动的供应商（本项内容由采购代理机构查询，节点为投标文件递交截止时间）。</w:t>
      </w:r>
    </w:p>
    <w:p>
      <w:pPr>
        <w:pStyle w:val="null3"/>
      </w:pPr>
      <w:r>
        <w:rPr>
          <w:rFonts w:ascii="仿宋_GB2312" w:hAnsi="仿宋_GB2312" w:cs="仿宋_GB2312" w:eastAsia="仿宋_GB2312"/>
        </w:rPr>
        <w:t>9、中小企业：本合同包为专门面向中小企业采购（提供中小企业声明函或监狱企业的证明文件或残疾人福利性单位声明函）。供应商需在项目电子化交易系统中按要求上传相应证明文件并进行电子签章。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10、资质等级：供应商须具备建筑工程施工总承包三级及以上资质，同时具备建设行政主管部门核发有效的安全生产许可证。供应商需在项目电子化交易系统中按要求上传相应证明文件并进行电子签章。</w:t>
      </w:r>
    </w:p>
    <w:p>
      <w:pPr>
        <w:pStyle w:val="null3"/>
      </w:pPr>
      <w:r>
        <w:rPr>
          <w:rFonts w:ascii="仿宋_GB2312" w:hAnsi="仿宋_GB2312" w:cs="仿宋_GB2312" w:eastAsia="仿宋_GB2312"/>
        </w:rPr>
        <w:t>11、拟派项目负责人资质和专业要求：拟派项目经理须具备建筑工程专业二级及以上建造师证书，并具有有效的安全生产考核合格证（B证），本单位注册且无在建项目（须提供无在建项目的相关证明材料或承诺书）。供应商需在项目电子化交易系统中按要求上传相应证明文件并进行电子签章。</w:t>
      </w:r>
    </w:p>
    <w:p>
      <w:pPr>
        <w:pStyle w:val="null3"/>
      </w:pPr>
      <w:r>
        <w:rPr>
          <w:rFonts w:ascii="仿宋_GB2312" w:hAnsi="仿宋_GB2312" w:cs="仿宋_GB2312" w:eastAsia="仿宋_GB2312"/>
        </w:rPr>
        <w:t>12、是否接受联合体投标：本项目不接受联合体投标。供应商需在项目电子化交易系统中按要求上传相应证明文件并进行电子签章。</w:t>
      </w:r>
    </w:p>
    <w:p>
      <w:pPr>
        <w:pStyle w:val="null3"/>
      </w:pPr>
      <w:r>
        <w:rPr>
          <w:rFonts w:ascii="仿宋_GB2312" w:hAnsi="仿宋_GB2312" w:cs="仿宋_GB2312" w:eastAsia="仿宋_GB2312"/>
        </w:rPr>
        <w:t>13、其他要求：单位负责人为同一人或者存在直接控股、管理关系的不同供应商不得参加同一合同项下的政府采购活动；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西安市未央区谭家街道办事处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未央区渭滨街158号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西安市未央区谭家街道办事处经办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15353895436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石皓楠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029-89328565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采购包1：2,014,815.54元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代理服务费收费标准：参照国家计委关于《招标代理服务收费管理暂行办法》（计价格[2002]1980号）、《关于招标代理服务收费有关问题的通知》（[2003]857号）规定执行。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西安市未央区谭家街道办事处</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西安市未央区谭家街道办事处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西安市未央区谭家街道办事处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具体内容详见本项目合同附件。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2,014,815.54</w:t>
      </w:r>
    </w:p>
    <w:p>
      <w:pPr>
        <w:pStyle w:val="null3"/>
      </w:pPr>
      <w:r>
        <w:rPr>
          <w:rFonts w:ascii="仿宋_GB2312" w:hAnsi="仿宋_GB2312" w:cs="仿宋_GB2312" w:eastAsia="仿宋_GB2312"/>
        </w:rPr>
        <w:t>采购包最高限价（元）: 2,014,815.54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长青变电站文勘清表</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2,014,815.54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标的名称：长青变电站文勘清表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一、项目简介</w:t>
            </w:r>
          </w:p>
        </w:tc>
        <w:tc>
          <w:tcPr>
            <w:tcW w:type="dxa" w:w="2076"/>
          </w:tcPr>
          <w:p>
            <w:pPr>
              <w:pStyle w:val="null3"/>
              <w:ind w:firstLine="640"/>
            </w:pPr>
            <w:r>
              <w:rPr>
                <w:rFonts w:ascii="仿宋_GB2312" w:hAnsi="仿宋_GB2312" w:cs="仿宋_GB2312" w:eastAsia="仿宋_GB2312"/>
                <w:sz w:val="21"/>
              </w:rPr>
              <w:t>常青变电站文堪清表项目位于护卫路以北，亲仁路以南，景云路以东，善邻巷以西。</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二、项目建设主要内容及指标</w:t>
            </w:r>
          </w:p>
        </w:tc>
        <w:tc>
          <w:tcPr>
            <w:tcW w:type="dxa" w:w="2076"/>
          </w:tcPr>
          <w:p>
            <w:pPr>
              <w:pStyle w:val="null3"/>
              <w:ind w:firstLine="640"/>
            </w:pPr>
            <w:r>
              <w:rPr>
                <w:rFonts w:ascii="仿宋_GB2312" w:hAnsi="仿宋_GB2312" w:cs="仿宋_GB2312" w:eastAsia="仿宋_GB2312"/>
                <w:sz w:val="21"/>
              </w:rPr>
              <w:t>1.破除面积6.684亩，20cm厚混凝士路面4456.02平方米，砍伐清理野生树木、杂草；</w:t>
            </w:r>
            <w:r>
              <w:rPr>
                <w:rFonts w:ascii="仿宋_GB2312" w:hAnsi="仿宋_GB2312" w:cs="仿宋_GB2312" w:eastAsia="仿宋_GB2312"/>
                <w:sz w:val="21"/>
              </w:rPr>
              <w:t>2.开挖：地表下垃圾杂填土，深度暂定3.5m，挖掘及清运量约15603立方米；</w:t>
            </w:r>
            <w:r>
              <w:rPr>
                <w:rFonts w:ascii="仿宋_GB2312" w:hAnsi="仿宋_GB2312" w:cs="仿宋_GB2312" w:eastAsia="仿宋_GB2312"/>
                <w:sz w:val="21"/>
              </w:rPr>
              <w:t>3.拆除建筑垃圾及垃圾杂填土；</w:t>
            </w:r>
            <w:r>
              <w:rPr>
                <w:rFonts w:ascii="仿宋_GB2312" w:hAnsi="仿宋_GB2312" w:cs="仿宋_GB2312" w:eastAsia="仿宋_GB2312"/>
                <w:sz w:val="21"/>
              </w:rPr>
              <w:t>4.现场装料运输至弃置点</w:t>
            </w:r>
            <w:r>
              <w:rPr>
                <w:rFonts w:ascii="仿宋_GB2312" w:hAnsi="仿宋_GB2312" w:cs="仿宋_GB2312" w:eastAsia="仿宋_GB2312"/>
                <w:sz w:val="21"/>
              </w:rPr>
              <w:t>；</w:t>
            </w:r>
            <w:r>
              <w:rPr>
                <w:rFonts w:ascii="仿宋_GB2312" w:hAnsi="仿宋_GB2312" w:cs="仿宋_GB2312" w:eastAsia="仿宋_GB2312"/>
                <w:sz w:val="21"/>
              </w:rPr>
              <w:t>5.具体详见（附件）工程量清单。</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三、固定综合单价限价</w:t>
            </w:r>
          </w:p>
        </w:tc>
        <w:tc>
          <w:tcPr>
            <w:tcW w:type="dxa" w:w="2076"/>
          </w:tcPr>
          <w:p>
            <w:pPr>
              <w:pStyle w:val="null3"/>
              <w:jc w:val="left"/>
            </w:pPr>
            <w:r>
              <w:rPr>
                <w:rFonts w:ascii="仿宋_GB2312" w:hAnsi="仿宋_GB2312" w:cs="仿宋_GB2312" w:eastAsia="仿宋_GB2312"/>
                <w:sz w:val="21"/>
                <w:color w:val="000000"/>
              </w:rPr>
              <w:t>固定综合单价限价：129.13元/立方米。供应商报价不允许超过固定综合单价限价。</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四、技术要求</w:t>
            </w:r>
          </w:p>
        </w:tc>
        <w:tc>
          <w:tcPr>
            <w:tcW w:type="dxa" w:w="2076"/>
          </w:tcPr>
          <w:p>
            <w:pPr>
              <w:pStyle w:val="null3"/>
              <w:jc w:val="left"/>
            </w:pPr>
            <w:r>
              <w:rPr>
                <w:rFonts w:ascii="仿宋_GB2312" w:hAnsi="仿宋_GB2312" w:cs="仿宋_GB2312" w:eastAsia="仿宋_GB2312"/>
                <w:sz w:val="21"/>
                <w:color w:val="000000"/>
              </w:rPr>
              <w:t>（1）清理渣土拉运严格执行西安人民政府及其他职能部门的相关规定、《西安市建筑垃圾管理条例》要求执行，清运至正规消纳地点进行倾倒或填埋,并承担处置费用</w:t>
            </w:r>
            <w:r>
              <w:rPr>
                <w:rFonts w:ascii="仿宋_GB2312" w:hAnsi="仿宋_GB2312" w:cs="仿宋_GB2312" w:eastAsia="仿宋_GB2312"/>
                <w:sz w:val="21"/>
                <w:color w:val="000000"/>
              </w:rPr>
              <w:t xml:space="preserve">和消纳费用。禁止在道路、桥梁、公共场地、公共绿地、农田、河流、湖泊、供排水设施、水利设施以及其他非指定场地倾倒清运渣土。渣土拉运后应及时对清运地点进行收尾清理，平整地面。 </w:t>
            </w:r>
            <w:r>
              <w:rPr>
                <w:rFonts w:ascii="仿宋_GB2312" w:hAnsi="仿宋_GB2312" w:cs="仿宋_GB2312" w:eastAsia="仿宋_GB2312"/>
                <w:sz w:val="21"/>
                <w:color w:val="000000"/>
              </w:rPr>
              <w:t xml:space="preserve">（2）在安全文明施工问题上，必须严格按照标准规范严格执行，在此期间所发生的一切事故应由供应商自行承担。 </w:t>
            </w:r>
            <w:r>
              <w:rPr>
                <w:rFonts w:ascii="仿宋_GB2312" w:hAnsi="仿宋_GB2312" w:cs="仿宋_GB2312" w:eastAsia="仿宋_GB2312"/>
                <w:sz w:val="21"/>
                <w:color w:val="000000"/>
              </w:rPr>
              <w:t xml:space="preserve">（3）项目实施过程中不与其他人员发生纠纷，在服务期间与其他人员产生的纠纷，均由供应商承担全部责任。 </w:t>
            </w:r>
            <w:r>
              <w:rPr>
                <w:rFonts w:ascii="仿宋_GB2312" w:hAnsi="仿宋_GB2312" w:cs="仿宋_GB2312" w:eastAsia="仿宋_GB2312"/>
                <w:sz w:val="21"/>
                <w:color w:val="000000"/>
              </w:rPr>
              <w:t>（4）供应商在清运渣土前需按照市容执法部门的要求安装车辆冲洗设备及渣土覆盖绿网、防尘措施等。</w:t>
            </w:r>
            <w:r>
              <w:rPr>
                <w:rFonts w:ascii="仿宋_GB2312" w:hAnsi="仿宋_GB2312" w:cs="仿宋_GB2312" w:eastAsia="仿宋_GB2312"/>
                <w:sz w:val="21"/>
                <w:color w:val="000000"/>
              </w:rPr>
              <w:t>（5）供应商应当对渣土进行分类，不得将渣土与生活垃圾、危险废物混合处置。</w:t>
            </w:r>
            <w:r>
              <w:rPr>
                <w:rFonts w:ascii="仿宋_GB2312" w:hAnsi="仿宋_GB2312" w:cs="仿宋_GB2312" w:eastAsia="仿宋_GB2312"/>
                <w:sz w:val="21"/>
                <w:color w:val="000000"/>
              </w:rPr>
              <w:t>拉运前应设置符合相关技术规范的围蔽设施，出口道路硬化处理，设置车辆冲洗设备并有效使用，设置洗车槽和沉淀池并有效使用，采取措施避免扬尘。</w:t>
            </w:r>
            <w:r>
              <w:rPr>
                <w:rFonts w:ascii="仿宋_GB2312" w:hAnsi="仿宋_GB2312" w:cs="仿宋_GB2312" w:eastAsia="仿宋_GB2312"/>
                <w:sz w:val="21"/>
                <w:color w:val="000000"/>
              </w:rPr>
              <w:t>（6）供应商应当建立健全渣土运输车辆安全管理、驾驶人培训、车辆清运规范服务制度，加强车辆维修养护，保证运输安全规范。</w:t>
            </w:r>
            <w:r>
              <w:rPr>
                <w:rFonts w:ascii="仿宋_GB2312" w:hAnsi="仿宋_GB2312" w:cs="仿宋_GB2312" w:eastAsia="仿宋_GB2312"/>
                <w:sz w:val="21"/>
                <w:color w:val="000000"/>
              </w:rPr>
              <w:t>（7）运输过程中造成道路及环境污染的，应当立即清除污染。未及时清除的，由所在区、县市容环境卫生行政管理部门组织清除，清除费用由供应商承担。</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五、技术规范</w:t>
            </w:r>
          </w:p>
        </w:tc>
        <w:tc>
          <w:tcPr>
            <w:tcW w:type="dxa" w:w="2076"/>
          </w:tcPr>
          <w:p>
            <w:pPr>
              <w:pStyle w:val="null3"/>
              <w:jc w:val="left"/>
            </w:pPr>
            <w:r>
              <w:rPr>
                <w:rFonts w:ascii="仿宋_GB2312" w:hAnsi="仿宋_GB2312" w:cs="仿宋_GB2312" w:eastAsia="仿宋_GB2312"/>
                <w:sz w:val="21"/>
                <w:color w:val="000000"/>
              </w:rPr>
              <w:t>执行国家、省、市现行的相关规定及标准文件。具体技术要求包括但不限于以下规定标准、规范:</w:t>
            </w:r>
            <w:r>
              <w:rPr>
                <w:rFonts w:ascii="仿宋_GB2312" w:hAnsi="仿宋_GB2312" w:cs="仿宋_GB2312" w:eastAsia="仿宋_GB2312"/>
                <w:sz w:val="21"/>
                <w:color w:val="000000"/>
              </w:rPr>
              <w:t>《建设工程安全生产管理条例》；</w:t>
            </w:r>
            <w:r>
              <w:rPr>
                <w:rFonts w:ascii="仿宋_GB2312" w:hAnsi="仿宋_GB2312" w:cs="仿宋_GB2312" w:eastAsia="仿宋_GB2312"/>
                <w:sz w:val="21"/>
                <w:color w:val="000000"/>
              </w:rPr>
              <w:t xml:space="preserve">《西安市建筑垃圾管理条例》 ； </w:t>
            </w:r>
            <w:r>
              <w:rPr>
                <w:rFonts w:ascii="仿宋_GB2312" w:hAnsi="仿宋_GB2312" w:cs="仿宋_GB2312" w:eastAsia="仿宋_GB2312"/>
                <w:sz w:val="21"/>
                <w:color w:val="000000"/>
              </w:rPr>
              <w:t xml:space="preserve">《西安市扬尘污染防治条例》； </w:t>
            </w:r>
            <w:r>
              <w:rPr>
                <w:rFonts w:ascii="仿宋_GB2312" w:hAnsi="仿宋_GB2312" w:cs="仿宋_GB2312" w:eastAsia="仿宋_GB2312"/>
                <w:sz w:val="21"/>
                <w:color w:val="000000"/>
              </w:rPr>
              <w:t xml:space="preserve">《施工现场临时用电安全技术规范》JGJ46 一 2005； </w:t>
            </w:r>
            <w:r>
              <w:rPr>
                <w:rFonts w:ascii="仿宋_GB2312" w:hAnsi="仿宋_GB2312" w:cs="仿宋_GB2312" w:eastAsia="仿宋_GB2312"/>
                <w:sz w:val="21"/>
                <w:color w:val="000000"/>
              </w:rPr>
              <w:t>《建筑机械使用安全技术规程》 (JGJ33-2012)；</w:t>
            </w:r>
            <w:r>
              <w:rPr>
                <w:rFonts w:ascii="仿宋_GB2312" w:hAnsi="仿宋_GB2312" w:cs="仿宋_GB2312" w:eastAsia="仿宋_GB2312"/>
                <w:sz w:val="21"/>
                <w:color w:val="000000"/>
              </w:rPr>
              <w:t>以上规范、标准如遇调整或最新规范时，以调整后或最新规范内容为准。</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六、商务要求</w:t>
            </w:r>
          </w:p>
        </w:tc>
        <w:tc>
          <w:tcPr>
            <w:tcW w:type="dxa" w:w="2076"/>
          </w:tcPr>
          <w:p>
            <w:pPr>
              <w:pStyle w:val="null3"/>
            </w:pPr>
            <w:r>
              <w:rPr>
                <w:rFonts w:ascii="仿宋_GB2312" w:hAnsi="仿宋_GB2312" w:cs="仿宋_GB2312" w:eastAsia="仿宋_GB2312"/>
                <w:sz w:val="21"/>
              </w:rPr>
              <w:t>（1）合同履约期限：自合同签订之日起15日历天。</w:t>
            </w:r>
          </w:p>
          <w:p>
            <w:pPr>
              <w:pStyle w:val="null3"/>
            </w:pPr>
            <w:r>
              <w:rPr>
                <w:rFonts w:ascii="仿宋_GB2312" w:hAnsi="仿宋_GB2312" w:cs="仿宋_GB2312" w:eastAsia="仿宋_GB2312"/>
                <w:sz w:val="21"/>
              </w:rPr>
              <w:t>（2）合同支付约定：合同签订生效后支付预付款，达到付款条件起30日内，支付合同总金额的40.00%。经采购人验收合格后，达到付款条件起30日内，支付合同总金额的40.00%。剩余款项，依据测量报告进行工程造价评审，据实结算，达到付款条件起30日内，支付合同总金额的20.00%。</w:t>
            </w:r>
          </w:p>
          <w:p>
            <w:pPr>
              <w:pStyle w:val="null3"/>
            </w:pPr>
            <w:r>
              <w:rPr>
                <w:rFonts w:ascii="仿宋_GB2312" w:hAnsi="仿宋_GB2312" w:cs="仿宋_GB2312" w:eastAsia="仿宋_GB2312"/>
                <w:sz w:val="21"/>
              </w:rPr>
              <w:t>（3）验收交付标准和方法：达到国家现行施工验收规范“合格”标准。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详见技术参数与性能指标。</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中小企业声明函 供应商应提交的相关资格证明材料 资格证明文件.docx 强制优先采购产品承诺函 响应文件封面 项目管理机构组成表 主要人员简历表.docx 供应商认为有必要补充说明的事项.docx 残疾人福利性单位声明函 施工方案.docx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项目管理机构组成表 供应商应提交的相关资格证明材料 主要人员简历表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提供2024年1月至今已缴纳的任意1个月的纳税证明或完税证明，依法免税的单位应提供相关证明材料。供应商需在项目电子化交易系统中按要求上传相应证明文件并进行电子签章。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任意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授权书被授权人身份证明</w:t>
            </w:r>
          </w:p>
        </w:tc>
        <w:tc>
          <w:tcPr>
            <w:tcW w:type="dxa" w:w="3322"/>
          </w:tcPr>
          <w:p>
            <w:pPr>
              <w:pStyle w:val="null3"/>
            </w:pPr>
            <w:r>
              <w:rPr>
                <w:rFonts w:ascii="仿宋_GB2312" w:hAnsi="仿宋_GB2312" w:cs="仿宋_GB2312" w:eastAsia="仿宋_GB2312"/>
              </w:rPr>
              <w:t>法定代表人授权书及被授权人身份证明（法定代表人直接参加磋商的须提供其法定代表人身份证明），非法人单位参照执行。供应商需在项目电子化交易系统中按要求上传相应证明文件并进行电子签章。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政府采购严重违法失信行为记录名单中被财政部门禁止参加政府采购活动的供应商（本项内容由采购代理机构查询，节点为投标文件递交截止时间）。</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资质等级</w:t>
            </w:r>
          </w:p>
        </w:tc>
        <w:tc>
          <w:tcPr>
            <w:tcW w:type="dxa" w:w="3322"/>
          </w:tcPr>
          <w:p>
            <w:pPr>
              <w:pStyle w:val="null3"/>
            </w:pPr>
            <w:r>
              <w:rPr>
                <w:rFonts w:ascii="仿宋_GB2312" w:hAnsi="仿宋_GB2312" w:cs="仿宋_GB2312" w:eastAsia="仿宋_GB2312"/>
              </w:rPr>
              <w:t>供应商须具备建筑工程施工总承包三级及以上资质，同时具备建设行政主管部门核发有效的安全生产许可证。供应商需在项目电子化交易系统中按要求上传相应证明文件并进行电子签章。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建筑工程专业二级及以上建造师证书，并具有有效的安全生产考核合格证（B证），本单位注册且无在建项目（须提供无在建项目的相关证明材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项目管理机构组成表 主要人员简历表.docx 供应商认为有必要补充说明的事项.docx 主要人员简历表 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供应商认为有必要补充说明的事项.docx 供应商应提交的相关资格证明材料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磋商响应文件是否按照磋商文件要求的格式编写</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磋商响应文件的签署、加盖印章是否有效；提供的各种证明文件、数据、资料是否有效。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1、磋商报价是否超过采购预算； 2、磋商报价有效期是否符合磋商文件的要求； 3、响应文件内容是否符合国家法律法规； 4、是否响应实质性条款； 5、本项目专门面向中小企业采购，仅限符合《政府采购促进中小企业发展暂行办法》（财库〔2020〕46号）条件的中小企业参与，供应商应填写中小企业声明函并对真实性负责。残疾人福利性单位及监狱企业视同为小型、微型企业，残疾人福利性单位应符合《财政部、民政部、中国残疾人联合会发布关于促进残疾人就业政府采购政策的通知》（财库〔201 7〕141号）要求，监狱企业应符合《财政部 司法部关于政府采购支持监狱企业发展有关问题的通知》（财库〔2014〕68号）要求。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项目具体情况制定详细施工方案，包括但不限于：①垃圾清运方案②工程质量的技术组织措施③工期的技术组织措施④安全的技术组织措施⑤确保文明施工⑥环境保护的技术组织措施⑦服务质量承诺。以上内容明确、详实全面、有针对性便于实施，每提供一项计 0-2分；本项共计 14 分。未提供不计分。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详细可行的质量保障措施管理方案包括但不限于：①提供确保拉运的及时性②拉运防抛洒清理方案③清运场地卫生保障④运输车辆的安全管理方案⑤车辆清运规范服务制度⑥避免扬尘措施方案。以上内容明确、详实全面、有针对性便于实施，每提供一项计 0-2 分；本项共计12分。未提供不计分。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管理机构及制度</w:t>
            </w:r>
          </w:p>
        </w:tc>
        <w:tc>
          <w:tcPr>
            <w:tcW w:type="dxa" w:w="2492"/>
          </w:tcPr>
          <w:p>
            <w:pPr>
              <w:pStyle w:val="null3"/>
            </w:pPr>
            <w:r>
              <w:rPr>
                <w:rFonts w:ascii="仿宋_GB2312" w:hAnsi="仿宋_GB2312" w:cs="仿宋_GB2312" w:eastAsia="仿宋_GB2312"/>
              </w:rPr>
              <w:t>针对本项目提供管理机构及制度，包括但不限于：①财务管理②用工管理③工作规范制度④安全防范制度⑤卫生保障措施⑥文明服务措施⑦防噪音扰民措施等进行综合评审。以上内容明确、详实全面、有针对性便于实施，每提供一项计 0-2 分；本项共计 14 分。未提供不计分。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人员组织架构</w:t>
            </w:r>
          </w:p>
        </w:tc>
        <w:tc>
          <w:tcPr>
            <w:tcW w:type="dxa" w:w="2492"/>
          </w:tcPr>
          <w:p>
            <w:pPr>
              <w:pStyle w:val="null3"/>
            </w:pPr>
            <w:r>
              <w:rPr>
                <w:rFonts w:ascii="仿宋_GB2312" w:hAnsi="仿宋_GB2312" w:cs="仿宋_GB2312" w:eastAsia="仿宋_GB2312"/>
              </w:rPr>
              <w:t>人员组织架构完整，岗位职责设置合理、明确，针对性强计 2 分；人员组织架构基本完整，岗位职责设置基本合理，能够基本满足本项目实际需求计1分；未提供不计分。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拟派人员配置情况</w:t>
            </w:r>
          </w:p>
        </w:tc>
        <w:tc>
          <w:tcPr>
            <w:tcW w:type="dxa" w:w="2492"/>
          </w:tcPr>
          <w:p>
            <w:pPr>
              <w:pStyle w:val="null3"/>
            </w:pPr>
            <w:r>
              <w:rPr>
                <w:rFonts w:ascii="仿宋_GB2312" w:hAnsi="仿宋_GB2312" w:cs="仿宋_GB2312" w:eastAsia="仿宋_GB2312"/>
              </w:rPr>
              <w:t>提供①合理的人员数量配置；②人员分工责任明确；③ 人员经验资历情况。以上内容明确、详实全面、有针对性便于实施，每提供一项计 0-3 分；本项共计 9 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治污减霾</w:t>
            </w:r>
          </w:p>
        </w:tc>
        <w:tc>
          <w:tcPr>
            <w:tcW w:type="dxa" w:w="2492"/>
          </w:tcPr>
          <w:p>
            <w:pPr>
              <w:pStyle w:val="null3"/>
            </w:pPr>
            <w:r>
              <w:rPr>
                <w:rFonts w:ascii="仿宋_GB2312" w:hAnsi="仿宋_GB2312" w:cs="仿宋_GB2312" w:eastAsia="仿宋_GB2312"/>
              </w:rPr>
              <w:t>根据本项目的实际情况制定详细的治污减霾防范方案、治污减霾制度。 方案内容全面、详细、可操作性强计 3 分； 方案内容基本全面、具有可操作性计 2 分； 方案内容空泛、粗略、可操作性性一般计 1 分；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重难点分析及解决措施</w:t>
            </w:r>
          </w:p>
        </w:tc>
        <w:tc>
          <w:tcPr>
            <w:tcW w:type="dxa" w:w="2492"/>
          </w:tcPr>
          <w:p>
            <w:pPr>
              <w:pStyle w:val="null3"/>
            </w:pPr>
            <w:r>
              <w:rPr>
                <w:rFonts w:ascii="仿宋_GB2312" w:hAnsi="仿宋_GB2312" w:cs="仿宋_GB2312" w:eastAsia="仿宋_GB2312"/>
              </w:rPr>
              <w:t>供应商提供针对本项目设计工作重点、难点分析及解决方案， 对重点、难点分析准确，解决方案针对性强的计 3 分； 对重点、难点分析基本准确，解决方案有一定的针对性和可行 性的计 2 分；对重点、难点分析与项目实际情况存在偏离，部分解决方案不够合理的计 1 分；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针对本项目实际需求，提供实质性的合理化建议。建议内容科学可行，有针对性且内容丰富计 3 分；建议内容基本可行，具有针对性计 2 分；建议内容简单，不完整，部分具有针对性计 1 分；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2021年1月1日至今（以合同签订日期为准），供应商具有类似项目业绩，每提供一个有效业绩计2分，满分10分。（提供合同复印件加盖公章）。未提供不计分。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1.评审基准价=有效最终总报价中的最低价，最终总报价等于评审基准价的，得满分； 2.磋商总报价得分=（评审基准价/最终总报价）×30。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详见附件：主要人员简历表.docx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详见附件：施工方案.docx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详见附件：合同文本（新）.docx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