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版本号：TYZX-XB2025100820250227002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灞桥区看守所在押人员餐饮外包服务项目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TYZX-XB20251008</w:t>
      </w:r>
      <w:r>
        <w:br/>
      </w:r>
      <w:r>
        <w:br/>
      </w:r>
      <w:r>
        <w:br/>
      </w:r>
    </w:p>
    <w:p>
      <w:pPr>
        <w:pStyle w:val="null3"/>
        <w:jc w:val="center"/>
        <w:outlineLvl w:val="2"/>
      </w:pPr>
      <w:r>
        <w:rPr>
          <w:rFonts w:ascii="仿宋_GB2312" w:hAnsi="仿宋_GB2312" w:cs="仿宋_GB2312" w:eastAsia="仿宋_GB2312"/>
          <w:sz w:val="28"/>
          <w:b/>
        </w:rPr>
        <w:t>西安市公安局灞桥分局</w:t>
      </w:r>
    </w:p>
    <w:p>
      <w:pPr>
        <w:pStyle w:val="null3"/>
        <w:jc w:val="center"/>
        <w:outlineLvl w:val="2"/>
      </w:pPr>
      <w:r>
        <w:rPr>
          <w:rFonts w:ascii="仿宋_GB2312" w:hAnsi="仿宋_GB2312" w:cs="仿宋_GB2312" w:eastAsia="仿宋_GB2312"/>
          <w:sz w:val="28"/>
          <w:b/>
        </w:rPr>
        <w:t>泰宇建筑工程技术咨询有限公司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2025年02月27日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泰宇建筑工程技术咨询有限公司</w:t>
      </w:r>
      <w:r>
        <w:rPr>
          <w:rFonts w:ascii="仿宋_GB2312" w:hAnsi="仿宋_GB2312" w:cs="仿宋_GB2312" w:eastAsia="仿宋_GB2312"/>
        </w:rPr>
        <w:t>（以下简称“代理机构”）受</w:t>
      </w:r>
      <w:r>
        <w:rPr>
          <w:rFonts w:ascii="仿宋_GB2312" w:hAnsi="仿宋_GB2312" w:cs="仿宋_GB2312" w:eastAsia="仿宋_GB2312"/>
        </w:rPr>
        <w:t>西安市公安局灞桥分局</w:t>
      </w:r>
      <w:r>
        <w:rPr>
          <w:rFonts w:ascii="仿宋_GB2312" w:hAnsi="仿宋_GB2312" w:cs="仿宋_GB2312" w:eastAsia="仿宋_GB2312"/>
        </w:rPr>
        <w:t>委托，拟对</w:t>
      </w:r>
      <w:r>
        <w:rPr>
          <w:rFonts w:ascii="仿宋_GB2312" w:hAnsi="仿宋_GB2312" w:cs="仿宋_GB2312" w:eastAsia="仿宋_GB2312"/>
        </w:rPr>
        <w:t>灞桥区看守所在押人员餐饮外包服务项目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TYZX-XB20251008</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灞桥区看守所在押人员餐饮外包服务项目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为灞桥区看守所在押人员提供餐饮外包服务。</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采购包1（灞桥区看守所在押人员餐饮外包服务）：属于专门面向中小企业采购。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2、财务审计报告：投标人需提供2023年度经审计的投标人财务审计报告或者开标前三个月内的银行资信证明或财政部门认可的政府采购专业担保机构出具的投标担保函；</w:t>
      </w:r>
    </w:p>
    <w:p>
      <w:pPr>
        <w:pStyle w:val="null3"/>
      </w:pPr>
      <w:r>
        <w:rPr>
          <w:rFonts w:ascii="仿宋_GB2312" w:hAnsi="仿宋_GB2312" w:cs="仿宋_GB2312" w:eastAsia="仿宋_GB2312"/>
        </w:rPr>
        <w:t>3、税收缴纳证明：提供投标人自2024年6月1日以来已缴纳任意一个月完税凭证或税务机关开具的完税证明（任意税种）；依法免税的应提供相关文件证明；</w:t>
      </w:r>
    </w:p>
    <w:p>
      <w:pPr>
        <w:pStyle w:val="null3"/>
      </w:pPr>
      <w:r>
        <w:rPr>
          <w:rFonts w:ascii="仿宋_GB2312" w:hAnsi="仿宋_GB2312" w:cs="仿宋_GB2312" w:eastAsia="仿宋_GB2312"/>
        </w:rPr>
        <w:t>4、社会保障资金缴纳证明：提供投标人自2024年6月1日以来已缴存的任意一个月的社会保障资金缴存单据或社保机构开具的社会保险参保缴费情况证明；依法不需要缴纳社会保障资金的投标人应提供相关文件证明；</w:t>
      </w:r>
    </w:p>
    <w:p>
      <w:pPr>
        <w:pStyle w:val="null3"/>
      </w:pPr>
      <w:r>
        <w:rPr>
          <w:rFonts w:ascii="仿宋_GB2312" w:hAnsi="仿宋_GB2312" w:cs="仿宋_GB2312" w:eastAsia="仿宋_GB2312"/>
        </w:rPr>
        <w:t>5、重大违法记录书面声明：参加本次招标前3年内，在政府采购经营活动中没有重大违法记录的书面声明；</w:t>
      </w:r>
    </w:p>
    <w:p>
      <w:pPr>
        <w:pStyle w:val="null3"/>
      </w:pPr>
      <w:r>
        <w:rPr>
          <w:rFonts w:ascii="仿宋_GB2312" w:hAnsi="仿宋_GB2312" w:cs="仿宋_GB2312" w:eastAsia="仿宋_GB2312"/>
        </w:rPr>
        <w:t>6、信用截图：通过“信用中国”网站（www.creditchina.gov.cn）和中国政府采购网（www.ccgp.gov.cn）查询申请人信用记录，被列入失信被执行人、重大税收违法案件当事人名单、政府采购严重违法失信行为记录名单的单位将被拒绝参与本项目；</w:t>
      </w:r>
    </w:p>
    <w:p>
      <w:pPr>
        <w:pStyle w:val="null3"/>
      </w:pPr>
      <w:r>
        <w:rPr>
          <w:rFonts w:ascii="仿宋_GB2312" w:hAnsi="仿宋_GB2312" w:cs="仿宋_GB2312" w:eastAsia="仿宋_GB2312"/>
        </w:rPr>
        <w:t>7、履约能力：具有履行合同所必需的设备和专业技术能力；</w:t>
      </w:r>
    </w:p>
    <w:p>
      <w:pPr>
        <w:pStyle w:val="null3"/>
      </w:pPr>
      <w:r>
        <w:rPr>
          <w:rFonts w:ascii="仿宋_GB2312" w:hAnsi="仿宋_GB2312" w:cs="仿宋_GB2312" w:eastAsia="仿宋_GB2312"/>
        </w:rPr>
        <w:t>8、授权委托书：法定代表人身份证、法定代表人授权书及被授权人身份证合法有效；</w:t>
      </w:r>
    </w:p>
    <w:p>
      <w:pPr>
        <w:pStyle w:val="null3"/>
      </w:pPr>
      <w:r>
        <w:rPr>
          <w:rFonts w:ascii="仿宋_GB2312" w:hAnsi="仿宋_GB2312" w:cs="仿宋_GB2312" w:eastAsia="仿宋_GB2312"/>
        </w:rPr>
        <w:t>9、供应商资质：供应商须具有《食品经营许可证》；</w:t>
      </w:r>
    </w:p>
    <w:p>
      <w:pPr>
        <w:pStyle w:val="null3"/>
      </w:pPr>
      <w:r>
        <w:rPr>
          <w:rFonts w:ascii="仿宋_GB2312" w:hAnsi="仿宋_GB2312" w:cs="仿宋_GB2312" w:eastAsia="仿宋_GB2312"/>
        </w:rPr>
        <w:t>10、联合体：本项目不接受联合体投标</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西安市公安局灞桥分局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西安市灞桥区纺一路23号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710038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西安市公安局灞桥分局（经办）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029-86758055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泰宇建筑工程技术咨询有限公司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西安市高新区唐延路1号旺座国际城D座901室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王阳阳 王文燕</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18119311406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西安市灞桥区政府采购管理股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唐老师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029-83519160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代理服务费收费标准：本项目代理服务费由中标人在领取中标通知书时一次性支付。收费标准参照原国家计委颁布的《招标代理服务收费管理暂行办法》（计价格『2002』1980号）标准。</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西安市公安局灞桥分局</w:t>
      </w:r>
      <w:r>
        <w:rPr>
          <w:rFonts w:ascii="仿宋_GB2312" w:hAnsi="仿宋_GB2312" w:cs="仿宋_GB2312" w:eastAsia="仿宋_GB2312"/>
        </w:rPr>
        <w:t>和</w:t>
      </w:r>
      <w:r>
        <w:rPr>
          <w:rFonts w:ascii="仿宋_GB2312" w:hAnsi="仿宋_GB2312" w:cs="仿宋_GB2312" w:eastAsia="仿宋_GB2312"/>
        </w:rPr>
        <w:t>泰宇建筑工程技术咨询有限公司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西安市公安局灞桥分局</w:t>
      </w:r>
      <w:r>
        <w:rPr>
          <w:rFonts w:ascii="仿宋_GB2312" w:hAnsi="仿宋_GB2312" w:cs="仿宋_GB2312" w:eastAsia="仿宋_GB2312"/>
        </w:rPr>
        <w:t>负责解释。除上述磋商文件内容，其他内容由</w:t>
      </w:r>
      <w:r>
        <w:rPr>
          <w:rFonts w:ascii="仿宋_GB2312" w:hAnsi="仿宋_GB2312" w:cs="仿宋_GB2312" w:eastAsia="仿宋_GB2312"/>
        </w:rPr>
        <w:t>泰宇建筑工程技术咨询有限公司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西安市公安局灞桥分局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泰宇建筑工程技术咨询有限公司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成交供应商与采购人应严格按照《中华人民共和国政府采购法》、《中华人民共和国政府采购法实施条例》等法律以及合同、磋商响应文件等相关文件要求进行验收。</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泰宇建筑工程技术咨询有限公司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泰宇建筑工程技术咨询有限公司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泰宇建筑工程技术咨询有限公司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联系人：王阳阳 、王文燕</w:t>
      </w:r>
    </w:p>
    <w:p>
      <w:pPr>
        <w:pStyle w:val="null3"/>
      </w:pPr>
      <w:r>
        <w:rPr>
          <w:rFonts w:ascii="仿宋_GB2312" w:hAnsi="仿宋_GB2312" w:cs="仿宋_GB2312" w:eastAsia="仿宋_GB2312"/>
        </w:rPr>
        <w:t>联系电话：18119311406</w:t>
      </w:r>
    </w:p>
    <w:p>
      <w:pPr>
        <w:pStyle w:val="null3"/>
      </w:pPr>
      <w:r>
        <w:rPr>
          <w:rFonts w:ascii="仿宋_GB2312" w:hAnsi="仿宋_GB2312" w:cs="仿宋_GB2312" w:eastAsia="仿宋_GB2312"/>
        </w:rPr>
        <w:t>地址：西安市高新区唐延路1号旺座国际城D座901室</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为灞桥区看守所在押人员提供餐饮外包服务。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600,000.00</w:t>
      </w:r>
    </w:p>
    <w:p>
      <w:pPr>
        <w:pStyle w:val="null3"/>
      </w:pPr>
      <w:r>
        <w:rPr>
          <w:rFonts w:ascii="仿宋_GB2312" w:hAnsi="仿宋_GB2312" w:cs="仿宋_GB2312" w:eastAsia="仿宋_GB2312"/>
        </w:rPr>
        <w:t>采购包最高限价（元）: 600,000.00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600000</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标的名称：600000</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tc>
        <w:tc>
          <w:tcPr>
            <w:tcW w:type="dxa" w:w="2076"/>
          </w:tcPr>
          <w:p>
            <w:pPr>
              <w:pStyle w:val="null3"/>
              <w:jc w:val="both"/>
            </w:pPr>
            <w:r>
              <w:rPr>
                <w:rFonts w:ascii="仿宋_GB2312" w:hAnsi="仿宋_GB2312" w:cs="仿宋_GB2312" w:eastAsia="仿宋_GB2312"/>
                <w:sz w:val="24"/>
                <w:b/>
              </w:rPr>
              <w:t>一、项目概况</w:t>
            </w:r>
          </w:p>
          <w:p>
            <w:pPr>
              <w:pStyle w:val="null3"/>
              <w:ind w:firstLine="480"/>
              <w:jc w:val="both"/>
            </w:pPr>
            <w:r>
              <w:rPr>
                <w:rFonts w:ascii="仿宋_GB2312" w:hAnsi="仿宋_GB2312" w:cs="仿宋_GB2312" w:eastAsia="仿宋_GB2312"/>
                <w:sz w:val="24"/>
              </w:rPr>
              <w:t>为灞桥区看守所在押人员提供餐饮外包服务。</w:t>
            </w:r>
          </w:p>
          <w:p>
            <w:pPr>
              <w:pStyle w:val="null3"/>
              <w:jc w:val="both"/>
            </w:pPr>
            <w:r>
              <w:rPr>
                <w:rFonts w:ascii="仿宋_GB2312" w:hAnsi="仿宋_GB2312" w:cs="仿宋_GB2312" w:eastAsia="仿宋_GB2312"/>
                <w:sz w:val="24"/>
                <w:b/>
              </w:rPr>
              <w:t>二、</w:t>
            </w:r>
            <w:r>
              <w:rPr>
                <w:rFonts w:ascii="仿宋_GB2312" w:hAnsi="仿宋_GB2312" w:cs="仿宋_GB2312" w:eastAsia="仿宋_GB2312"/>
                <w:sz w:val="24"/>
                <w:b/>
              </w:rPr>
              <w:t>采购内容</w:t>
            </w:r>
          </w:p>
          <w:tbl>
            <w:tblPr>
              <w:tblBorders>
                <w:top w:val="none" w:color="000000" w:sz="4"/>
                <w:left w:val="none" w:color="000000" w:sz="4"/>
                <w:bottom w:val="none" w:color="000000" w:sz="4"/>
                <w:right w:val="none" w:color="000000" w:sz="4"/>
                <w:insideH w:val="none"/>
                <w:insideV w:val="none"/>
              </w:tblBorders>
            </w:tblPr>
            <w:tblGrid>
              <w:gridCol w:w="472"/>
              <w:gridCol w:w="779"/>
              <w:gridCol w:w="609"/>
            </w:tblGrid>
            <w:tr>
              <w:tc>
                <w:tcPr>
                  <w:tcW w:type="dxa" w:w="47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类别</w:t>
                  </w:r>
                </w:p>
              </w:tc>
              <w:tc>
                <w:tcPr>
                  <w:tcW w:type="dxa" w:w="77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项目</w:t>
                  </w:r>
                </w:p>
              </w:tc>
              <w:tc>
                <w:tcPr>
                  <w:tcW w:type="dxa" w:w="60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人员配备</w:t>
                  </w:r>
                </w:p>
              </w:tc>
            </w:tr>
            <w:tr>
              <w:tc>
                <w:tcPr>
                  <w:tcW w:type="dxa" w:w="47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民警厨房</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主厨</w:t>
                  </w:r>
                </w:p>
              </w:tc>
              <w:tc>
                <w:tcPr>
                  <w:tcW w:type="dxa" w:w="6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人</w:t>
                  </w:r>
                </w:p>
              </w:tc>
            </w:tr>
            <w:tr>
              <w:tc>
                <w:tcPr>
                  <w:tcW w:type="dxa" w:w="472"/>
                  <w:vMerge/>
                  <w:tcBorders>
                    <w:top w:val="none" w:color="000000" w:sz="4"/>
                    <w:left w:val="single" w:color="000000" w:sz="4"/>
                    <w:bottom w:val="single" w:color="000000" w:sz="4"/>
                    <w:right w:val="single" w:color="000000" w:sz="4"/>
                  </w:tcBorders>
                </w:tcP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帮厨</w:t>
                  </w:r>
                </w:p>
              </w:tc>
              <w:tc>
                <w:tcPr>
                  <w:tcW w:type="dxa" w:w="6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人</w:t>
                  </w:r>
                </w:p>
              </w:tc>
            </w:tr>
            <w:tr>
              <w:tc>
                <w:tcPr>
                  <w:tcW w:type="dxa" w:w="472"/>
                  <w:vMerge/>
                  <w:tcBorders>
                    <w:top w:val="none" w:color="000000" w:sz="4"/>
                    <w:left w:val="single" w:color="000000" w:sz="4"/>
                    <w:bottom w:val="single" w:color="000000" w:sz="4"/>
                    <w:right w:val="single" w:color="000000" w:sz="4"/>
                  </w:tcBorders>
                </w:tcPr>
                <w:p/>
              </w:tc>
              <w:tc>
                <w:tcPr>
                  <w:tcW w:type="dxa" w:w="138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管理费</w:t>
                  </w:r>
                </w:p>
              </w:tc>
            </w:tr>
            <w:tr>
              <w:tc>
                <w:tcPr>
                  <w:tcW w:type="dxa" w:w="472"/>
                  <w:vMerge/>
                  <w:tcBorders>
                    <w:top w:val="none" w:color="000000" w:sz="4"/>
                    <w:left w:val="single" w:color="000000" w:sz="4"/>
                    <w:bottom w:val="single" w:color="000000" w:sz="4"/>
                    <w:right w:val="single" w:color="000000" w:sz="4"/>
                  </w:tcBorders>
                </w:tcPr>
                <w:p/>
              </w:tc>
              <w:tc>
                <w:tcPr>
                  <w:tcW w:type="dxa" w:w="138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粮食、蔬菜类、肉类、豆制品、食用油、调味品、蛋奶制品等</w:t>
                  </w:r>
                </w:p>
              </w:tc>
            </w:tr>
            <w:tr>
              <w:tc>
                <w:tcPr>
                  <w:tcW w:type="dxa" w:w="47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在押人员厨房</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主厨</w:t>
                  </w:r>
                </w:p>
              </w:tc>
              <w:tc>
                <w:tcPr>
                  <w:tcW w:type="dxa" w:w="60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人</w:t>
                  </w:r>
                </w:p>
              </w:tc>
            </w:tr>
            <w:tr>
              <w:tc>
                <w:tcPr>
                  <w:tcW w:type="dxa" w:w="472"/>
                  <w:vMerge/>
                  <w:tcBorders>
                    <w:top w:val="none" w:color="000000" w:sz="4"/>
                    <w:left w:val="single" w:color="000000" w:sz="4"/>
                    <w:bottom w:val="single" w:color="000000" w:sz="4"/>
                    <w:right w:val="single" w:color="000000" w:sz="4"/>
                  </w:tcBorders>
                </w:tcP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热菜</w:t>
                  </w:r>
                </w:p>
              </w:tc>
              <w:tc>
                <w:tcPr>
                  <w:tcW w:type="dxa" w:w="6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人</w:t>
                  </w:r>
                </w:p>
              </w:tc>
            </w:tr>
            <w:tr>
              <w:tc>
                <w:tcPr>
                  <w:tcW w:type="dxa" w:w="472"/>
                  <w:vMerge/>
                  <w:tcBorders>
                    <w:top w:val="none" w:color="000000" w:sz="4"/>
                    <w:left w:val="single" w:color="000000" w:sz="4"/>
                    <w:bottom w:val="single" w:color="000000" w:sz="4"/>
                    <w:right w:val="single" w:color="000000" w:sz="4"/>
                  </w:tcBorders>
                </w:tcP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面点</w:t>
                  </w:r>
                </w:p>
              </w:tc>
              <w:tc>
                <w:tcPr>
                  <w:tcW w:type="dxa" w:w="6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r>
                    <w:rPr>
                      <w:rFonts w:ascii="仿宋_GB2312" w:hAnsi="仿宋_GB2312" w:cs="仿宋_GB2312" w:eastAsia="仿宋_GB2312"/>
                      <w:sz w:val="24"/>
                    </w:rPr>
                    <w:t>人</w:t>
                  </w:r>
                </w:p>
              </w:tc>
            </w:tr>
            <w:tr>
              <w:tc>
                <w:tcPr>
                  <w:tcW w:type="dxa" w:w="472"/>
                  <w:vMerge/>
                  <w:tcBorders>
                    <w:top w:val="none" w:color="000000" w:sz="4"/>
                    <w:left w:val="single" w:color="000000" w:sz="4"/>
                    <w:bottom w:val="single" w:color="000000" w:sz="4"/>
                    <w:right w:val="single" w:color="000000" w:sz="4"/>
                  </w:tcBorders>
                </w:tcP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切配</w:t>
                  </w:r>
                </w:p>
              </w:tc>
              <w:tc>
                <w:tcPr>
                  <w:tcW w:type="dxa" w:w="6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人</w:t>
                  </w:r>
                </w:p>
              </w:tc>
            </w:tr>
            <w:tr>
              <w:tc>
                <w:tcPr>
                  <w:tcW w:type="dxa" w:w="472"/>
                  <w:vMerge/>
                  <w:tcBorders>
                    <w:top w:val="none" w:color="000000" w:sz="4"/>
                    <w:left w:val="single" w:color="000000" w:sz="4"/>
                    <w:bottom w:val="single" w:color="000000" w:sz="4"/>
                    <w:right w:val="single" w:color="000000" w:sz="4"/>
                  </w:tcBorders>
                </w:tcP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洗消</w:t>
                  </w:r>
                </w:p>
              </w:tc>
              <w:tc>
                <w:tcPr>
                  <w:tcW w:type="dxa" w:w="6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r>
                    <w:rPr>
                      <w:rFonts w:ascii="仿宋_GB2312" w:hAnsi="仿宋_GB2312" w:cs="仿宋_GB2312" w:eastAsia="仿宋_GB2312"/>
                      <w:sz w:val="24"/>
                    </w:rPr>
                    <w:t>人</w:t>
                  </w:r>
                </w:p>
              </w:tc>
            </w:tr>
            <w:tr>
              <w:tc>
                <w:tcPr>
                  <w:tcW w:type="dxa" w:w="472"/>
                  <w:vMerge/>
                  <w:tcBorders>
                    <w:top w:val="none" w:color="000000" w:sz="4"/>
                    <w:left w:val="single" w:color="000000" w:sz="4"/>
                    <w:bottom w:val="single" w:color="000000" w:sz="4"/>
                    <w:right w:val="single" w:color="000000" w:sz="4"/>
                  </w:tcBorders>
                </w:tcPr>
                <w:p/>
              </w:tc>
              <w:tc>
                <w:tcPr>
                  <w:tcW w:type="dxa" w:w="138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管理费</w:t>
                  </w:r>
                </w:p>
              </w:tc>
            </w:tr>
            <w:tr>
              <w:tc>
                <w:tcPr>
                  <w:tcW w:type="dxa" w:w="472"/>
                  <w:vMerge/>
                  <w:tcBorders>
                    <w:top w:val="none" w:color="000000" w:sz="4"/>
                    <w:left w:val="single" w:color="000000" w:sz="4"/>
                    <w:bottom w:val="single" w:color="000000" w:sz="4"/>
                    <w:right w:val="single" w:color="000000" w:sz="4"/>
                  </w:tcBorders>
                </w:tcPr>
                <w:p/>
              </w:tc>
              <w:tc>
                <w:tcPr>
                  <w:tcW w:type="dxa" w:w="138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粮食、蔬菜类、肉类、豆制品、食用油、调味品、蛋奶制品等</w:t>
                  </w:r>
                </w:p>
              </w:tc>
            </w:tr>
          </w:tbl>
          <w:p>
            <w:pPr>
              <w:pStyle w:val="null3"/>
              <w:ind w:firstLine="480"/>
              <w:jc w:val="both"/>
            </w:pPr>
            <w:r>
              <w:rPr>
                <w:rFonts w:ascii="仿宋_GB2312" w:hAnsi="仿宋_GB2312" w:cs="仿宋_GB2312" w:eastAsia="仿宋_GB2312"/>
                <w:sz w:val="24"/>
              </w:rPr>
              <w:t>备注</w:t>
            </w:r>
            <w:r>
              <w:rPr>
                <w:rFonts w:ascii="仿宋_GB2312" w:hAnsi="仿宋_GB2312" w:cs="仿宋_GB2312" w:eastAsia="仿宋_GB2312"/>
                <w:sz w:val="24"/>
              </w:rPr>
              <w:t>：</w:t>
            </w:r>
            <w:r>
              <w:rPr>
                <w:rFonts w:ascii="仿宋_GB2312" w:hAnsi="仿宋_GB2312" w:cs="仿宋_GB2312" w:eastAsia="仿宋_GB2312"/>
                <w:sz w:val="24"/>
              </w:rPr>
              <w:t>参与本项目的所有服务人员均须持健康证上岗。</w:t>
            </w:r>
          </w:p>
          <w:p>
            <w:pPr>
              <w:pStyle w:val="null3"/>
              <w:jc w:val="both"/>
            </w:pPr>
            <w:r>
              <w:rPr>
                <w:rFonts w:ascii="仿宋_GB2312" w:hAnsi="仿宋_GB2312" w:cs="仿宋_GB2312" w:eastAsia="仿宋_GB2312"/>
                <w:sz w:val="24"/>
                <w:b/>
              </w:rPr>
              <w:t>三、</w:t>
            </w:r>
            <w:r>
              <w:rPr>
                <w:rFonts w:ascii="仿宋_GB2312" w:hAnsi="仿宋_GB2312" w:cs="仿宋_GB2312" w:eastAsia="仿宋_GB2312"/>
                <w:sz w:val="24"/>
                <w:b/>
              </w:rPr>
              <w:t>供餐标准</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1）粮食供应量：男性在押人员每月不得少于25公斤，女性在押人员每月不得少于20公斤；</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2）蔬菜（水果）类供应量：男女在押人员每月不得少于25公斤；</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3）肉类供应量：男女在押人员每月不得少于2.5公斤；</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4）蛋、鱼或虾供应量：男女在押人员每月不得少于1.5公斤；</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5）豆制品(以干豆计)或奶类及奶制品供应量：男女在押人员大豆及豆制品每月不得少于1.5公斤或奶类及奶制品不得少于3公斤；</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6）食油供应量：男女在押人员每月不得少于1公斤；</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7）调味品供应量：依据每月具体情况定量。</w:t>
            </w:r>
          </w:p>
          <w:p>
            <w:pPr>
              <w:pStyle w:val="null3"/>
              <w:jc w:val="both"/>
            </w:pPr>
            <w:r>
              <w:rPr>
                <w:rFonts w:ascii="仿宋_GB2312" w:hAnsi="仿宋_GB2312" w:cs="仿宋_GB2312" w:eastAsia="仿宋_GB2312"/>
                <w:sz w:val="24"/>
                <w:b/>
              </w:rPr>
              <w:t>四</w:t>
            </w:r>
            <w:r>
              <w:rPr>
                <w:rFonts w:ascii="仿宋_GB2312" w:hAnsi="仿宋_GB2312" w:cs="仿宋_GB2312" w:eastAsia="仿宋_GB2312"/>
                <w:sz w:val="24"/>
                <w:b/>
              </w:rPr>
              <w:t>、服务要求</w:t>
            </w:r>
          </w:p>
          <w:p>
            <w:pPr>
              <w:pStyle w:val="null3"/>
              <w:ind w:firstLine="480"/>
              <w:jc w:val="both"/>
            </w:pPr>
            <w:r>
              <w:rPr>
                <w:rFonts w:ascii="仿宋_GB2312" w:hAnsi="仿宋_GB2312" w:cs="仿宋_GB2312" w:eastAsia="仿宋_GB2312"/>
                <w:sz w:val="24"/>
              </w:rPr>
              <w:t>1.按《食品卫生法》及采购人要求做好餐厅的服务，提供安全、卫生、可口、周到的就餐服务；</w:t>
            </w:r>
          </w:p>
          <w:p>
            <w:pPr>
              <w:pStyle w:val="null3"/>
              <w:ind w:firstLine="480"/>
              <w:jc w:val="both"/>
            </w:pPr>
            <w:r>
              <w:rPr>
                <w:rFonts w:ascii="仿宋_GB2312" w:hAnsi="仿宋_GB2312" w:cs="仿宋_GB2312" w:eastAsia="仿宋_GB2312"/>
                <w:sz w:val="24"/>
              </w:rPr>
              <w:t>2.供应商在服务期限内，应严格执行《食品卫生法》，防止食物中毒，由于管理不善或工作人员操作等因素引发的食品卫生安全事件，由供应商负全部责任，赔偿因此给采购人造成的行政事业罚款等相关费用，由供应商无条件进行善后处理，采购人配合；</w:t>
            </w:r>
          </w:p>
          <w:p>
            <w:pPr>
              <w:pStyle w:val="null3"/>
              <w:ind w:firstLine="480"/>
              <w:jc w:val="both"/>
            </w:pPr>
            <w:r>
              <w:rPr>
                <w:rFonts w:ascii="仿宋_GB2312" w:hAnsi="仿宋_GB2312" w:cs="仿宋_GB2312" w:eastAsia="仿宋_GB2312"/>
                <w:sz w:val="24"/>
              </w:rPr>
              <w:t>3.后厨工作人员应牢固树立食品卫生安全意识，拒绝加工过期、霉变及“三无 ”食材，不将闲杂人等带入后厨操作间，带病不上岗，保持个人卫生清洁；</w:t>
            </w:r>
          </w:p>
          <w:p>
            <w:pPr>
              <w:pStyle w:val="null3"/>
              <w:ind w:firstLine="480"/>
              <w:jc w:val="both"/>
            </w:pPr>
            <w:r>
              <w:rPr>
                <w:rFonts w:ascii="仿宋_GB2312" w:hAnsi="仿宋_GB2312" w:cs="仿宋_GB2312" w:eastAsia="仿宋_GB2312"/>
                <w:sz w:val="24"/>
              </w:rPr>
              <w:t>4.从业人员按采购人管理要求进行食材仓储管理，做到生熟分储、蔬菜与肉类分储等，并在各储藏柜标示食材名称、入库时间、储藏时效；</w:t>
            </w:r>
          </w:p>
          <w:p>
            <w:pPr>
              <w:pStyle w:val="null3"/>
              <w:ind w:firstLine="480"/>
              <w:jc w:val="both"/>
            </w:pPr>
            <w:r>
              <w:rPr>
                <w:rFonts w:ascii="仿宋_GB2312" w:hAnsi="仿宋_GB2312" w:cs="仿宋_GB2312" w:eastAsia="仿宋_GB2312"/>
                <w:sz w:val="24"/>
              </w:rPr>
              <w:t>5.食品加工制作过程干净卫生，加工食材清洗彻底，加工时生熟分案；</w:t>
            </w:r>
          </w:p>
          <w:p>
            <w:pPr>
              <w:pStyle w:val="null3"/>
              <w:ind w:firstLine="480"/>
              <w:jc w:val="both"/>
            </w:pPr>
            <w:r>
              <w:rPr>
                <w:rFonts w:ascii="仿宋_GB2312" w:hAnsi="仿宋_GB2312" w:cs="仿宋_GB2312" w:eastAsia="仿宋_GB2312"/>
                <w:sz w:val="24"/>
              </w:rPr>
              <w:t>6.所有服务工作人员须经卫生部门体检合格并持证上岗，确保健康证真实有效。供应商应当严格执行安全法律法规，建立、健全劳动安全各项规章制度，并对员工进行岗前安全教育和技能等培训，使其符合上岗的要求，具备相应的职业技能和业务素质；</w:t>
            </w:r>
          </w:p>
          <w:p>
            <w:pPr>
              <w:pStyle w:val="null3"/>
              <w:ind w:firstLine="480"/>
              <w:jc w:val="both"/>
            </w:pPr>
            <w:r>
              <w:rPr>
                <w:rFonts w:ascii="仿宋_GB2312" w:hAnsi="仿宋_GB2312" w:cs="仿宋_GB2312" w:eastAsia="仿宋_GB2312"/>
                <w:sz w:val="24"/>
              </w:rPr>
              <w:t>7.负责加工食品的质量与安全卫生，符合《中华人民共和国食品安全法》等法律法规规定，严格按照安康市餐饮行业相关的标准要求执行。随时接受卫生防疫部门和采购人的检查和监督；</w:t>
            </w:r>
          </w:p>
          <w:p>
            <w:pPr>
              <w:pStyle w:val="null3"/>
              <w:ind w:firstLine="480"/>
              <w:jc w:val="both"/>
            </w:pPr>
            <w:r>
              <w:rPr>
                <w:rFonts w:ascii="仿宋_GB2312" w:hAnsi="仿宋_GB2312" w:cs="仿宋_GB2312" w:eastAsia="仿宋_GB2312"/>
                <w:sz w:val="24"/>
              </w:rPr>
              <w:t>8.按时供餐，如因客观因素不能准时开餐，供应商应提前通知采购人，并留有充分时间做出补救。在押人员的餐食做好后，须在供应时间前完成分餐，按照在押人员的供餐时间由服务人员进行分送，包括饮用水分送；</w:t>
            </w:r>
          </w:p>
          <w:p>
            <w:pPr>
              <w:pStyle w:val="null3"/>
              <w:ind w:firstLine="480"/>
              <w:jc w:val="both"/>
            </w:pPr>
            <w:r>
              <w:rPr>
                <w:rFonts w:ascii="仿宋_GB2312" w:hAnsi="仿宋_GB2312" w:cs="仿宋_GB2312" w:eastAsia="仿宋_GB2312"/>
                <w:sz w:val="24"/>
              </w:rPr>
              <w:t>9</w:t>
            </w:r>
            <w:r>
              <w:rPr>
                <w:rFonts w:ascii="仿宋_GB2312" w:hAnsi="仿宋_GB2312" w:cs="仿宋_GB2312" w:eastAsia="仿宋_GB2312"/>
                <w:sz w:val="24"/>
              </w:rPr>
              <w:t>.负责餐厅厨房卫生清洁包括但不限于餐厅厨房地面、墙面、餐具、设备工具、厨房排污设备清洁等卫生清洁工作。垃圾及时清运，不得随处堆放，餐厅环境日常保持干净整洁；</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0</w:t>
            </w:r>
            <w:r>
              <w:rPr>
                <w:rFonts w:ascii="仿宋_GB2312" w:hAnsi="仿宋_GB2312" w:cs="仿宋_GB2312" w:eastAsia="仿宋_GB2312"/>
                <w:sz w:val="24"/>
              </w:rPr>
              <w:t>.因供应商管理不当或其他原因造成的火灾、触电、食物中毒等安全责任事故，由此造成的损失或伤害由供应商承担相关责任及费用；</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1</w:t>
            </w:r>
            <w:r>
              <w:rPr>
                <w:rFonts w:ascii="仿宋_GB2312" w:hAnsi="仿宋_GB2312" w:cs="仿宋_GB2312" w:eastAsia="仿宋_GB2312"/>
                <w:sz w:val="24"/>
              </w:rPr>
              <w:t>.餐厅物料消耗品（如拖把、抹布、垃圾袋、清洁剂、消毒剂、纸巾、牙签等）均由供应商承担；</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2</w:t>
            </w:r>
            <w:r>
              <w:rPr>
                <w:rFonts w:ascii="仿宋_GB2312" w:hAnsi="仿宋_GB2312" w:cs="仿宋_GB2312" w:eastAsia="仿宋_GB2312"/>
                <w:sz w:val="24"/>
              </w:rPr>
              <w:t>.采购人免费提供供餐场地、制作场地，承担水、电、空调合理使用费用及正常维修费用，供应商应节约用水、用电，做到良好内控管理记录；</w:t>
            </w:r>
            <w:r>
              <w:rPr>
                <w:rFonts w:ascii="仿宋_GB2312" w:hAnsi="仿宋_GB2312" w:cs="仿宋_GB2312" w:eastAsia="仿宋_GB2312"/>
                <w:sz w:val="24"/>
              </w:rPr>
              <w:t>采购人</w:t>
            </w:r>
            <w:r>
              <w:rPr>
                <w:rFonts w:ascii="仿宋_GB2312" w:hAnsi="仿宋_GB2312" w:cs="仿宋_GB2312" w:eastAsia="仿宋_GB2312"/>
                <w:sz w:val="24"/>
              </w:rPr>
              <w:t>负责餐厅厨房设施设备、厨具、餐具等设施的日常维护工作，并承担日常维护费用</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3</w:t>
            </w:r>
            <w:r>
              <w:rPr>
                <w:rFonts w:ascii="仿宋_GB2312" w:hAnsi="仿宋_GB2312" w:cs="仿宋_GB2312" w:eastAsia="仿宋_GB2312"/>
                <w:sz w:val="24"/>
              </w:rPr>
              <w:t>.因供应商工作人员无法达到采购人管理服务要求，供应商应对相应工作人员进行处理、调换，以确保采购需求及服务得以最佳实现。</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4</w:t>
            </w:r>
            <w:r>
              <w:rPr>
                <w:rFonts w:ascii="仿宋_GB2312" w:hAnsi="仿宋_GB2312" w:cs="仿宋_GB2312" w:eastAsia="仿宋_GB2312"/>
                <w:sz w:val="24"/>
              </w:rPr>
              <w:t>.供应商应保障采购人内部接待用餐，需按采购人要求标准提供菜品，饭菜价格保证低于市场价，菜品及价格需报采购人审定同意后方可执行且不得随意更改。</w:t>
            </w:r>
          </w:p>
          <w:p>
            <w:pPr>
              <w:pStyle w:val="null3"/>
              <w:jc w:val="both"/>
            </w:pPr>
            <w:r>
              <w:rPr>
                <w:rFonts w:ascii="仿宋_GB2312" w:hAnsi="仿宋_GB2312" w:cs="仿宋_GB2312" w:eastAsia="仿宋_GB2312"/>
                <w:sz w:val="24"/>
                <w:b/>
              </w:rPr>
              <w:t>五</w:t>
            </w:r>
            <w:r>
              <w:rPr>
                <w:rFonts w:ascii="仿宋_GB2312" w:hAnsi="仿宋_GB2312" w:cs="仿宋_GB2312" w:eastAsia="仿宋_GB2312"/>
                <w:sz w:val="24"/>
                <w:b/>
              </w:rPr>
              <w:t>、商务要求</w:t>
            </w:r>
          </w:p>
          <w:p>
            <w:pPr>
              <w:pStyle w:val="null3"/>
              <w:ind w:firstLine="480"/>
              <w:jc w:val="both"/>
            </w:pPr>
            <w:r>
              <w:rPr>
                <w:rFonts w:ascii="仿宋_GB2312" w:hAnsi="仿宋_GB2312" w:cs="仿宋_GB2312" w:eastAsia="仿宋_GB2312"/>
                <w:sz w:val="24"/>
              </w:rPr>
              <w:t>1.服务期限：</w:t>
            </w:r>
            <w:r>
              <w:rPr>
                <w:rFonts w:ascii="仿宋_GB2312" w:hAnsi="仿宋_GB2312" w:cs="仿宋_GB2312" w:eastAsia="仿宋_GB2312"/>
                <w:sz w:val="24"/>
              </w:rPr>
              <w:t>自合同签订之日起一年。</w:t>
            </w:r>
          </w:p>
          <w:p>
            <w:pPr>
              <w:pStyle w:val="null3"/>
              <w:ind w:firstLine="480"/>
              <w:jc w:val="both"/>
            </w:pPr>
            <w:r>
              <w:rPr>
                <w:rFonts w:ascii="仿宋_GB2312" w:hAnsi="仿宋_GB2312" w:cs="仿宋_GB2312" w:eastAsia="仿宋_GB2312"/>
                <w:sz w:val="24"/>
              </w:rPr>
              <w:t>2.服务地点：采购人指定地点。</w:t>
            </w:r>
          </w:p>
          <w:p>
            <w:pPr>
              <w:pStyle w:val="null3"/>
              <w:ind w:firstLine="480"/>
              <w:jc w:val="both"/>
            </w:pPr>
            <w:r>
              <w:rPr>
                <w:rFonts w:ascii="仿宋_GB2312" w:hAnsi="仿宋_GB2312" w:cs="仿宋_GB2312" w:eastAsia="仿宋_GB2312"/>
                <w:sz w:val="24"/>
              </w:rPr>
              <w:t>3.付款方式及考核管理：</w:t>
            </w:r>
          </w:p>
          <w:p>
            <w:pPr>
              <w:pStyle w:val="null3"/>
              <w:ind w:firstLine="480"/>
              <w:jc w:val="both"/>
            </w:pPr>
            <w:r>
              <w:rPr>
                <w:rFonts w:ascii="仿宋_GB2312" w:hAnsi="仿宋_GB2312" w:cs="仿宋_GB2312" w:eastAsia="仿宋_GB2312"/>
                <w:sz w:val="24"/>
              </w:rPr>
              <w:t>合同签订后：</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1）服务费用支付方式。由采购人按照有关规定进行考核，次月月初对供应商上月考核情况进行反馈，并根据考核结果每月30日前支付供应商上月服务费用。供应商应出具正式发票及相关资料。</w:t>
            </w:r>
          </w:p>
          <w:p>
            <w:pPr>
              <w:pStyle w:val="null3"/>
              <w:ind w:firstLine="480"/>
              <w:jc w:val="both"/>
            </w:pPr>
            <w:r>
              <w:rPr>
                <w:rFonts w:ascii="仿宋_GB2312" w:hAnsi="仿宋_GB2312" w:cs="仿宋_GB2312" w:eastAsia="仿宋_GB2312"/>
                <w:sz w:val="24"/>
              </w:rPr>
              <w:t>4.验收标准：</w:t>
            </w:r>
          </w:p>
          <w:p>
            <w:pPr>
              <w:pStyle w:val="null3"/>
              <w:ind w:firstLine="480"/>
              <w:jc w:val="both"/>
            </w:pPr>
            <w:r>
              <w:rPr>
                <w:rFonts w:ascii="仿宋_GB2312" w:hAnsi="仿宋_GB2312" w:cs="仿宋_GB2312" w:eastAsia="仿宋_GB2312"/>
                <w:sz w:val="24"/>
              </w:rPr>
              <w:t>成交供应商与采购人应严格按照《中华人民共和国政府采购法》、《中华人民共和国政府采购法实施条例》等法律以及合同、磋商响应文件等相关文件要求进行验收。</w:t>
            </w:r>
          </w:p>
          <w:p>
            <w:pPr>
              <w:pStyle w:val="null3"/>
              <w:jc w:val="both"/>
            </w:pPr>
            <w:r>
              <w:rPr>
                <w:rFonts w:ascii="仿宋_GB2312" w:hAnsi="仿宋_GB2312" w:cs="仿宋_GB2312" w:eastAsia="仿宋_GB2312"/>
                <w:sz w:val="24"/>
                <w:b/>
              </w:rPr>
              <w:t>六</w:t>
            </w:r>
            <w:r>
              <w:rPr>
                <w:rFonts w:ascii="仿宋_GB2312" w:hAnsi="仿宋_GB2312" w:cs="仿宋_GB2312" w:eastAsia="仿宋_GB2312"/>
                <w:sz w:val="24"/>
                <w:b/>
              </w:rPr>
              <w:t>、</w:t>
            </w:r>
            <w:r>
              <w:rPr>
                <w:rFonts w:ascii="仿宋_GB2312" w:hAnsi="仿宋_GB2312" w:cs="仿宋_GB2312" w:eastAsia="仿宋_GB2312"/>
                <w:sz w:val="24"/>
                <w:b/>
              </w:rPr>
              <w:t>其他</w:t>
            </w:r>
          </w:p>
          <w:p>
            <w:pPr>
              <w:pStyle w:val="null3"/>
              <w:ind w:firstLine="240"/>
              <w:jc w:val="both"/>
            </w:pPr>
            <w:r>
              <w:rPr>
                <w:rFonts w:ascii="仿宋_GB2312" w:hAnsi="仿宋_GB2312" w:cs="仿宋_GB2312" w:eastAsia="仿宋_GB2312"/>
                <w:sz w:val="24"/>
              </w:rPr>
              <w:t>(一)保密约定</w:t>
            </w:r>
          </w:p>
          <w:p>
            <w:pPr>
              <w:pStyle w:val="null3"/>
              <w:ind w:firstLine="480"/>
              <w:jc w:val="both"/>
            </w:pPr>
            <w:r>
              <w:rPr>
                <w:rFonts w:ascii="仿宋_GB2312" w:hAnsi="仿宋_GB2312" w:cs="仿宋_GB2312" w:eastAsia="仿宋_GB2312"/>
                <w:sz w:val="24"/>
              </w:rPr>
              <w:t>在服务过程中获得的信息，乙方负有保密义务，不得以任何形式向任何第三方泄漏。由于违反保密义务造成影响或损失的，由乙方消除影响，并赔偿损失。</w:t>
            </w:r>
          </w:p>
          <w:p>
            <w:pPr>
              <w:pStyle w:val="null3"/>
              <w:ind w:firstLine="240"/>
              <w:jc w:val="both"/>
            </w:pPr>
            <w:r>
              <w:rPr>
                <w:rFonts w:ascii="仿宋_GB2312" w:hAnsi="仿宋_GB2312" w:cs="仿宋_GB2312" w:eastAsia="仿宋_GB2312"/>
                <w:sz w:val="24"/>
              </w:rPr>
              <w:t>(二)违约责任</w:t>
            </w:r>
          </w:p>
          <w:p>
            <w:pPr>
              <w:pStyle w:val="null3"/>
              <w:ind w:firstLine="480"/>
              <w:jc w:val="both"/>
            </w:pPr>
            <w:r>
              <w:rPr>
                <w:rFonts w:ascii="仿宋_GB2312" w:hAnsi="仿宋_GB2312" w:cs="仿宋_GB2312" w:eastAsia="仿宋_GB2312"/>
                <w:sz w:val="24"/>
              </w:rPr>
              <w:t>1、按法律法规相关条款执行。</w:t>
            </w:r>
          </w:p>
          <w:p>
            <w:pPr>
              <w:pStyle w:val="null3"/>
              <w:ind w:firstLine="480"/>
              <w:jc w:val="both"/>
            </w:pPr>
            <w:r>
              <w:rPr>
                <w:rFonts w:ascii="仿宋_GB2312" w:hAnsi="仿宋_GB2312" w:cs="仿宋_GB2312" w:eastAsia="仿宋_GB2312"/>
                <w:sz w:val="24"/>
              </w:rPr>
              <w:t>2、如出现违约行为，违约方自违约之日起，每日按合同总价的5%向守约方承担违约责任。</w:t>
            </w:r>
          </w:p>
          <w:p>
            <w:pPr>
              <w:pStyle w:val="null3"/>
              <w:ind w:firstLine="480"/>
              <w:jc w:val="both"/>
            </w:pPr>
            <w:r>
              <w:rPr>
                <w:rFonts w:ascii="仿宋_GB2312" w:hAnsi="仿宋_GB2312" w:cs="仿宋_GB2312" w:eastAsia="仿宋_GB2312"/>
                <w:sz w:val="24"/>
              </w:rPr>
              <w:t>3、因不可抗力导致无法履行合同义务的，不承担违约责任，但不可抗力事由及时书面通知对方。</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具备履约能力</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成交供应商与采购人应严格按照《中华人民共和国政府采购法》、《中华人民共和国政府采购法实施条例》等法律以及合同、磋商响应文件等相关文件要求进行验收。</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服务费用支付方式。由采购人按照有关规定进行考核，次月月初对供应商上月考核情况进行反馈，并根据考核结果每月30日前支付供应商上月服务费用。供应商应出具正式发票及相关资料。</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违约责任：1.按《民法典》中的相关条款和本合同的约定执行，未按合同或磋商文件要求提供服务或供应的服务质量不能满足采购人技术要求，采购人有权终止合同，甚至对供应商违约行为进行追究。 2.合同期满，用人单位如果不再续签合同，服务单位必须按用人单位的要求无条件全部退出；如果服务单位未能按时退出，每拖延一个月承担按月支付服务费用金额的二倍支付违约金。 3.双方若存在其他争议问题，双方协商解决，在协商不成的情况下，通过当地法院用诉讼方式解决。 4.甲、乙双方均不能违约，必须遵守本合同的各项规定，保证本合同的正常履行。若有一方违约，则另一方均有权单方面解除本合同并要求另一方承担合同金额的10%的违约金。 解决争议：合同执行中发生争议的，当事人双方应协商解决，协商达不成一致时，可向当地行政仲裁机关申请仲裁或者向所辖地人民法院提起诉讼。 合同一经签订，不得擅自变更、中止或者终止合同。对确需变更、调整或者中止、终止合同的，应按规定履行相应的手续。</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磋商会议结束以后，成交人提供和上传文件一致的一正一副两套纸质投标文件。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财务审计报告</w:t>
            </w:r>
          </w:p>
        </w:tc>
        <w:tc>
          <w:tcPr>
            <w:tcW w:type="dxa" w:w="3322"/>
          </w:tcPr>
          <w:p>
            <w:pPr>
              <w:pStyle w:val="null3"/>
            </w:pPr>
            <w:r>
              <w:rPr>
                <w:rFonts w:ascii="仿宋_GB2312" w:hAnsi="仿宋_GB2312" w:cs="仿宋_GB2312" w:eastAsia="仿宋_GB2312"/>
              </w:rPr>
              <w:t>投标人需提供2023年度经审计的投标人财务审计报告或者开标前三个月内的银行资信证明或财政部门认可的政府采购专业担保机构出具的投标担保函；</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提供投标人自2024年6月1日以来已缴纳任意一个月完税凭证或税务机关开具的完税证明（任意税种）；依法免税的应提供相关文件证明；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提供投标人自2024年6月1日以来已缴存的任意一个月的社会保障资金缴存单据或社保机构开具的社会保险参保缴费情况证明；依法不需要缴纳社会保障资金的投标人应提供相关文件证明；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重大违法记录书面声明</w:t>
            </w:r>
          </w:p>
        </w:tc>
        <w:tc>
          <w:tcPr>
            <w:tcW w:type="dxa" w:w="3322"/>
          </w:tcPr>
          <w:p>
            <w:pPr>
              <w:pStyle w:val="null3"/>
            </w:pPr>
            <w:r>
              <w:rPr>
                <w:rFonts w:ascii="仿宋_GB2312" w:hAnsi="仿宋_GB2312" w:cs="仿宋_GB2312" w:eastAsia="仿宋_GB2312"/>
              </w:rPr>
              <w:t>参加本次招标前3年内，在政府采购经营活动中没有重大违法记录的书面声明；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信用截图</w:t>
            </w:r>
          </w:p>
        </w:tc>
        <w:tc>
          <w:tcPr>
            <w:tcW w:type="dxa" w:w="3322"/>
          </w:tcPr>
          <w:p>
            <w:pPr>
              <w:pStyle w:val="null3"/>
            </w:pPr>
            <w:r>
              <w:rPr>
                <w:rFonts w:ascii="仿宋_GB2312" w:hAnsi="仿宋_GB2312" w:cs="仿宋_GB2312" w:eastAsia="仿宋_GB2312"/>
              </w:rPr>
              <w:t>通过“信用中国”网站（www.creditchina.gov.cn）和中国政府采购网（www.ccgp.gov.cn）查询申请人信用记录，被列入失信被执行人、重大税收违法案件当事人名单、政府采购严重违法失信行为记录名单的单位将被拒绝参与本项目；</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履约能力</w:t>
            </w:r>
          </w:p>
        </w:tc>
        <w:tc>
          <w:tcPr>
            <w:tcW w:type="dxa" w:w="3322"/>
          </w:tcPr>
          <w:p>
            <w:pPr>
              <w:pStyle w:val="null3"/>
            </w:pPr>
            <w:r>
              <w:rPr>
                <w:rFonts w:ascii="仿宋_GB2312" w:hAnsi="仿宋_GB2312" w:cs="仿宋_GB2312" w:eastAsia="仿宋_GB2312"/>
              </w:rPr>
              <w:t>具有履行合同所必需的设备和专业技术能力；</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法定代表人身份证、法定代表人授权书及被授权人身份证合法有效；</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供应商资质</w:t>
            </w:r>
          </w:p>
        </w:tc>
        <w:tc>
          <w:tcPr>
            <w:tcW w:type="dxa" w:w="3322"/>
          </w:tcPr>
          <w:p>
            <w:pPr>
              <w:pStyle w:val="null3"/>
            </w:pPr>
            <w:r>
              <w:rPr>
                <w:rFonts w:ascii="仿宋_GB2312" w:hAnsi="仿宋_GB2312" w:cs="仿宋_GB2312" w:eastAsia="仿宋_GB2312"/>
              </w:rPr>
              <w:t>供应商须具有《食品经营许可证》；</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资格证明文件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响应文件上法定代表人（负责人）或其授权代表人的签字齐全并加盖公章</w:t>
            </w:r>
          </w:p>
        </w:tc>
        <w:tc>
          <w:tcPr>
            <w:tcW w:type="dxa" w:w="1661"/>
          </w:tcPr>
          <w:p>
            <w:pPr>
              <w:pStyle w:val="null3"/>
            </w:pPr>
            <w:r>
              <w:rPr>
                <w:rFonts w:ascii="仿宋_GB2312" w:hAnsi="仿宋_GB2312" w:cs="仿宋_GB2312" w:eastAsia="仿宋_GB2312"/>
              </w:rPr>
              <w:t>响应文件封面 资格证明文件 中小企业声明函 残疾人福利性单位声明函 商务应答表 服务方案 服务内容及服务要求应答表 标的清单 报价表 响应函 业绩表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响应文件格式、语言、计量单位、报价货币</w:t>
            </w:r>
          </w:p>
        </w:tc>
        <w:tc>
          <w:tcPr>
            <w:tcW w:type="dxa" w:w="3322"/>
          </w:tcPr>
          <w:p>
            <w:pPr>
              <w:pStyle w:val="null3"/>
            </w:pPr>
            <w:r>
              <w:rPr>
                <w:rFonts w:ascii="仿宋_GB2312" w:hAnsi="仿宋_GB2312" w:cs="仿宋_GB2312" w:eastAsia="仿宋_GB2312"/>
              </w:rPr>
              <w:t>应符合“响应文件格式”和磋商文件要求</w:t>
            </w:r>
          </w:p>
        </w:tc>
        <w:tc>
          <w:tcPr>
            <w:tcW w:type="dxa" w:w="1661"/>
          </w:tcPr>
          <w:p>
            <w:pPr>
              <w:pStyle w:val="null3"/>
            </w:pPr>
            <w:r>
              <w:rPr>
                <w:rFonts w:ascii="仿宋_GB2312" w:hAnsi="仿宋_GB2312" w:cs="仿宋_GB2312" w:eastAsia="仿宋_GB2312"/>
              </w:rPr>
              <w:t>响应文件封面 资格证明文件 中小企业声明函 残疾人福利性单位声明函 商务应答表 服务方案 服务内容及服务要求应答表 标的清单 报价表 响应函 业绩表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w:t>
            </w:r>
          </w:p>
        </w:tc>
        <w:tc>
          <w:tcPr>
            <w:tcW w:type="dxa" w:w="1661"/>
          </w:tcPr>
          <w:p>
            <w:pPr>
              <w:pStyle w:val="null3"/>
            </w:pPr>
            <w:r>
              <w:rPr>
                <w:rFonts w:ascii="仿宋_GB2312" w:hAnsi="仿宋_GB2312" w:cs="仿宋_GB2312" w:eastAsia="仿宋_GB2312"/>
              </w:rPr>
              <w:t>响应文件封面 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不能有任何采购人不能接受的附加条件</w:t>
            </w:r>
          </w:p>
        </w:tc>
        <w:tc>
          <w:tcPr>
            <w:tcW w:type="dxa" w:w="1661"/>
          </w:tcPr>
          <w:p>
            <w:pPr>
              <w:pStyle w:val="null3"/>
            </w:pPr>
            <w:r>
              <w:rPr>
                <w:rFonts w:ascii="仿宋_GB2312" w:hAnsi="仿宋_GB2312" w:cs="仿宋_GB2312" w:eastAsia="仿宋_GB2312"/>
              </w:rPr>
              <w:t>响应文件封面 资格证明文件 中小企业声明函 残疾人福利性单位声明函 商务应答表 服务方案 服务内容及服务要求应答表 标的清单 报价表 响应函 业绩表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应满足磋商文件中要求的服务期</w:t>
            </w:r>
          </w:p>
        </w:tc>
        <w:tc>
          <w:tcPr>
            <w:tcW w:type="dxa" w:w="1661"/>
          </w:tcPr>
          <w:p>
            <w:pPr>
              <w:pStyle w:val="null3"/>
            </w:pPr>
            <w:r>
              <w:rPr>
                <w:rFonts w:ascii="仿宋_GB2312" w:hAnsi="仿宋_GB2312" w:cs="仿宋_GB2312" w:eastAsia="仿宋_GB2312"/>
              </w:rPr>
              <w:t>响应文件封面 标的清单 报价表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详细评审85.0000分</w:t>
            </w:r>
          </w:p>
          <w:p>
            <w:pPr>
              <w:pStyle w:val="null3"/>
            </w:pPr>
            <w:r>
              <w:rPr>
                <w:rFonts w:ascii="仿宋_GB2312" w:hAnsi="仿宋_GB2312" w:cs="仿宋_GB2312" w:eastAsia="仿宋_GB2312"/>
              </w:rPr>
              <w:t>报价得分15.0000分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服务内容</w:t>
            </w:r>
          </w:p>
        </w:tc>
        <w:tc>
          <w:tcPr>
            <w:tcW w:type="dxa" w:w="2492"/>
          </w:tcPr>
          <w:p>
            <w:pPr>
              <w:pStyle w:val="null3"/>
            </w:pPr>
            <w:r>
              <w:rPr>
                <w:rFonts w:ascii="仿宋_GB2312" w:hAnsi="仿宋_GB2312" w:cs="仿宋_GB2312" w:eastAsia="仿宋_GB2312"/>
              </w:rPr>
              <w:t>根据本项目采购需求，满足服务要求，保证采购人合理供餐、菜品丰富，编制服务方案。 方案详细、合理、内容清晰，能够充分满足本项目关于供餐标准、工作内容等细节的具体要求计（10）分； 方案较详细、较合理，与本项目需求基本吻合、针对性不强计（7）分。 方案笼统，描述简单，需要优化后才能满足项目需要的计（4）分；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管理制度</w:t>
            </w:r>
          </w:p>
        </w:tc>
        <w:tc>
          <w:tcPr>
            <w:tcW w:type="dxa" w:w="2492"/>
          </w:tcPr>
          <w:p>
            <w:pPr>
              <w:pStyle w:val="null3"/>
            </w:pPr>
            <w:r>
              <w:rPr>
                <w:rFonts w:ascii="仿宋_GB2312" w:hAnsi="仿宋_GB2312" w:cs="仿宋_GB2312" w:eastAsia="仿宋_GB2312"/>
              </w:rPr>
              <w:t>1.食品安全管理制度，详细完善、操作可行，按其响应程度计（0-3）分； 2.餐厅经营管理制度，详细完善、操作可行，按其响应程度计（0-3）分； 3.质量与服务管理制度，详细完善、操作可行，按其响应程度计（0-3）分； 4.绩效考核管理制度，详细完善、操作可行，按其响应程度计（0-3）分； 5.食材储存管理制度，详细完善、操作可行，按其响应程度计（0-3）分。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菜谱</w:t>
            </w:r>
          </w:p>
        </w:tc>
        <w:tc>
          <w:tcPr>
            <w:tcW w:type="dxa" w:w="2492"/>
          </w:tcPr>
          <w:p>
            <w:pPr>
              <w:pStyle w:val="null3"/>
            </w:pPr>
            <w:r>
              <w:rPr>
                <w:rFonts w:ascii="仿宋_GB2312" w:hAnsi="仿宋_GB2312" w:cs="仿宋_GB2312" w:eastAsia="仿宋_GB2312"/>
              </w:rPr>
              <w:t>1.供应商提供以两周为周期的早餐食谱方案，食谱符合采购人要求，菜品、主食种类齐全，营养合理，数量保证。 方案详细、合理、内容清晰，能够充分满足本项目关于供餐标准、工作内容等细节的具体要求计（5）分； 方案较详细、较合理，与本项目需求基本吻合、针对性不强计（3）分。 方案笼统，描述简单，需要优化后才能满足项目需要的计（1）分； 2.供应商提供以两周为周期的午餐食谱方案，食谱符合采购人要求，菜品、主食种类齐全，营养合理，数量保证。 方案详细、合理、内容清晰，能够充分满足本项目关于供餐标准、工作内容等细节的具体要求计（5）分； 方案较详细、较合理，与本项目需求基本吻合、针对性不强计（3）分。 方案笼统，描述简单，需要优化后才能满足项目需要的计（1）分；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材料保存措施</w:t>
            </w:r>
          </w:p>
        </w:tc>
        <w:tc>
          <w:tcPr>
            <w:tcW w:type="dxa" w:w="2492"/>
          </w:tcPr>
          <w:p>
            <w:pPr>
              <w:pStyle w:val="null3"/>
            </w:pPr>
            <w:r>
              <w:rPr>
                <w:rFonts w:ascii="仿宋_GB2312" w:hAnsi="仿宋_GB2312" w:cs="仿宋_GB2312" w:eastAsia="仿宋_GB2312"/>
              </w:rPr>
              <w:t>原材料等食品保存管理方案切实可行，符合本项目的要求，根据响应情况赋分。 服务措施方案全面具体、具有针对性、可操作性的得（6）分； 服务措施方案基本全面具体、针对性一般、可操作性一般的得（4）分； 服务措施方案笼统、针对性较不强、可操作性较差的得（2）分。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岗位培训</w:t>
            </w:r>
          </w:p>
        </w:tc>
        <w:tc>
          <w:tcPr>
            <w:tcW w:type="dxa" w:w="2492"/>
          </w:tcPr>
          <w:p>
            <w:pPr>
              <w:pStyle w:val="null3"/>
            </w:pPr>
            <w:r>
              <w:rPr>
                <w:rFonts w:ascii="仿宋_GB2312" w:hAnsi="仿宋_GB2312" w:cs="仿宋_GB2312" w:eastAsia="仿宋_GB2312"/>
              </w:rPr>
              <w:t>供应商须定期对员工进行入职培训、消防培训、保密培训、食品安全培训。 培训方案完善、全面，完全满足项目需要的计（6）分； 培训方案较完善、较全面，基本满足项目需要的计（4）分； 培训方案笼统，描述简单，需要优化后才能满足项目需要的计（2）分。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供应商拟派的项目经理的履约能力：厨师等级证书、专业职称、工作经验、工作业绩、管理能力，每项在0-1分之间进行评分，最多得5分。 专业人员配置：人员配备职责划分明确（0-3），人员配备数量充足（0-3），人员配备专业结构合理（0-2），团队管理措施（0-2），满足本项目要求，按其响应程度由评审专家自由赋分。 注：所有配备人员须有健康证。</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应急措施</w:t>
            </w:r>
          </w:p>
        </w:tc>
        <w:tc>
          <w:tcPr>
            <w:tcW w:type="dxa" w:w="2492"/>
          </w:tcPr>
          <w:p>
            <w:pPr>
              <w:pStyle w:val="null3"/>
            </w:pPr>
            <w:r>
              <w:rPr>
                <w:rFonts w:ascii="仿宋_GB2312" w:hAnsi="仿宋_GB2312" w:cs="仿宋_GB2312" w:eastAsia="仿宋_GB2312"/>
              </w:rPr>
              <w:t>针对本项目有突发事件处置能力，包括停水、停电、停气应急预案，食物中毒应急预案，消防安全突发事件应急预案等。 应急预案完善、全面，完全满足项目需要的计（5）分； 应急预案较完善、较全面，基本满足项目需要的计（3）分； 应急预案笼统，描述简单，需要优化后才能满足项目需要的计（1）分。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质量保证包括但不限于食品卫生、人员卫生、环境卫生、垃圾处理等。 质量保证方案完善、全面，完全满足项目需要的计（10）分； 质量保证方案较完善、较全面，基本满足项目需要的计（7）分； 质量保证方案笼统，描述简单，需要优化后才能满足项目需要的计（4）分。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供应商针对本项目有明确的服务承诺，从食品安全承诺、消防安全承诺、食堂环境卫生承诺、依法用工承诺、厨房设备安全运行承诺、菜品保障承诺等方面进行描述。 承诺详细、合理、内容清晰，能够充分满足本项目关于供餐标准、工作内容等细节的具体要求计（5）分； 承诺较详细、较合理，与本项目需求基本吻合、针对性不强计（3）分； 承诺笼统，描述简单，需要优化后才能满足项目需要的计（1）分。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提供供应商2022年2月至今类似项目业绩，每提供1个有效业绩得1分，满分3分。（附完整合同复印件并加盖供应商公章，未提供或提供不完整或不清晰均不得分。）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1.经初审合格的投标文件，其投标报价为有效投标报价，对符合政策性扣减的投标人的有效投标价格进行政策性扣减，并依据扣减后的价格（评审价格）进行价格评审。 2.满足招标文件实质性要求且最低的投标报价为评标基准价，其价格分为满分15分。 3.评标报价得分=（评标基准价/最终评标报价）×15的公式计算得分。 4.评标报价不完整的，不进入评标基准价的计算，本项得0分。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详见附件：资格证明文件</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详见附件：业绩表</w:t>
      </w:r>
    </w:p>
    <w:p>
      <w:pPr>
        <w:pStyle w:val="null3"/>
        <w:ind w:firstLine="960"/>
      </w:pPr>
      <w:r>
        <w:rPr>
          <w:rFonts w:ascii="仿宋_GB2312" w:hAnsi="仿宋_GB2312" w:cs="仿宋_GB2312" w:eastAsia="仿宋_GB2312"/>
        </w:rPr>
        <w:t>详见附件：服务内容及服务要求应答表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