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社会救助服务调查项目</w:t>
      </w:r>
    </w:p>
    <w:p>
      <w:pPr>
        <w:pStyle w:val="null3"/>
        <w:jc w:val="center"/>
        <w:outlineLvl w:val="2"/>
      </w:pPr>
      <w:r>
        <w:rPr>
          <w:sz w:val="28"/>
          <w:b/>
        </w:rPr>
        <w:t>采购项目编号：</w:t>
      </w:r>
      <w:r>
        <w:rPr>
          <w:sz w:val="28"/>
          <w:b/>
        </w:rPr>
        <w:t>ZLDL-2024138</w:t>
      </w:r>
      <w:r>
        <w:br/>
      </w:r>
      <w:r>
        <w:br/>
      </w:r>
      <w:r>
        <w:br/>
      </w:r>
    </w:p>
    <w:p>
      <w:pPr>
        <w:pStyle w:val="null3"/>
        <w:jc w:val="center"/>
        <w:outlineLvl w:val="2"/>
      </w:pPr>
      <w:r>
        <w:rPr>
          <w:sz w:val="28"/>
          <w:b/>
        </w:rPr>
        <w:t>西安市灞桥区民政局</w:t>
      </w:r>
    </w:p>
    <w:p>
      <w:pPr>
        <w:pStyle w:val="null3"/>
        <w:jc w:val="center"/>
        <w:outlineLvl w:val="2"/>
      </w:pPr>
      <w:r>
        <w:rPr>
          <w:sz w:val="28"/>
          <w:b/>
        </w:rPr>
        <w:t>陕西中珞工程项目管理有限公司</w:t>
      </w:r>
      <w:r>
        <w:rPr>
          <w:sz w:val="28"/>
          <w:b/>
        </w:rPr>
        <w:t>共同编制</w:t>
      </w:r>
    </w:p>
    <w:p>
      <w:pPr>
        <w:pStyle w:val="null3"/>
        <w:jc w:val="center"/>
        <w:outlineLvl w:val="2"/>
      </w:pPr>
      <w:r>
        <w:rPr>
          <w:sz w:val="28"/>
          <w:b/>
        </w:rPr>
        <w:t>2024年08月27日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陕西中珞工程项目管理有限公司</w:t>
      </w:r>
      <w:r>
        <w:rPr/>
        <w:t>（以下简称“代理机构”）受</w:t>
      </w:r>
      <w:r>
        <w:rPr/>
        <w:t>西安市灞桥区民政局</w:t>
      </w:r>
      <w:r>
        <w:rPr/>
        <w:t>委托，拟对</w:t>
      </w:r>
      <w:r>
        <w:rPr/>
        <w:t>社会救助服务调查项目</w:t>
      </w:r>
      <w:r>
        <w:rPr/>
        <w:t>采用竞争性磋商采购方式进行采购，兹邀请供应商参加本项目的竞争性磋商。</w:t>
      </w:r>
    </w:p>
    <w:p>
      <w:pPr>
        <w:pStyle w:val="null3"/>
        <w:outlineLvl w:val="2"/>
      </w:pPr>
      <w:r>
        <w:rPr>
          <w:sz w:val="28"/>
          <w:b/>
        </w:rPr>
        <w:t>一、项目编号：</w:t>
      </w:r>
      <w:r>
        <w:rPr>
          <w:sz w:val="28"/>
          <w:b/>
        </w:rPr>
        <w:t>ZLDL-2024138</w:t>
      </w:r>
    </w:p>
    <w:p>
      <w:pPr>
        <w:pStyle w:val="null3"/>
        <w:outlineLvl w:val="2"/>
      </w:pPr>
      <w:r>
        <w:rPr>
          <w:sz w:val="28"/>
          <w:b/>
        </w:rPr>
        <w:t>二、项目名称：</w:t>
      </w:r>
      <w:r>
        <w:rPr>
          <w:sz w:val="28"/>
          <w:b/>
        </w:rPr>
        <w:t>社会救助服务调查项目</w:t>
      </w:r>
    </w:p>
    <w:p>
      <w:pPr>
        <w:pStyle w:val="null3"/>
        <w:outlineLvl w:val="2"/>
      </w:pPr>
      <w:r>
        <w:rPr>
          <w:sz w:val="28"/>
          <w:b/>
        </w:rPr>
        <w:t>三、磋商项目简介</w:t>
      </w:r>
    </w:p>
    <w:p>
      <w:pPr>
        <w:pStyle w:val="null3"/>
        <w:ind w:firstLine="480"/>
      </w:pPr>
      <w:r>
        <w:rPr/>
        <w:t>本项目需入户调查申请最低生活保障，发挥“主动发现”机制作用、参与公示有异议的救助申请家庭民主评议会，对各村（居）委会社会救助公示栏、公示内容监督检查，开展内容丰富、形式多样的社会救助政策的宣传活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采购包1（社会救助服务调查项目）：属于专门面向中小企业采购。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t>2、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 供应商需在项目电子化交易系统中按要求上传相应证明文件并进行电子签章。</w:t>
      </w:r>
    </w:p>
    <w:p>
      <w:pPr>
        <w:pStyle w:val="null3"/>
      </w:pPr>
      <w:r>
        <w:rPr/>
        <w:t>3、财务状况报告：供应商应提供2023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w:t>
      </w:r>
    </w:p>
    <w:p>
      <w:pPr>
        <w:pStyle w:val="null3"/>
      </w:pPr>
      <w:r>
        <w:rPr/>
        <w:t>4、税收缴纳证明：提供自2023年8月1日以来已缴纳任意一个月完税凭证或税务机关开具的完税证明（任意税种）；依法免税的应提供相关文件证明；</w:t>
      </w:r>
    </w:p>
    <w:p>
      <w:pPr>
        <w:pStyle w:val="null3"/>
      </w:pPr>
      <w:r>
        <w:rPr/>
        <w:t>5、社会保障资金缴纳证明：提供自2023年8月1日以来已缴存的任意一个月的社会保障资金缴存单据或社保机构开具的社会保险参保缴费情况证明；依法不需要缴纳社会保障资金的投标人应提供相关文件证明；</w:t>
      </w:r>
    </w:p>
    <w:p>
      <w:pPr>
        <w:pStyle w:val="null3"/>
      </w:pPr>
      <w:r>
        <w:rPr/>
        <w:t>6、书面声明：参加本次招标前3年内，在政府采购经营活动中没有重大违法记录的书面声明；</w:t>
      </w:r>
    </w:p>
    <w:p>
      <w:pPr>
        <w:pStyle w:val="null3"/>
      </w:pPr>
      <w:r>
        <w:rPr/>
        <w:t>7、信用：通过“信用中国”网站（www.creditchina.gov.cn）和中国政府采购网（www.ccgp.gov.cn）查询供应商信用记录，被列入失信被执行人、重大税收违法案件当事人名单、政府采购严重违法失信行为记录名单的单位将被拒绝参与本项目；</w:t>
      </w:r>
    </w:p>
    <w:p>
      <w:pPr>
        <w:pStyle w:val="null3"/>
      </w:pPr>
      <w:r>
        <w:rPr/>
        <w:t>8、联合体投标：本项目不接受联合体投标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西安市灞桥区民政局</w:t>
      </w:r>
    </w:p>
    <w:p>
      <w:pPr>
        <w:pStyle w:val="null3"/>
      </w:pPr>
      <w:r>
        <w:rPr/>
        <w:t xml:space="preserve"> 地址： </w:t>
      </w:r>
      <w:r>
        <w:rPr/>
        <w:t>西安市纺织城纺北路133号</w:t>
      </w:r>
    </w:p>
    <w:p>
      <w:pPr>
        <w:pStyle w:val="null3"/>
      </w:pPr>
      <w:r>
        <w:rPr/>
        <w:t xml:space="preserve"> 邮编： </w:t>
      </w:r>
      <w:r>
        <w:rPr/>
        <w:t>710038</w:t>
      </w:r>
    </w:p>
    <w:p>
      <w:pPr>
        <w:pStyle w:val="null3"/>
      </w:pPr>
      <w:r>
        <w:rPr/>
        <w:t xml:space="preserve"> 联系人： </w:t>
      </w:r>
      <w:r>
        <w:rPr/>
        <w:t>孙老师</w:t>
      </w:r>
    </w:p>
    <w:p>
      <w:pPr>
        <w:pStyle w:val="null3"/>
      </w:pPr>
      <w:r>
        <w:rPr/>
        <w:t xml:space="preserve"> 联系电话： </w:t>
      </w:r>
      <w:r>
        <w:rPr/>
        <w:t>029-83528059</w:t>
      </w:r>
    </w:p>
    <w:p>
      <w:pPr>
        <w:pStyle w:val="null3"/>
        <w:outlineLvl w:val="3"/>
      </w:pPr>
      <w:r>
        <w:rPr>
          <w:sz w:val="24"/>
          <w:b/>
        </w:rPr>
        <w:t>代理机构：</w:t>
      </w:r>
      <w:r>
        <w:rPr>
          <w:sz w:val="24"/>
          <w:b/>
        </w:rPr>
        <w:t>陕西中珞工程项目管理有限公司</w:t>
      </w:r>
    </w:p>
    <w:p>
      <w:pPr>
        <w:pStyle w:val="null3"/>
      </w:pPr>
      <w:r>
        <w:rPr/>
        <w:t xml:space="preserve"> 地址： </w:t>
      </w:r>
      <w:r>
        <w:rPr/>
        <w:t>西安市雁塔区太白南路139号荣禾云图中心1411</w:t>
      </w:r>
    </w:p>
    <w:p>
      <w:pPr>
        <w:pStyle w:val="null3"/>
      </w:pPr>
      <w:r>
        <w:rPr/>
        <w:t xml:space="preserve"> 邮编： </w:t>
      </w:r>
      <w:r>
        <w:rPr/>
        <w:t>710065</w:t>
      </w:r>
    </w:p>
    <w:p>
      <w:pPr>
        <w:pStyle w:val="null3"/>
      </w:pPr>
      <w:r>
        <w:rPr/>
        <w:t xml:space="preserve"> 联系人： </w:t>
      </w:r>
      <w:r>
        <w:rPr/>
        <w:t>卞兴前、李阳艳</w:t>
      </w:r>
    </w:p>
    <w:p>
      <w:pPr>
        <w:pStyle w:val="null3"/>
      </w:pPr>
      <w:r>
        <w:rPr/>
        <w:t xml:space="preserve"> 联系电话： </w:t>
      </w:r>
      <w:r>
        <w:rPr/>
        <w:t>029-89198908-8002</w:t>
      </w:r>
    </w:p>
    <w:p>
      <w:pPr>
        <w:pStyle w:val="null3"/>
        <w:outlineLvl w:val="3"/>
      </w:pPr>
      <w:r>
        <w:rPr>
          <w:sz w:val="24"/>
          <w:b/>
        </w:rPr>
        <w:t>采购监督机构：</w:t>
      </w:r>
      <w:r>
        <w:rPr>
          <w:sz w:val="24"/>
          <w:b/>
        </w:rPr>
        <w:t>西安市灞桥区财政局</w:t>
      </w:r>
    </w:p>
    <w:p>
      <w:pPr>
        <w:pStyle w:val="null3"/>
        <w:ind w:firstLine="480"/>
      </w:pPr>
      <w:r>
        <w:rPr/>
        <w:t>联系人：</w:t>
      </w:r>
      <w:r>
        <w:rPr/>
        <w:t>唐老师</w:t>
      </w:r>
    </w:p>
    <w:p>
      <w:pPr>
        <w:pStyle w:val="null3"/>
        <w:ind w:firstLine="480"/>
      </w:pPr>
      <w:r>
        <w:rPr/>
        <w:t>联系电话：</w:t>
      </w:r>
      <w:r>
        <w:rPr/>
        <w:t>029-83519160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代理服务费收费标准：定额收取6000元。由成交供应商在领取成交通知书前向采购代理机构支付。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西安市灞桥区民政局</w:t>
      </w:r>
      <w:r>
        <w:rPr/>
        <w:t>和</w:t>
      </w:r>
      <w:r>
        <w:rPr/>
        <w:t>陕西中珞工程项目管理有限公司</w:t>
      </w:r>
      <w:r>
        <w:rPr/>
        <w:t>享有。对磋商文件中供应商参加本次政府采购活动应当具备的条件，磋商项目技术、服务、商务及其他要求，评审细则及标准由</w:t>
      </w:r>
      <w:r>
        <w:rPr/>
        <w:t>西安市灞桥区民政局</w:t>
      </w:r>
      <w:r>
        <w:rPr/>
        <w:t>负责解释。除上述磋商文件内容，其他内容由</w:t>
      </w:r>
      <w:r>
        <w:rPr/>
        <w:t>陕西中珞工程项目管理有限公司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西安市灞桥区民政局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陕西中珞工程项目管理有限公司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满足采购人要求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陕西中珞工程项目管理有限公司</w:t>
      </w:r>
      <w:r>
        <w:rPr/>
        <w:t xml:space="preserve"> 负责答复；供应商对除采购需求外的采购文件的询问、质疑由</w:t>
      </w:r>
      <w:r>
        <w:rPr/>
        <w:t>陕西中珞工程项目管理有限公司</w:t>
      </w:r>
      <w:r>
        <w:rPr/>
        <w:t xml:space="preserve"> 负责答复；供应商对采购过程、采购结果的询问、质疑由 </w:t>
      </w:r>
      <w:r>
        <w:rPr/>
        <w:t>陕西中珞工程项目管理有限公司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联系人：卞兴前、李阳艳</w:t>
      </w:r>
    </w:p>
    <w:p>
      <w:pPr>
        <w:pStyle w:val="null3"/>
      </w:pPr>
      <w:r>
        <w:rPr/>
        <w:t>联系电话：029-89198908-8002</w:t>
      </w:r>
    </w:p>
    <w:p>
      <w:pPr>
        <w:pStyle w:val="null3"/>
      </w:pPr>
      <w:r>
        <w:rPr/>
        <w:t>地址：西安市雁塔区太白南路139号荣禾云图中心1411</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需入户调查申请最低生活保障，发挥“主动发现”机制作用、参与公示有异议的救助申请家庭民主评议会，对各村（居）委会社会救助公示栏、公示内容监督检查，开展内容丰富、形式多样的社会救助政策的宣传活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318,000.00</w:t>
      </w:r>
    </w:p>
    <w:p>
      <w:pPr>
        <w:pStyle w:val="null3"/>
      </w:pPr>
      <w:r>
        <w:rPr/>
        <w:t>采购包最高限价（元）: 318,000.00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社会救助服务调查项目</w:t>
            </w:r>
          </w:p>
        </w:tc>
        <w:tc>
          <w:tcPr>
            <w:tcW w:type="dxa" w:w="831"/>
          </w:tcPr>
          <w:p>
            <w:pPr>
              <w:pStyle w:val="null3"/>
              <w:jc w:val="right"/>
            </w:pPr>
            <w:r>
              <w:rPr/>
              <w:t>1.00</w:t>
            </w:r>
          </w:p>
        </w:tc>
        <w:tc>
          <w:tcPr>
            <w:tcW w:type="dxa" w:w="831"/>
          </w:tcPr>
          <w:p>
            <w:pPr>
              <w:pStyle w:val="null3"/>
              <w:jc w:val="right"/>
            </w:pPr>
            <w:r>
              <w:rPr/>
              <w:t>318,000.00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标的名称：社会救助服务调查项目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4"/>
              </w:rPr>
              <w:t>（一）调查内容</w:t>
            </w:r>
          </w:p>
          <w:p>
            <w:pPr>
              <w:pStyle w:val="null3"/>
              <w:ind w:firstLine="480"/>
            </w:pPr>
            <w:r>
              <w:rPr>
                <w:rFonts w:ascii="宋体" w:hAnsi="宋体" w:cs="宋体" w:eastAsia="宋体"/>
                <w:sz w:val="24"/>
              </w:rPr>
              <w:t>1.户籍状况。主要调查申请人户口本显示人数，以及家庭共同生活成员人口数的户籍实际情况。</w:t>
            </w:r>
          </w:p>
          <w:p>
            <w:pPr>
              <w:pStyle w:val="null3"/>
              <w:ind w:firstLine="480"/>
            </w:pPr>
            <w:r>
              <w:rPr>
                <w:rFonts w:ascii="宋体" w:hAnsi="宋体" w:cs="宋体" w:eastAsia="宋体"/>
                <w:sz w:val="24"/>
              </w:rPr>
              <w:t>家庭成员身体状况及劳动能力。主要查看残疾证明、疾病诊断证明等，根据身体状况判断是否具有劳动能力。</w:t>
            </w:r>
          </w:p>
          <w:p>
            <w:pPr>
              <w:pStyle w:val="null3"/>
              <w:ind w:firstLine="480"/>
            </w:pPr>
            <w:r>
              <w:rPr>
                <w:rFonts w:ascii="宋体" w:hAnsi="宋体" w:cs="宋体" w:eastAsia="宋体"/>
                <w:sz w:val="24"/>
              </w:rPr>
              <w:t>家庭成员就学情况。主要调查家庭成员中是否有就学人员以及就学地点、学校性质。</w:t>
            </w:r>
          </w:p>
          <w:p>
            <w:pPr>
              <w:pStyle w:val="null3"/>
              <w:ind w:firstLine="480"/>
            </w:pPr>
            <w:r>
              <w:rPr>
                <w:rFonts w:ascii="宋体" w:hAnsi="宋体" w:cs="宋体" w:eastAsia="宋体"/>
                <w:sz w:val="24"/>
              </w:rPr>
              <w:t>家庭成员就业情况。主要调查家庭成员中就业、务工以及灵活就业人数、就业人员职业、就业地点、月（日）工资、工作天数等。</w:t>
            </w:r>
          </w:p>
          <w:p>
            <w:pPr>
              <w:pStyle w:val="null3"/>
              <w:ind w:firstLine="480"/>
            </w:pPr>
            <w:r>
              <w:rPr>
                <w:rFonts w:ascii="宋体" w:hAnsi="宋体" w:cs="宋体" w:eastAsia="宋体"/>
                <w:sz w:val="24"/>
              </w:rPr>
              <w:t>2.家庭收入。家庭收入指该家庭共同生活的家庭成员扣除缴纳的个人所得税及个人按规定缴纳社会养老保险、医疗保险等刚性支出后，在规定期限内的全部可支配收入。可按照该家庭提出最低生活保障申请或复审前12个月收入计算，据此确定家庭月人均收入。主要包括：工资性收入、经营净收入、财产净收入、转移净收入。</w:t>
            </w:r>
          </w:p>
          <w:p>
            <w:pPr>
              <w:pStyle w:val="null3"/>
              <w:ind w:firstLine="480"/>
            </w:pPr>
            <w:r>
              <w:rPr>
                <w:rFonts w:ascii="宋体" w:hAnsi="宋体" w:cs="宋体" w:eastAsia="宋体"/>
                <w:sz w:val="24"/>
              </w:rPr>
              <w:t>（</w:t>
            </w:r>
            <w:r>
              <w:rPr>
                <w:rFonts w:ascii="宋体" w:hAnsi="宋体" w:cs="宋体" w:eastAsia="宋体"/>
                <w:sz w:val="24"/>
              </w:rPr>
              <w:t>1）工资性收入。工资性收入指就业人员通过各种途径得到的全部劳动报酬和各种福利并扣除必要的就业成本，包括因任职或者受雇而取得的工资、薪金、奖金、劳动分红、津贴、补贴以及与任职或者受雇有关的其他所得等。</w:t>
            </w:r>
          </w:p>
          <w:p>
            <w:pPr>
              <w:pStyle w:val="null3"/>
              <w:ind w:firstLine="480"/>
            </w:pPr>
            <w:r>
              <w:rPr>
                <w:rFonts w:ascii="宋体" w:hAnsi="宋体" w:cs="宋体" w:eastAsia="宋体"/>
                <w:sz w:val="24"/>
              </w:rPr>
              <w:t>（</w:t>
            </w:r>
            <w:r>
              <w:rPr>
                <w:rFonts w:ascii="宋体" w:hAnsi="宋体" w:cs="宋体" w:eastAsia="宋体"/>
                <w:sz w:val="24"/>
              </w:rPr>
              <w:t>2）经营净收入。经营净收入指从事生产经营及有偿服务活动所获得全部经营收入扣除经营费用、生产性固定资产折旧和生产税之后得到的收入。包括从事种植、养殖、采集及加工等农林牧渔业的生产收入，从事工业、建筑业、手工业、交通运输业、批发和零售贸易业、餐饮业、文教卫生业和社会服务业等经营及有偿服务活动的收入等。</w:t>
            </w:r>
          </w:p>
          <w:p>
            <w:pPr>
              <w:pStyle w:val="null3"/>
              <w:ind w:firstLine="480"/>
            </w:pPr>
            <w:r>
              <w:rPr>
                <w:rFonts w:ascii="宋体" w:hAnsi="宋体" w:cs="宋体" w:eastAsia="宋体"/>
                <w:sz w:val="24"/>
              </w:rPr>
              <w:t>（</w:t>
            </w:r>
            <w:r>
              <w:rPr>
                <w:rFonts w:ascii="宋体" w:hAnsi="宋体" w:cs="宋体" w:eastAsia="宋体"/>
                <w:sz w:val="24"/>
              </w:rPr>
              <w:t>3）财产净收入。财产净收入指出让动产和不动产，或将动产和不动产交由其他机构、单位或个人使用并扣除相关费用之后得到的收入，包括储蓄存款利息、有价证券红利、储蓄性保险投资以及其他股息和红利等收入，集体财产收入分红和其他动产收入，以及转租承包土地经营权、出租或者出让房产以及其他不动产收入等。</w:t>
            </w:r>
          </w:p>
          <w:p>
            <w:pPr>
              <w:pStyle w:val="null3"/>
              <w:ind w:firstLine="480"/>
            </w:pPr>
            <w:r>
              <w:rPr>
                <w:rFonts w:ascii="宋体" w:hAnsi="宋体" w:cs="宋体" w:eastAsia="宋体"/>
                <w:sz w:val="24"/>
              </w:rPr>
              <w:t>（</w:t>
            </w:r>
            <w:r>
              <w:rPr>
                <w:rFonts w:ascii="宋体" w:hAnsi="宋体" w:cs="宋体" w:eastAsia="宋体"/>
                <w:sz w:val="24"/>
              </w:rPr>
              <w:t>4）转移净收入。转移净收入指转移性收入扣减转移性支出之后的收入。其中，转移性收入指国家、机关企事业单位、社会组织对居民的各种经常性转移支付和居民之间的经常性收入转移，包括赡养（抚养、扶养）费、离退休金、失业保险金、遗属补助金、赔偿收入、接受捐赠（赠送）收入等；转移性支出指居民对国家、企事业单位、社会组织、居民的经常性转移支出，包括缴纳的税款、各项社会保障支出、赡养支出以及其他经常性转移支出等。</w:t>
            </w:r>
          </w:p>
          <w:p>
            <w:pPr>
              <w:pStyle w:val="null3"/>
              <w:ind w:firstLine="480"/>
            </w:pPr>
            <w:r>
              <w:rPr>
                <w:rFonts w:ascii="宋体" w:hAnsi="宋体" w:cs="宋体" w:eastAsia="宋体"/>
                <w:sz w:val="24"/>
              </w:rPr>
              <w:t>（</w:t>
            </w:r>
            <w:r>
              <w:rPr>
                <w:rFonts w:ascii="宋体" w:hAnsi="宋体" w:cs="宋体" w:eastAsia="宋体"/>
                <w:sz w:val="24"/>
              </w:rPr>
              <w:t>5）按照其他法律法规应当计入家庭收入的项目。</w:t>
            </w:r>
          </w:p>
          <w:p>
            <w:pPr>
              <w:pStyle w:val="null3"/>
              <w:ind w:firstLine="480"/>
            </w:pPr>
            <w:r>
              <w:rPr>
                <w:rFonts w:ascii="宋体" w:hAnsi="宋体" w:cs="宋体" w:eastAsia="宋体"/>
                <w:sz w:val="24"/>
              </w:rPr>
              <w:t>3、家庭财产。家庭财产指共同生活的家庭成员拥有的全部动产和不动产。</w:t>
            </w:r>
          </w:p>
          <w:p>
            <w:pPr>
              <w:pStyle w:val="null3"/>
              <w:ind w:firstLine="480"/>
            </w:pPr>
            <w:r>
              <w:rPr>
                <w:rFonts w:ascii="宋体" w:hAnsi="宋体" w:cs="宋体" w:eastAsia="宋体"/>
                <w:sz w:val="24"/>
              </w:rPr>
              <w:t>（</w:t>
            </w:r>
            <w:r>
              <w:rPr>
                <w:rFonts w:ascii="宋体" w:hAnsi="宋体" w:cs="宋体" w:eastAsia="宋体"/>
                <w:sz w:val="24"/>
              </w:rPr>
              <w:t>1）动产，主要包括：银行存款、证券、基金、商业保险、债权、互联网金融资产以及车辆等。</w:t>
            </w:r>
          </w:p>
          <w:p>
            <w:pPr>
              <w:pStyle w:val="null3"/>
              <w:ind w:firstLine="480"/>
            </w:pPr>
            <w:r>
              <w:rPr>
                <w:rFonts w:ascii="宋体" w:hAnsi="宋体" w:cs="宋体" w:eastAsia="宋体"/>
                <w:sz w:val="24"/>
              </w:rPr>
              <w:t>（</w:t>
            </w:r>
            <w:r>
              <w:rPr>
                <w:rFonts w:ascii="宋体" w:hAnsi="宋体" w:cs="宋体" w:eastAsia="宋体"/>
                <w:sz w:val="24"/>
              </w:rPr>
              <w:t>2）不动产，主要包括：房屋、林木等定着物。</w:t>
            </w:r>
          </w:p>
          <w:p>
            <w:pPr>
              <w:pStyle w:val="null3"/>
              <w:ind w:firstLine="480"/>
            </w:pPr>
            <w:r>
              <w:rPr>
                <w:rFonts w:ascii="宋体" w:hAnsi="宋体" w:cs="宋体" w:eastAsia="宋体"/>
                <w:sz w:val="24"/>
              </w:rPr>
              <w:t>4.家庭消费状况。</w:t>
            </w:r>
          </w:p>
          <w:p>
            <w:pPr>
              <w:pStyle w:val="null3"/>
            </w:pPr>
            <w:r>
              <w:rPr>
                <w:rFonts w:ascii="宋体" w:hAnsi="宋体" w:cs="宋体" w:eastAsia="宋体"/>
                <w:sz w:val="24"/>
              </w:rPr>
              <w:t>（</w:t>
            </w:r>
            <w:r>
              <w:rPr>
                <w:rFonts w:ascii="宋体" w:hAnsi="宋体" w:cs="宋体" w:eastAsia="宋体"/>
                <w:sz w:val="24"/>
              </w:rPr>
              <w:t>1）近半年月均水电煤气费用；</w:t>
            </w:r>
          </w:p>
          <w:p>
            <w:pPr>
              <w:pStyle w:val="null3"/>
            </w:pPr>
            <w:r>
              <w:rPr>
                <w:rFonts w:ascii="宋体" w:hAnsi="宋体" w:cs="宋体" w:eastAsia="宋体"/>
                <w:sz w:val="24"/>
              </w:rPr>
              <w:t>（</w:t>
            </w:r>
            <w:r>
              <w:rPr>
                <w:rFonts w:ascii="宋体" w:hAnsi="宋体" w:cs="宋体" w:eastAsia="宋体"/>
                <w:sz w:val="24"/>
              </w:rPr>
              <w:t>2）近半年月均通讯费用；</w:t>
            </w:r>
          </w:p>
          <w:p>
            <w:pPr>
              <w:pStyle w:val="null3"/>
            </w:pPr>
            <w:r>
              <w:rPr>
                <w:rFonts w:ascii="宋体" w:hAnsi="宋体" w:cs="宋体" w:eastAsia="宋体"/>
                <w:sz w:val="24"/>
              </w:rPr>
              <w:t>（</w:t>
            </w:r>
            <w:r>
              <w:rPr>
                <w:rFonts w:ascii="宋体" w:hAnsi="宋体" w:cs="宋体" w:eastAsia="宋体"/>
                <w:sz w:val="24"/>
              </w:rPr>
              <w:t>3）当年缴纳个人社保费用；</w:t>
            </w:r>
          </w:p>
          <w:p>
            <w:pPr>
              <w:pStyle w:val="null3"/>
            </w:pPr>
            <w:r>
              <w:rPr>
                <w:rFonts w:ascii="宋体" w:hAnsi="宋体" w:cs="宋体" w:eastAsia="宋体"/>
                <w:sz w:val="24"/>
              </w:rPr>
              <w:t>（</w:t>
            </w:r>
            <w:r>
              <w:rPr>
                <w:rFonts w:ascii="宋体" w:hAnsi="宋体" w:cs="宋体" w:eastAsia="宋体"/>
                <w:sz w:val="24"/>
              </w:rPr>
              <w:t>4）赡、抚、扶养费用；</w:t>
            </w:r>
          </w:p>
          <w:p>
            <w:pPr>
              <w:pStyle w:val="null3"/>
            </w:pPr>
            <w:r>
              <w:rPr>
                <w:rFonts w:ascii="宋体" w:hAnsi="宋体" w:cs="宋体" w:eastAsia="宋体"/>
                <w:sz w:val="24"/>
              </w:rPr>
              <w:t>（</w:t>
            </w:r>
            <w:r>
              <w:rPr>
                <w:rFonts w:ascii="宋体" w:hAnsi="宋体" w:cs="宋体" w:eastAsia="宋体"/>
                <w:sz w:val="24"/>
              </w:rPr>
              <w:t>5）子女教育费用；</w:t>
            </w:r>
          </w:p>
          <w:p>
            <w:pPr>
              <w:pStyle w:val="null3"/>
            </w:pPr>
            <w:r>
              <w:rPr>
                <w:rFonts w:ascii="宋体" w:hAnsi="宋体" w:cs="宋体" w:eastAsia="宋体"/>
                <w:sz w:val="24"/>
              </w:rPr>
              <w:t>（</w:t>
            </w:r>
            <w:r>
              <w:rPr>
                <w:rFonts w:ascii="宋体" w:hAnsi="宋体" w:cs="宋体" w:eastAsia="宋体"/>
                <w:sz w:val="24"/>
              </w:rPr>
              <w:t>6）医疗费用；</w:t>
            </w:r>
          </w:p>
          <w:p>
            <w:pPr>
              <w:pStyle w:val="null3"/>
            </w:pPr>
            <w:r>
              <w:rPr>
                <w:rFonts w:ascii="宋体" w:hAnsi="宋体" w:cs="宋体" w:eastAsia="宋体"/>
                <w:sz w:val="24"/>
              </w:rPr>
              <w:t>（</w:t>
            </w:r>
            <w:r>
              <w:rPr>
                <w:rFonts w:ascii="宋体" w:hAnsi="宋体" w:cs="宋体" w:eastAsia="宋体"/>
                <w:sz w:val="24"/>
              </w:rPr>
              <w:t>7）其他消费情况。</w:t>
            </w:r>
          </w:p>
          <w:p>
            <w:pPr>
              <w:pStyle w:val="null3"/>
              <w:ind w:firstLine="480"/>
            </w:pPr>
            <w:r>
              <w:rPr>
                <w:rFonts w:ascii="宋体" w:hAnsi="宋体" w:cs="宋体" w:eastAsia="宋体"/>
                <w:sz w:val="24"/>
              </w:rPr>
              <w:t>5.刚性支出状况。</w:t>
            </w:r>
          </w:p>
          <w:p>
            <w:pPr>
              <w:pStyle w:val="null3"/>
            </w:pPr>
            <w:r>
              <w:rPr>
                <w:rFonts w:ascii="宋体" w:hAnsi="宋体" w:cs="宋体" w:eastAsia="宋体"/>
                <w:sz w:val="24"/>
              </w:rPr>
              <w:t>（</w:t>
            </w:r>
            <w:r>
              <w:rPr>
                <w:rFonts w:ascii="宋体" w:hAnsi="宋体" w:cs="宋体" w:eastAsia="宋体"/>
                <w:sz w:val="24"/>
              </w:rPr>
              <w:t>1）家庭成员因病个人自负费用；</w:t>
            </w:r>
          </w:p>
          <w:p>
            <w:pPr>
              <w:pStyle w:val="null3"/>
            </w:pPr>
            <w:r>
              <w:rPr>
                <w:rFonts w:ascii="宋体" w:hAnsi="宋体" w:cs="宋体" w:eastAsia="宋体"/>
                <w:sz w:val="24"/>
              </w:rPr>
              <w:t>（</w:t>
            </w:r>
            <w:r>
              <w:rPr>
                <w:rFonts w:ascii="宋体" w:hAnsi="宋体" w:cs="宋体" w:eastAsia="宋体"/>
                <w:sz w:val="24"/>
              </w:rPr>
              <w:t>2）家庭成员因残个人自负费用；</w:t>
            </w:r>
          </w:p>
          <w:p>
            <w:pPr>
              <w:pStyle w:val="null3"/>
            </w:pPr>
            <w:r>
              <w:rPr>
                <w:rFonts w:ascii="宋体" w:hAnsi="宋体" w:cs="宋体" w:eastAsia="宋体"/>
                <w:sz w:val="24"/>
              </w:rPr>
              <w:t>（</w:t>
            </w:r>
            <w:r>
              <w:rPr>
                <w:rFonts w:ascii="宋体" w:hAnsi="宋体" w:cs="宋体" w:eastAsia="宋体"/>
                <w:sz w:val="24"/>
              </w:rPr>
              <w:t>3）家庭成员因学家庭支出费用：</w:t>
            </w:r>
          </w:p>
          <w:p>
            <w:pPr>
              <w:pStyle w:val="null3"/>
            </w:pPr>
            <w:r>
              <w:rPr>
                <w:rFonts w:ascii="宋体" w:hAnsi="宋体" w:cs="宋体" w:eastAsia="宋体"/>
                <w:sz w:val="24"/>
              </w:rPr>
              <w:t>（</w:t>
            </w:r>
            <w:r>
              <w:rPr>
                <w:rFonts w:ascii="宋体" w:hAnsi="宋体" w:cs="宋体" w:eastAsia="宋体"/>
                <w:sz w:val="24"/>
              </w:rPr>
              <w:t>4）家庭成员因就业支出的必要就业成本。</w:t>
            </w:r>
          </w:p>
          <w:p>
            <w:pPr>
              <w:pStyle w:val="null3"/>
              <w:ind w:firstLine="480"/>
            </w:pPr>
            <w:r>
              <w:rPr>
                <w:rFonts w:ascii="宋体" w:hAnsi="宋体" w:cs="宋体" w:eastAsia="宋体"/>
                <w:sz w:val="24"/>
              </w:rPr>
              <w:t>6.家庭成员的人员类别。</w:t>
            </w:r>
          </w:p>
          <w:p>
            <w:pPr>
              <w:pStyle w:val="null3"/>
              <w:ind w:firstLine="480"/>
            </w:pPr>
            <w:r>
              <w:rPr>
                <w:rFonts w:ascii="宋体" w:hAnsi="宋体" w:cs="宋体" w:eastAsia="宋体"/>
                <w:sz w:val="24"/>
              </w:rPr>
              <w:t>主要查看家庭成员中是否有</w:t>
            </w:r>
            <w:r>
              <w:rPr>
                <w:rFonts w:ascii="宋体" w:hAnsi="宋体" w:cs="宋体" w:eastAsia="宋体"/>
                <w:sz w:val="24"/>
              </w:rPr>
              <w:t>70周岁（含）以上老年人、18周岁（不含）以下未成年人、重度残疾人、重病患者。</w:t>
            </w:r>
          </w:p>
        </w:tc>
      </w:tr>
      <w:tr>
        <w:tc>
          <w:tcPr>
            <w:tcW w:type="dxa" w:w="2769"/>
          </w:tcPr>
          <w:p>
            <w:pPr>
              <w:pStyle w:val="null3"/>
            </w:pPr>
            <w:r>
              <w:rPr/>
              <w:t>★</w:t>
            </w:r>
          </w:p>
        </w:tc>
        <w:tc>
          <w:tcPr>
            <w:tcW w:type="dxa" w:w="2769"/>
          </w:tcPr>
          <w:p>
            <w:pPr>
              <w:pStyle w:val="null3"/>
            </w:pPr>
            <w:r>
              <w:rPr/>
              <w:t>2</w:t>
            </w:r>
          </w:p>
        </w:tc>
        <w:tc>
          <w:tcPr>
            <w:tcW w:type="dxa" w:w="2769"/>
          </w:tcPr>
          <w:p>
            <w:pPr>
              <w:pStyle w:val="null3"/>
              <w:ind w:firstLine="480"/>
            </w:pPr>
            <w:r>
              <w:rPr>
                <w:rFonts w:ascii="宋体" w:hAnsi="宋体" w:cs="宋体" w:eastAsia="宋体"/>
                <w:sz w:val="24"/>
              </w:rPr>
              <w:t>（二）调查方法</w:t>
            </w:r>
          </w:p>
          <w:p>
            <w:pPr>
              <w:pStyle w:val="null3"/>
              <w:ind w:firstLine="480"/>
            </w:pPr>
            <w:r>
              <w:rPr>
                <w:rFonts w:ascii="宋体" w:hAnsi="宋体" w:cs="宋体" w:eastAsia="宋体"/>
                <w:sz w:val="24"/>
              </w:rPr>
              <w:t>由受托方按照《社会救助暂行办法》、《西安市最低生活保障工作规程》（市民发（</w:t>
            </w:r>
            <w:r>
              <w:rPr>
                <w:rFonts w:ascii="宋体" w:hAnsi="宋体" w:cs="宋体" w:eastAsia="宋体"/>
                <w:sz w:val="24"/>
              </w:rPr>
              <w:t>2022）91号）等文件相关规定，以询问、查证资料等形式进行入户调查、邻里访问及其他方式调查，并填写相关调查表，同时附带入户调查对象家庭情况照片。必要时需摄像、录音备查。</w:t>
            </w:r>
          </w:p>
          <w:p>
            <w:pPr>
              <w:pStyle w:val="null3"/>
              <w:ind w:firstLine="480"/>
            </w:pPr>
            <w:r>
              <w:rPr>
                <w:rFonts w:ascii="宋体" w:hAnsi="宋体" w:cs="宋体" w:eastAsia="宋体"/>
                <w:sz w:val="24"/>
              </w:rPr>
              <w:t>1.入户调查。调查人员直接进入调查对象家庭进行调查,核定家庭户籍状况、共同生活成员状况、家庭收入、财产状况和吃、穿、住、用等实际生活情况。主要查看申报内容与实际情况是否一致，查看了解家庭装修、电器及日常消费用品情况，判断其日常生活水平；详细询问家庭成员的务工情况、收入情况、家庭消费水平以及贍养、抚养、扶养情况等。根据申请人声明的家庭状况，新申请对象主要了解其提供资料的真实性和完整性。对已获得社会救助的家庭，重点调查了解其家庭成员、家庭收入、家庭财产变化情况以及现实生活情况。</w:t>
            </w:r>
          </w:p>
          <w:p>
            <w:pPr>
              <w:pStyle w:val="null3"/>
              <w:ind w:firstLine="480"/>
            </w:pPr>
            <w:r>
              <w:rPr>
                <w:rFonts w:ascii="宋体" w:hAnsi="宋体" w:cs="宋体" w:eastAsia="宋体"/>
                <w:sz w:val="24"/>
              </w:rPr>
              <w:t>2.邻里访问。调查人员到申请人所在村（居）委会及邻居，充分了解调查对象家庭人口、收入、财产和日常消费及实际生活情况。</w:t>
            </w:r>
          </w:p>
          <w:p>
            <w:pPr>
              <w:pStyle w:val="null3"/>
              <w:jc w:val="both"/>
            </w:pPr>
            <w:r>
              <w:rPr>
                <w:rFonts w:ascii="宋体" w:hAnsi="宋体" w:cs="宋体" w:eastAsia="宋体"/>
                <w:sz w:val="24"/>
              </w:rPr>
              <w:t>3.信函索证。如有必要调查人员通过信函方式向相关单位和部门索取有关证明材料，核实申请对象提交证明材料的真实性。</w:t>
            </w:r>
          </w:p>
        </w:tc>
      </w:tr>
      <w:tr>
        <w:tc>
          <w:tcPr>
            <w:tcW w:type="dxa" w:w="2769"/>
          </w:tcPr>
          <w:p>
            <w:pPr>
              <w:pStyle w:val="null3"/>
            </w:pPr>
            <w:r>
              <w:rPr/>
              <w:t>★</w:t>
            </w:r>
          </w:p>
        </w:tc>
        <w:tc>
          <w:tcPr>
            <w:tcW w:type="dxa" w:w="2769"/>
          </w:tcPr>
          <w:p>
            <w:pPr>
              <w:pStyle w:val="null3"/>
            </w:pPr>
            <w:r>
              <w:rPr/>
              <w:t>3</w:t>
            </w:r>
          </w:p>
        </w:tc>
        <w:tc>
          <w:tcPr>
            <w:tcW w:type="dxa" w:w="2769"/>
          </w:tcPr>
          <w:p>
            <w:pPr>
              <w:pStyle w:val="null3"/>
              <w:ind w:firstLine="480"/>
            </w:pPr>
            <w:r>
              <w:rPr>
                <w:rFonts w:ascii="宋体" w:hAnsi="宋体" w:cs="宋体" w:eastAsia="宋体"/>
                <w:sz w:val="24"/>
              </w:rPr>
              <w:t>（三）工作流程</w:t>
            </w:r>
          </w:p>
          <w:p>
            <w:pPr>
              <w:pStyle w:val="null3"/>
              <w:ind w:firstLine="480"/>
            </w:pPr>
            <w:r>
              <w:rPr>
                <w:rFonts w:ascii="宋体" w:hAnsi="宋体" w:cs="宋体" w:eastAsia="宋体"/>
                <w:sz w:val="24"/>
              </w:rPr>
              <w:t>（</w:t>
            </w:r>
            <w:r>
              <w:rPr>
                <w:rFonts w:ascii="宋体" w:hAnsi="宋体" w:cs="宋体" w:eastAsia="宋体"/>
                <w:sz w:val="24"/>
              </w:rPr>
              <w:t>1）入户调查</w:t>
            </w:r>
          </w:p>
          <w:p>
            <w:pPr>
              <w:pStyle w:val="null3"/>
              <w:ind w:firstLine="480"/>
            </w:pPr>
            <w:r>
              <w:rPr>
                <w:rFonts w:ascii="宋体" w:hAnsi="宋体" w:cs="宋体" w:eastAsia="宋体"/>
                <w:sz w:val="24"/>
              </w:rPr>
              <w:t>1.新申请家庭调查。街道办对申请人提交的材料进行初审，初审合格后，按照申请人授权报区民政局进行信息核对，并同时向第三方机构下达入户调查通知单，受托方在接到新申请对象调查通知后，在街道、村（居）委会的参与协助下，须在2个工作日内启动入户调查。</w:t>
            </w:r>
          </w:p>
          <w:p>
            <w:pPr>
              <w:pStyle w:val="null3"/>
              <w:ind w:firstLine="480"/>
            </w:pPr>
            <w:r>
              <w:rPr>
                <w:rFonts w:ascii="宋体" w:hAnsi="宋体" w:cs="宋体" w:eastAsia="宋体"/>
                <w:sz w:val="24"/>
              </w:rPr>
              <w:t>2.复核家庭调查。定期对最低生活保障家庭成员变化情况和家庭经济状况进行复核，街道按照复核工作要求及时将复核家庭相关资料提交区民政局进行信息核对，并同时向第三方机构下达入户调查通知单。入户调查人员由受托方工作人员、申请人所在村（居）委会成员组成，每组不少于3人，其中第三方机构入户调查时应不少于2人，调查结束后同时由调查人员和被调查人员在调查表签字确认。</w:t>
            </w:r>
          </w:p>
          <w:p>
            <w:pPr>
              <w:pStyle w:val="null3"/>
              <w:jc w:val="both"/>
            </w:pPr>
            <w:r>
              <w:rPr>
                <w:rFonts w:ascii="宋体" w:hAnsi="宋体" w:cs="宋体" w:eastAsia="宋体"/>
                <w:sz w:val="24"/>
              </w:rPr>
              <w:t>（</w:t>
            </w:r>
            <w:r>
              <w:rPr>
                <w:rFonts w:ascii="宋体" w:hAnsi="宋体" w:cs="宋体" w:eastAsia="宋体"/>
                <w:sz w:val="24"/>
              </w:rPr>
              <w:t>2）受托方对所调查对象家庭做好档案整理、归档等工作。包括申请人提供的所有资料、调查资料、以及入户照片等影像资料，资料整理完成后，交由区民政局指定部门保存。</w:t>
            </w:r>
          </w:p>
        </w:tc>
      </w:tr>
    </w:tbl>
    <w:p>
      <w:pPr>
        <w:pStyle w:val="null3"/>
        <w:outlineLvl w:val="2"/>
      </w:pPr>
      <w:r>
        <w:rPr>
          <w:sz w:val="28"/>
          <w:b/>
        </w:rPr>
        <w:t>3.2.3人员配置要求</w:t>
      </w:r>
    </w:p>
    <w:p>
      <w:pPr>
        <w:pStyle w:val="null3"/>
      </w:pPr>
      <w:r>
        <w:rPr/>
        <w:t>采购包1：</w:t>
      </w:r>
    </w:p>
    <w:p>
      <w:pPr>
        <w:pStyle w:val="null3"/>
      </w:pPr>
      <w:r>
        <w:rPr/>
        <w:t>供应商为本项目提供的调查员应不少于 6 人</w:t>
      </w:r>
    </w:p>
    <w:p>
      <w:pPr>
        <w:pStyle w:val="null3"/>
        <w:outlineLvl w:val="2"/>
      </w:pPr>
      <w:r>
        <w:rPr>
          <w:sz w:val="28"/>
          <w:b/>
        </w:rPr>
        <w:t>3.2.4设施设备要求</w:t>
      </w:r>
    </w:p>
    <w:p>
      <w:pPr>
        <w:pStyle w:val="null3"/>
      </w:pPr>
      <w:r>
        <w:rPr/>
        <w:t>采购包1：</w:t>
      </w:r>
    </w:p>
    <w:p>
      <w:pPr>
        <w:pStyle w:val="null3"/>
      </w:pPr>
      <w:r>
        <w:rPr/>
        <w:t>需为本项目配备不少于 2 辆车用来配合采购人或上级部门下乡调查。</w:t>
      </w:r>
    </w:p>
    <w:p>
      <w:pPr>
        <w:pStyle w:val="null3"/>
        <w:outlineLvl w:val="2"/>
      </w:pPr>
      <w:r>
        <w:rPr>
          <w:sz w:val="28"/>
          <w:b/>
        </w:rPr>
        <w:t>3.2.5其他要求</w:t>
      </w:r>
    </w:p>
    <w:p>
      <w:pPr>
        <w:pStyle w:val="null3"/>
      </w:pPr>
      <w:r>
        <w:rPr/>
        <w:t>采购包1：</w:t>
      </w:r>
    </w:p>
    <w:p>
      <w:pPr>
        <w:pStyle w:val="null3"/>
      </w:pPr>
      <w:r>
        <w:rPr/>
        <w:t>供应商在服务过程中应开展社会救助政策宣传，印制宣传手册、宣传海报、横幅、录制音频等形式，提高群众对社会救助政策知晓率。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合同签订之日起一年</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1.验收方式：供应商在采购人确认收到所有工作成果后，向采购人提出验收申请，采购人接到供应商验收申请后组织验收。 2.最终验收：受托方对所调查对象家庭做好档案整理、归档等工作。包括申请人提供的所有资料、调查资料、以及入户照片等影像资料，资料整理完成后，交由区民政局指定部门保存。3.验收依据：合同文本、磋商文件等。</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99</w:t>
      </w:r>
      <w:r>
        <w:rPr/>
        <w:t xml:space="preserve"> 日内，支付合同总金额的 </w:t>
      </w:r>
      <w:r>
        <w:rPr/>
        <w:t>50.00</w:t>
      </w:r>
      <w:r>
        <w:rPr/>
        <w:t>%。</w:t>
      </w:r>
    </w:p>
    <w:p>
      <w:pPr>
        <w:pStyle w:val="null3"/>
      </w:pPr>
      <w:r>
        <w:rPr/>
        <w:t>采购包1：</w:t>
      </w:r>
      <w:r>
        <w:rPr/>
        <w:t xml:space="preserve"> 付款条件说明： </w:t>
      </w:r>
      <w:r>
        <w:rPr/>
        <w:t>合同签订半年后</w:t>
      </w:r>
      <w:r>
        <w:rPr/>
        <w:t xml:space="preserve"> ，达到付款条件起 </w:t>
      </w:r>
      <w:r>
        <w:rPr/>
        <w:t>99</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如供应商未按照约定的时间节点完成约定的服务，按照总价款3%违约责任，赔偿因违约造成的采购方损失。具体详见合同约定</w:t>
      </w:r>
    </w:p>
    <w:p>
      <w:pPr>
        <w:pStyle w:val="null3"/>
        <w:outlineLvl w:val="2"/>
      </w:pPr>
      <w:r>
        <w:rPr>
          <w:sz w:val="28"/>
          <w:b/>
        </w:rPr>
        <w:t>3.4其他要求</w:t>
      </w:r>
    </w:p>
    <w:p>
      <w:pPr>
        <w:pStyle w:val="null3"/>
      </w:pPr>
      <w:r>
        <w:rPr/>
        <w:t>供应商服务内容：（一）入户调查：申请最低生活保障、特困人员救助供养、低保边缘家庭认定等救助事项的家庭基本情况和经济状况的调查核实，在册最低生活保障对象、特困供养人员的年度复审，民政部门认定的与社会救助有关对象的调查。 （二）发挥“主动发现”机制作用：主动摸排疑似符合最低生活保障、特困人员救助供养等社会救助政策的城乡居民家庭，做好情况记录，并及时向街道或区民政局报告。 （三）参与公示有异议的救助申请家庭民主评议会，对申请对象的家庭收入、财产状况以及家庭经济状况和实际生活情况等调查情况进行汇报。 （四）对各村（居）委会社会救助公示栏、公示内容的监督检查，对发现的问题及时报告街道和区民政局。 （五）开展内容丰富、形式多样的社会救助政策的宣传活动，提供群众对社会救助政策的知晓率。 （六）开展区域：在灞桥区行政辖区内。 （七）在项目开展后供应商应满足采购人关于项目提出的需求。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供应商需在项目电子化交易系统中按要求填写《投标函》完成承诺并进行电子签章。并在响应文件中附相关证明材料</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2023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法定代表人授权书（附法定代表人、被授权人身份证复印件）及被授权人身份证（法定代表人直接参加磋商，须提供法定代表人身份证明及身份证）</w:t>
            </w:r>
          </w:p>
        </w:tc>
        <w:tc>
          <w:tcPr>
            <w:tcW w:type="dxa" w:w="3322"/>
          </w:tcPr>
          <w:p>
            <w:pPr>
              <w:pStyle w:val="null3"/>
            </w:pPr>
            <w:r>
              <w:rPr/>
              <w:t>法定代表人直接参加磋商的，须提供法定代表人身份证明及身份证；法定代表人授权他人参加的，须提供法定代表人授权书（附法定代表人、被授权人身份证复印件）。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应提供2023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提供自2023年8月1日以来已缴纳任意一个月完税凭证或税务机关开具的完税证明（任意税种）；依法免税的应提供相关文件证明；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提供自2023年8月1日以来已缴存的任意一个月的社会保障资金缴存单据或社保机构开具的社会保险参保缴费情况证明；依法不需要缴纳社会保障资金的投标人应提供相关文件证明；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参加本次招标前3年内，在政府采购经营活动中没有重大违法记录的书面声明；</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信用</w:t>
            </w:r>
          </w:p>
        </w:tc>
        <w:tc>
          <w:tcPr>
            <w:tcW w:type="dxa" w:w="3322"/>
          </w:tcPr>
          <w:p>
            <w:pPr>
              <w:pStyle w:val="null3"/>
            </w:pPr>
            <w:r>
              <w:rPr/>
              <w:t>通过“信用中国”网站（www.creditchina.gov.cn）和中国政府采购网（www.ccgp.gov.cn）查询供应商信用记录，被列入失信被执行人、重大税收违法案件当事人名单、政府采购严重违法失信行为记录名单的单位将被拒绝参与本项目；</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本项目不接受联合体投标</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供应商名称与公章、营业执照一致</w:t>
            </w:r>
          </w:p>
        </w:tc>
        <w:tc>
          <w:tcPr>
            <w:tcW w:type="dxa" w:w="1661"/>
          </w:tcPr>
          <w:p>
            <w:pPr>
              <w:pStyle w:val="null3"/>
            </w:pPr>
            <w:r>
              <w:rPr/>
              <w:t>服务内容及服务邀请应答表 供应商认为需要提供的其他资料 中小企业声明函 商务应答表 报价表 响应文件封面 政府采购供应商拒绝政府采购领域商业贿赂承诺书 残疾人福利性单位声明函 服务方案 标的清单 响应函 监狱企业的证明文件 供应商资格证明文件</w:t>
            </w:r>
          </w:p>
        </w:tc>
      </w:tr>
      <w:tr>
        <w:tc>
          <w:tcPr>
            <w:tcW w:type="dxa" w:w="831"/>
          </w:tcPr>
          <w:p>
            <w:pPr>
              <w:pStyle w:val="null3"/>
            </w:pPr>
            <w:r>
              <w:rPr/>
              <w:t>3</w:t>
            </w:r>
          </w:p>
        </w:tc>
        <w:tc>
          <w:tcPr>
            <w:tcW w:type="dxa" w:w="2492"/>
          </w:tcPr>
          <w:p>
            <w:pPr>
              <w:pStyle w:val="null3"/>
            </w:pPr>
            <w:r>
              <w:rPr/>
              <w:t>响应文件有效性</w:t>
            </w:r>
          </w:p>
        </w:tc>
        <w:tc>
          <w:tcPr>
            <w:tcW w:type="dxa" w:w="3322"/>
          </w:tcPr>
          <w:p>
            <w:pPr>
              <w:pStyle w:val="null3"/>
            </w:pPr>
            <w:r>
              <w:rPr/>
              <w:t>响应文件的签署、加盖印章是否合格、有效</w:t>
            </w:r>
          </w:p>
        </w:tc>
        <w:tc>
          <w:tcPr>
            <w:tcW w:type="dxa" w:w="1661"/>
          </w:tcPr>
          <w:p>
            <w:pPr>
              <w:pStyle w:val="null3"/>
            </w:pPr>
            <w:r>
              <w:rPr/>
              <w:t>服务内容及服务邀请应答表 供应商认为需要提供的其他资料 中小企业声明函 商务应答表 报价表 响应文件封面 政府采购供应商拒绝政府采购领域商业贿赂承诺书 残疾人福利性单位声明函 服务方案 标的清单 响应函 监狱企业的证明文件 供应商资格证明文件</w:t>
            </w:r>
          </w:p>
        </w:tc>
      </w:tr>
      <w:tr>
        <w:tc>
          <w:tcPr>
            <w:tcW w:type="dxa" w:w="831"/>
          </w:tcPr>
          <w:p>
            <w:pPr>
              <w:pStyle w:val="null3"/>
            </w:pPr>
            <w:r>
              <w:rPr/>
              <w:t>4</w:t>
            </w:r>
          </w:p>
        </w:tc>
        <w:tc>
          <w:tcPr>
            <w:tcW w:type="dxa" w:w="2492"/>
          </w:tcPr>
          <w:p>
            <w:pPr>
              <w:pStyle w:val="null3"/>
            </w:pPr>
            <w:r>
              <w:rPr/>
              <w:t>磋商响应文件的完整性</w:t>
            </w:r>
          </w:p>
        </w:tc>
        <w:tc>
          <w:tcPr>
            <w:tcW w:type="dxa" w:w="3322"/>
          </w:tcPr>
          <w:p>
            <w:pPr>
              <w:pStyle w:val="null3"/>
            </w:pPr>
            <w:r>
              <w:rPr/>
              <w:t>磋商响应文件内容完整、格式符合要求、内容清晰可辨</w:t>
            </w:r>
          </w:p>
        </w:tc>
        <w:tc>
          <w:tcPr>
            <w:tcW w:type="dxa" w:w="1661"/>
          </w:tcPr>
          <w:p>
            <w:pPr>
              <w:pStyle w:val="null3"/>
            </w:pPr>
            <w:r>
              <w:rPr/>
              <w:t>服务内容及服务邀请应答表 供应商认为需要提供的其他资料 中小企业声明函 商务应答表 报价表 响应文件封面 政府采购供应商拒绝政府采购领域商业贿赂承诺书 残疾人福利性单位声明函 服务方案 标的清单 响应函 监狱企业的证明文件 供应商资格证明文件</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服务期限是否按磋商文件要求响应</w:t>
            </w:r>
          </w:p>
        </w:tc>
        <w:tc>
          <w:tcPr>
            <w:tcW w:type="dxa" w:w="1661"/>
          </w:tcPr>
          <w:p>
            <w:pPr>
              <w:pStyle w:val="null3"/>
            </w:pPr>
            <w:r>
              <w:rPr/>
              <w:t>商务应答表 标的清单 报价表 响应函</w:t>
            </w:r>
          </w:p>
        </w:tc>
      </w:tr>
      <w:tr>
        <w:tc>
          <w:tcPr>
            <w:tcW w:type="dxa" w:w="831"/>
          </w:tcPr>
          <w:p>
            <w:pPr>
              <w:pStyle w:val="null3"/>
            </w:pPr>
            <w:r>
              <w:rPr/>
              <w:t>6</w:t>
            </w:r>
          </w:p>
        </w:tc>
        <w:tc>
          <w:tcPr>
            <w:tcW w:type="dxa" w:w="2492"/>
          </w:tcPr>
          <w:p>
            <w:pPr>
              <w:pStyle w:val="null3"/>
            </w:pPr>
            <w:r>
              <w:rPr/>
              <w:t>服务地点</w:t>
            </w:r>
          </w:p>
        </w:tc>
        <w:tc>
          <w:tcPr>
            <w:tcW w:type="dxa" w:w="3322"/>
          </w:tcPr>
          <w:p>
            <w:pPr>
              <w:pStyle w:val="null3"/>
            </w:pPr>
            <w:r>
              <w:rPr/>
              <w:t>服务地点是否按磋商文件要求响应</w:t>
            </w:r>
          </w:p>
        </w:tc>
        <w:tc>
          <w:tcPr>
            <w:tcW w:type="dxa" w:w="1661"/>
          </w:tcPr>
          <w:p>
            <w:pPr>
              <w:pStyle w:val="null3"/>
            </w:pPr>
            <w:r>
              <w:rPr/>
              <w:t>商务应答表 报价表 响应函</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响应有效期是否响应磋商文件的要求</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响应报价</w:t>
            </w:r>
          </w:p>
        </w:tc>
        <w:tc>
          <w:tcPr>
            <w:tcW w:type="dxa" w:w="3322"/>
          </w:tcPr>
          <w:p>
            <w:pPr>
              <w:pStyle w:val="null3"/>
            </w:pPr>
            <w:r>
              <w:rPr/>
              <w:t>响应报价是否超过采购预算或最高限价</w:t>
            </w:r>
          </w:p>
        </w:tc>
        <w:tc>
          <w:tcPr>
            <w:tcW w:type="dxa" w:w="1661"/>
          </w:tcPr>
          <w:p>
            <w:pPr>
              <w:pStyle w:val="null3"/>
            </w:pPr>
            <w:r>
              <w:rPr/>
              <w:t>商务应答表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提出针对于本项目的分析理解，内容包含①项目实地情况分析②项目特殊性分析③项目重难点分析④对应解决办法。 完整、全面、针对性强得（7-10]分； 较完整、较全面、针对性较强得（4-7]分： 不完整、不全面、针对性一般得（1~4]分；未提供不得分。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服务计划</w:t>
            </w:r>
          </w:p>
        </w:tc>
        <w:tc>
          <w:tcPr>
            <w:tcW w:type="dxa" w:w="2492"/>
          </w:tcPr>
          <w:p>
            <w:pPr>
              <w:pStyle w:val="null3"/>
            </w:pPr>
            <w:r>
              <w:rPr/>
              <w:t>提出针对于本项目的服务总体计划，内容包含①服务总体设想及目标②服务理念及特色。 全面、可实施性及针对性强得（7-10]分； 较全面、可实施性及针对性较强得（4-7]分； 不全面、可实施性及针对性一般得（1-4]分；未提供不得分。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根据项目要求及特点，服务实施方案详细、完整、可操作性强等。考虑充分。全面、可实施性及针对性强得（10-15]分； 较全面、可实施性及针对性较强得（5-10]分； 不全面、可实施性及针对性一般得（1-5]分；未提供不得分。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应急保障措施</w:t>
            </w:r>
          </w:p>
        </w:tc>
        <w:tc>
          <w:tcPr>
            <w:tcW w:type="dxa" w:w="2492"/>
          </w:tcPr>
          <w:p>
            <w:pPr>
              <w:pStyle w:val="null3"/>
            </w:pPr>
            <w:r>
              <w:rPr/>
              <w:t>在确保满足服务质量要求的前提下，就重大或突发事件、突发性任务、不可抗力因素的应急保障措施进行评审。主要包括：应急服务保障措施、应急服务响应时间、应急设备保障、重大或突发事件的人员配合、工作流程、控制失误及其他相关服务。 应急保障措施详细准确、可行性强、科学合理，得(7-10]分；应急保障措施比较详细、基本可行、基本合理，得(4-7]分；应急保障措施不够详细，可行性、合理性一般，得(1-4]分；未提供不得分。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质量保障措施</w:t>
            </w:r>
          </w:p>
        </w:tc>
        <w:tc>
          <w:tcPr>
            <w:tcW w:type="dxa" w:w="2492"/>
          </w:tcPr>
          <w:p>
            <w:pPr>
              <w:pStyle w:val="null3"/>
            </w:pPr>
            <w:r>
              <w:rPr/>
              <w:t>提供确保服务质量的保障措施，根据供应商的服务机制、工作流程、服务保障以及服务措施是否完善、是否能够充分保证达到项目实施目的等。该项措施详细准确、可行性强、科学合理，针对性强，完全满足本项目需求，得(7-10]分；措施比较详细、基本可行、基本合理，比较有针对性，基本能满足本项目需求，得(4-7]分；措施不够详细，可行性、合理性一般，针对性不够，得(1-4]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宣传活动</w:t>
            </w:r>
          </w:p>
        </w:tc>
        <w:tc>
          <w:tcPr>
            <w:tcW w:type="dxa" w:w="2492"/>
          </w:tcPr>
          <w:p>
            <w:pPr>
              <w:pStyle w:val="null3"/>
            </w:pPr>
            <w:r>
              <w:rPr/>
              <w:t>针对本项目供应商应积极开展内容丰富、形式多样的社会救助政策的宣传活动，供应商对此做响应说明该项措施详细准确、可行性强、科学合理，针对性强，完全满足本项目需求，得(7-10]分；措施比较详细、基本可行、基本合理，比较有针对性，基本能满足本项目需求，得(4-7]分；措施不够详细，可行性、合理性一般，针对性不够，得(1-4]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团队人员须明确项目负责人，团队人员中须配备有策划、调查人员。 团队成员组织结构合理，团队分工明确，团队人员稳定、经验丰富、专业性强，得(6-9]分；团队成员组织结构较合理，团队分工较明确，团队人员较稳定、经验较丰富、专业性较强，得(3-6]分；团队成员组织结构不合理，团队分工不明确，团队人员稳定性一般、经验有所欠缺、专业性一般，得(1-3]分； 注：需提供项目团队人员清单、分工情况、对各成员优势及所参与过的项目进行简单描述。</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须提供自2021年8月1日至今类似项目业绩，以供应商提供的合同或中标（成交）通知书复印件（或扫描件）为准（日期以合同签订时间或中标（成交）通知书时间为准），每提供一份得2分，满分6分；未提供的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各供应商针对本项目的服务质量、项目的完成是否全面认真、是否派遣人员驻扎现场等方面作出承诺。该项承诺详细、服务全面、科学合理，针对性强，完全满足本项目需求，得(4-5]分；承诺比较详细、基本可行、基本合理，比较有针对性，基本能满足本项目需求，得(2-4]分；承诺不够全面，可行性、合理性一般，针对性不够，得(1-2]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完全满足招标文件实质性要求且报价最低的投标报价为评标基准价，其价格分为满分15分；其他供应商报价得分按以下公式计算：投标报价得分=（评标基准价/投标报价）×15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详见附件：供应商资格证明文件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详见附件：政府采购供应商拒绝政府采购领域商业贿赂承诺书</w:t>
      </w:r>
    </w:p>
    <w:p>
      <w:pPr>
        <w:pStyle w:val="null3"/>
        <w:ind w:firstLine="960"/>
      </w:pPr>
      <w:r>
        <w:rPr/>
        <w:t>详见附件：供应商认为需要提供的其他资料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