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2024年灞桥区高素质农民培育项目</w:t>
      </w:r>
    </w:p>
    <w:p>
      <w:pPr>
        <w:pStyle w:val="null3"/>
        <w:jc w:val="center"/>
        <w:outlineLvl w:val="2"/>
      </w:pPr>
      <w:r>
        <w:rPr>
          <w:sz w:val="28"/>
          <w:b/>
        </w:rPr>
        <w:t>采购项目编号：</w:t>
      </w:r>
      <w:r>
        <w:rPr>
          <w:sz w:val="28"/>
          <w:b/>
        </w:rPr>
        <w:t>ZCTH2024-11-121</w:t>
      </w:r>
      <w:r>
        <w:br/>
      </w:r>
      <w:r>
        <w:br/>
      </w:r>
      <w:r>
        <w:br/>
      </w:r>
    </w:p>
    <w:p>
      <w:pPr>
        <w:pStyle w:val="null3"/>
        <w:jc w:val="center"/>
        <w:outlineLvl w:val="2"/>
      </w:pPr>
      <w:r>
        <w:rPr>
          <w:sz w:val="28"/>
          <w:b/>
        </w:rPr>
        <w:t>西安市灞桥区农业农村信息中心</w:t>
      </w:r>
    </w:p>
    <w:p>
      <w:pPr>
        <w:pStyle w:val="null3"/>
        <w:jc w:val="center"/>
        <w:outlineLvl w:val="2"/>
      </w:pPr>
      <w:r>
        <w:rPr>
          <w:sz w:val="28"/>
          <w:b/>
        </w:rPr>
        <w:t>陕西中诚天和项目管理有限公司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陕西中诚天和项目管理有限公司</w:t>
      </w:r>
      <w:r>
        <w:rPr/>
        <w:t>（以下简称“代理机构”）受</w:t>
      </w:r>
      <w:r>
        <w:rPr/>
        <w:t>西安市灞桥区农业农村信息中心</w:t>
      </w:r>
      <w:r>
        <w:rPr/>
        <w:t>委托，拟对</w:t>
      </w:r>
      <w:r>
        <w:rPr/>
        <w:t>2024年灞桥区高素质农民培育项目</w:t>
      </w:r>
      <w:r>
        <w:rPr/>
        <w:t>采用竞争性磋商采购方式进行采购，兹邀请供应商参加本项目的竞争性磋商。</w:t>
      </w:r>
    </w:p>
    <w:p>
      <w:pPr>
        <w:pStyle w:val="null3"/>
        <w:outlineLvl w:val="2"/>
      </w:pPr>
      <w:r>
        <w:rPr>
          <w:sz w:val="28"/>
          <w:b/>
        </w:rPr>
        <w:t>一、项目编号：</w:t>
      </w:r>
      <w:r>
        <w:rPr>
          <w:sz w:val="28"/>
          <w:b/>
        </w:rPr>
        <w:t>ZCTH2024-11-121</w:t>
      </w:r>
    </w:p>
    <w:p>
      <w:pPr>
        <w:pStyle w:val="null3"/>
        <w:outlineLvl w:val="2"/>
      </w:pPr>
      <w:r>
        <w:rPr>
          <w:sz w:val="28"/>
          <w:b/>
        </w:rPr>
        <w:t>二、项目名称：</w:t>
      </w:r>
      <w:r>
        <w:rPr>
          <w:sz w:val="28"/>
          <w:b/>
        </w:rPr>
        <w:t>2024年灞桥区高素质农民培育项目</w:t>
      </w:r>
    </w:p>
    <w:p>
      <w:pPr>
        <w:pStyle w:val="null3"/>
        <w:outlineLvl w:val="2"/>
      </w:pPr>
      <w:r>
        <w:rPr>
          <w:sz w:val="28"/>
          <w:b/>
        </w:rPr>
        <w:t>三、磋商项目简介</w:t>
      </w:r>
    </w:p>
    <w:p>
      <w:pPr>
        <w:pStyle w:val="null3"/>
        <w:ind w:firstLine="480"/>
      </w:pPr>
      <w:r>
        <w:rPr/>
        <w:t>重点培育200名“具有科学文化素质、掌握现代农业生产技能、具备一定经营管理能力，以农业生产、经营或服务为主业，以农业收入为主要收入”等特征的高素质农民。通过引进先进经验，创新培育方式，制定管理办法，建立高素质农民培育长效机制，促进农业经济快速发展，农民收入显著提高。</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采购包1（2024年灞桥区高素质农民培育项目）：属于专门面向中小企业采购。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1、营业执照：具有独立承担民事责任能力的法人、其他组织或自然人，提供合法有效的统一社会信用代码营业执照（事业单位提供事业单位法人证书，自然人提供身份证明）</w:t>
      </w:r>
    </w:p>
    <w:p>
      <w:pPr>
        <w:pStyle w:val="null3"/>
      </w:pPr>
      <w:r>
        <w:rPr/>
        <w:t>2、法定代表人授权委托书：法定代表人参加磋商的，须出示法定代表人证明书；法定代表人授权他人参加磋商的，须提供法定代表人授权委托书、被授权人提交响应文件截止时间前半年内任意一个月的社会保障资金（养老保险或医疗保险）的缴纳证明或有效期内的劳动合同及被授权人身份证</w:t>
      </w:r>
    </w:p>
    <w:p>
      <w:pPr>
        <w:pStyle w:val="null3"/>
      </w:pPr>
      <w:r>
        <w:rPr/>
        <w:t>3、财务状况报告：提供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4、税收缴纳证明：提供投标文件截止时间前一年内至少一个月已缴纳的纳税证明或完税证明（任意税种）；依法免税的投标人应提供相关文件证明</w:t>
      </w:r>
    </w:p>
    <w:p>
      <w:pPr>
        <w:pStyle w:val="null3"/>
      </w:pPr>
      <w:r>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t>6、书面承诺：提供具有履行本合同所必需的设备和专业技术能力的声明、参加政府采购活动前3年内在经营活动中没有重大违法记录的书面承诺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西安市灞桥区农业农村信息中心</w:t>
      </w:r>
    </w:p>
    <w:p>
      <w:pPr>
        <w:pStyle w:val="null3"/>
      </w:pPr>
      <w:r>
        <w:rPr/>
        <w:t xml:space="preserve"> 地址： </w:t>
      </w:r>
      <w:r>
        <w:rPr/>
        <w:t>灞桥区纺织城纺一路107号</w:t>
      </w:r>
    </w:p>
    <w:p>
      <w:pPr>
        <w:pStyle w:val="null3"/>
      </w:pPr>
      <w:r>
        <w:rPr/>
        <w:t xml:space="preserve"> 邮编： </w:t>
      </w:r>
      <w:r>
        <w:rPr/>
        <w:t>/</w:t>
      </w:r>
    </w:p>
    <w:p>
      <w:pPr>
        <w:pStyle w:val="null3"/>
      </w:pPr>
      <w:r>
        <w:rPr/>
        <w:t xml:space="preserve"> 联系人： </w:t>
      </w:r>
      <w:r>
        <w:rPr/>
        <w:t>西安市灞桥区农业农村信息中心</w:t>
      </w:r>
    </w:p>
    <w:p>
      <w:pPr>
        <w:pStyle w:val="null3"/>
      </w:pPr>
      <w:r>
        <w:rPr/>
        <w:t xml:space="preserve"> 联系电话： </w:t>
      </w:r>
      <w:r>
        <w:rPr/>
        <w:t>83522424</w:t>
      </w:r>
    </w:p>
    <w:p>
      <w:pPr>
        <w:pStyle w:val="null3"/>
        <w:outlineLvl w:val="3"/>
      </w:pPr>
      <w:r>
        <w:rPr>
          <w:sz w:val="24"/>
          <w:b/>
        </w:rPr>
        <w:t>代理机构：</w:t>
      </w:r>
      <w:r>
        <w:rPr>
          <w:sz w:val="24"/>
          <w:b/>
        </w:rPr>
        <w:t>陕西中诚天和项目管理有限公司</w:t>
      </w:r>
    </w:p>
    <w:p>
      <w:pPr>
        <w:pStyle w:val="null3"/>
      </w:pPr>
      <w:r>
        <w:rPr/>
        <w:t xml:space="preserve"> 地址： </w:t>
      </w:r>
      <w:r>
        <w:rPr/>
        <w:t>陕西省西安市高新区锦业一路52号宝德云谷国际-B座14层1406-6室</w:t>
      </w:r>
    </w:p>
    <w:p>
      <w:pPr>
        <w:pStyle w:val="null3"/>
      </w:pPr>
      <w:r>
        <w:rPr/>
        <w:t xml:space="preserve"> 邮编： </w:t>
      </w:r>
      <w:r>
        <w:rPr/>
        <w:t>1243889792@qq.com</w:t>
      </w:r>
    </w:p>
    <w:p>
      <w:pPr>
        <w:pStyle w:val="null3"/>
      </w:pPr>
      <w:r>
        <w:rPr/>
        <w:t xml:space="preserve"> 联系人： </w:t>
      </w:r>
      <w:r>
        <w:rPr/>
        <w:t>黄静宜</w:t>
      </w:r>
    </w:p>
    <w:p>
      <w:pPr>
        <w:pStyle w:val="null3"/>
      </w:pPr>
      <w:r>
        <w:rPr/>
        <w:t xml:space="preserve"> 联系电话： </w:t>
      </w:r>
      <w:r>
        <w:rPr/>
        <w:t>029-81882499</w:t>
      </w:r>
    </w:p>
    <w:p>
      <w:pPr>
        <w:pStyle w:val="null3"/>
        <w:outlineLvl w:val="3"/>
      </w:pPr>
      <w:r>
        <w:rPr>
          <w:sz w:val="24"/>
          <w:b/>
        </w:rPr>
        <w:t>采购监督机构：</w:t>
      </w:r>
      <w:r>
        <w:rPr>
          <w:sz w:val="24"/>
          <w:b/>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 [2003]857号通知 规定，由成交供应商支付代理服务费。 2、支付方式：成交供应商应在领取通知书的同时，支 付本项目代理服务费。收款账户如下：收款单位：陕西中诚天和项目管理有限公司； 开户银行 ：中国建设银行股份有限公司西安高新自贸区支行； 银行账号：61050110066700001164。注：代理服务费不足陆仟元整按陆仟元整收取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西安市灞桥区农业农村信息中心</w:t>
      </w:r>
      <w:r>
        <w:rPr/>
        <w:t>和</w:t>
      </w:r>
      <w:r>
        <w:rPr/>
        <w:t>陕西中诚天和项目管理有限公司</w:t>
      </w:r>
      <w:r>
        <w:rPr/>
        <w:t>享有。对磋商文件中供应商参加本次政府采购活动应当具备的条件，磋商项目技术、服务、商务及其他要求，评审细则及标准由</w:t>
      </w:r>
      <w:r>
        <w:rPr/>
        <w:t>西安市灞桥区农业农村信息中心</w:t>
      </w:r>
      <w:r>
        <w:rPr/>
        <w:t>负责解释。除上述磋商文件内容，其他内容由</w:t>
      </w:r>
      <w:r>
        <w:rPr/>
        <w:t>陕西中诚天和项目管理有限公司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西安市灞桥区农业农村信息中心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陕西中诚天和项目管理有限公司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陕西中诚天和项目管理有限公司</w:t>
      </w:r>
      <w:r>
        <w:rPr/>
        <w:t xml:space="preserve"> 负责答复；供应商对除采购需求外的采购文件的询问、质疑由</w:t>
      </w:r>
      <w:r>
        <w:rPr/>
        <w:t>陕西中诚天和项目管理有限公司</w:t>
      </w:r>
      <w:r>
        <w:rPr/>
        <w:t xml:space="preserve"> 负责答复；供应商对采购过程、采购结果的询问、质疑由 </w:t>
      </w:r>
      <w:r>
        <w:rPr/>
        <w:t>陕西中诚天和项目管理有限公司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联系人：刘欣欣</w:t>
      </w:r>
    </w:p>
    <w:p>
      <w:pPr>
        <w:pStyle w:val="null3"/>
      </w:pPr>
      <w:r>
        <w:rPr/>
        <w:t>联系电话：029-81882499</w:t>
      </w:r>
    </w:p>
    <w:p>
      <w:pPr>
        <w:pStyle w:val="null3"/>
      </w:pPr>
      <w:r>
        <w:rPr/>
        <w:t>地址：西安市高新区锦业一路52号宝德云谷国际-B座14层1406-6室</w:t>
      </w:r>
    </w:p>
    <w:p>
      <w:pPr>
        <w:pStyle w:val="null3"/>
      </w:pPr>
      <w:r>
        <w:rPr/>
        <w:t>邮编：871813730@qq.com</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重点培育200名“具有科学文化素质、掌握现代农业生产技能、具备一定经营管理能力，以农业生产、经营或服务为主业，以农业收入为主要收入”等特征的高素质农民。通过引进先进经验，创新培育方式，制定管理办法，建立高素质农民培育长效机制，促进农业经济快速发展，农民收入显著提高。</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高素质农民培育</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标的名称：高素质农民培育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color w:val="000000"/>
              </w:rPr>
              <w:t>为全面贯彻落实党的全会精神，深入贯彻落实党中央、国务院关于乡村人才振兴的决策部署，以主席的新时代中国特色社会主义思想为指导，为全面推进乡村振兴、加快建设农业强国提供坚实人才保障。根据《</w:t>
            </w:r>
            <w:r>
              <w:rPr>
                <w:rFonts w:ascii="宋体" w:hAnsi="宋体" w:cs="宋体" w:eastAsia="宋体"/>
                <w:sz w:val="24"/>
                <w:color w:val="000000"/>
              </w:rPr>
              <w:t>2024年高素质农民培育工作实施方案》、《新型职业农民管理办法》及《陕西省高素质农民培育提升三年行动方案》要求，经灞桥区农业农村信息中心研究，特制定本实施方案。</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4"/>
              </w:rPr>
              <w:t>一、目标任务</w:t>
            </w:r>
          </w:p>
          <w:p>
            <w:pPr>
              <w:pStyle w:val="null3"/>
              <w:jc w:val="both"/>
            </w:pPr>
            <w:r>
              <w:rPr>
                <w:rFonts w:ascii="宋体" w:hAnsi="宋体" w:cs="宋体" w:eastAsia="宋体"/>
                <w:sz w:val="24"/>
              </w:rPr>
              <w:t>以学习运用</w:t>
            </w:r>
            <w:r>
              <w:rPr>
                <w:rFonts w:ascii="宋体" w:hAnsi="宋体" w:cs="宋体" w:eastAsia="宋体"/>
                <w:sz w:val="24"/>
              </w:rPr>
              <w:t>“千村示范、万村整治”工程经验为引领，紧紧围绕农业农村高质量发展人才需求，坚持需求导向、产业主线、分层实施、全程培育，聚焦提升技术技能水平、提升产业发展能力、提升综合素质素养，培育粮食安全守护者、产业发展带头人和乡村振兴主力军，针对都市型现代农业发展的产业优势，开设以提高高素质农民务农技能，提高农业效益、农产品质量和市场竞争力专业培育课程。重点培育</w:t>
            </w:r>
            <w:r>
              <w:rPr>
                <w:rFonts w:ascii="calibri" w:hAnsi="calibri" w:cs="calibri" w:eastAsia="calibri"/>
                <w:sz w:val="24"/>
              </w:rPr>
              <w:t>200</w:t>
            </w:r>
            <w:r>
              <w:rPr>
                <w:rFonts w:ascii="宋体" w:hAnsi="宋体" w:cs="宋体" w:eastAsia="宋体"/>
                <w:sz w:val="24"/>
              </w:rPr>
              <w:t>名“具有科学文化素质、掌握现代农业生产技能、具备一定经营管理能力，以农业生产、经营或服务为主业，以农业收入为主要收入”等特征的高素质农民。通过引进先进经验，创新培育方式，制定管理办法，建立高素质农民培育长效机制，促进农业经济快速发展，农民收入显著提高。</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4"/>
              </w:rPr>
              <w:t>二、</w:t>
            </w:r>
            <w:r>
              <w:rPr>
                <w:rFonts w:ascii="宋体" w:hAnsi="宋体" w:cs="宋体" w:eastAsia="宋体"/>
                <w:sz w:val="24"/>
              </w:rPr>
              <w:t>培训计划</w:t>
            </w:r>
          </w:p>
          <w:p>
            <w:pPr>
              <w:pStyle w:val="null3"/>
              <w:jc w:val="left"/>
            </w:pPr>
            <w:r>
              <w:rPr>
                <w:rFonts w:ascii="宋体" w:hAnsi="宋体" w:cs="宋体" w:eastAsia="宋体"/>
                <w:sz w:val="24"/>
              </w:rPr>
              <w:t>按照</w:t>
            </w:r>
            <w:r>
              <w:rPr>
                <w:rFonts w:ascii="宋体" w:hAnsi="宋体" w:cs="宋体" w:eastAsia="宋体"/>
                <w:sz w:val="24"/>
              </w:rPr>
              <w:t>“总体计划安排、月度任务分解、年度总结分析”的原则，明确工作重点，确保培育工作的顺利完成。</w:t>
            </w:r>
          </w:p>
          <w:p>
            <w:pPr>
              <w:pStyle w:val="null3"/>
              <w:jc w:val="left"/>
            </w:pPr>
            <w:r>
              <w:rPr>
                <w:rFonts w:ascii="宋体" w:hAnsi="宋体" w:cs="宋体" w:eastAsia="宋体"/>
                <w:sz w:val="24"/>
              </w:rPr>
              <w:t>（一）培育对象遴选</w:t>
            </w:r>
          </w:p>
          <w:p>
            <w:pPr>
              <w:pStyle w:val="null3"/>
              <w:jc w:val="left"/>
            </w:pPr>
            <w:r>
              <w:rPr>
                <w:rFonts w:ascii="宋体" w:hAnsi="宋体" w:cs="宋体" w:eastAsia="宋体"/>
                <w:sz w:val="24"/>
              </w:rPr>
              <w:t>灞桥区域内凡年满</w:t>
            </w:r>
            <w:r>
              <w:rPr>
                <w:rFonts w:ascii="calibri" w:hAnsi="calibri" w:cs="calibri" w:eastAsia="calibri"/>
                <w:sz w:val="24"/>
              </w:rPr>
              <w:t>18-60</w:t>
            </w:r>
            <w:r>
              <w:rPr>
                <w:rFonts w:ascii="宋体" w:hAnsi="宋体" w:cs="宋体" w:eastAsia="宋体"/>
                <w:sz w:val="24"/>
              </w:rPr>
              <w:t>周岁，初中及以上文化程度，身体健康，思想品德优良，能够自觉践行社会主义核心价值观</w:t>
            </w:r>
            <w:r>
              <w:rPr>
                <w:rFonts w:ascii="calibri" w:hAnsi="calibri" w:cs="calibri" w:eastAsia="calibri"/>
                <w:sz w:val="24"/>
              </w:rPr>
              <w:t>;</w:t>
            </w:r>
            <w:r>
              <w:rPr>
                <w:rFonts w:ascii="宋体" w:hAnsi="宋体" w:cs="宋体" w:eastAsia="宋体"/>
                <w:sz w:val="24"/>
              </w:rPr>
              <w:t>热爱农业农村，学习愿望强烈，产业规模适度集中，遵守法律法规，个人信用良好，无违法违纪等不良记录，目前正在或有意愿从事农业生产、经营管理、农产品电商、社会化服务的农业从业者均可报名。按照学员产业及培训需求，分为粮油和种植两个专业，共计划培育人数</w:t>
            </w:r>
            <w:r>
              <w:rPr>
                <w:rFonts w:ascii="calibri" w:hAnsi="calibri" w:cs="calibri" w:eastAsia="calibri"/>
                <w:sz w:val="24"/>
              </w:rPr>
              <w:t>200</w:t>
            </w:r>
            <w:r>
              <w:rPr>
                <w:rFonts w:ascii="宋体" w:hAnsi="宋体" w:cs="宋体" w:eastAsia="宋体"/>
                <w:sz w:val="24"/>
              </w:rPr>
              <w:t>人次，遵循立足产业、农民自愿的原则，做到学员遴选有措施，遴选工作精细化。</w:t>
            </w:r>
          </w:p>
          <w:p>
            <w:pPr>
              <w:pStyle w:val="null3"/>
              <w:jc w:val="left"/>
            </w:pPr>
            <w:r>
              <w:rPr>
                <w:rFonts w:ascii="宋体" w:hAnsi="宋体" w:cs="宋体" w:eastAsia="宋体"/>
                <w:sz w:val="24"/>
              </w:rPr>
              <w:t>（二）前期准备阶段</w:t>
            </w:r>
          </w:p>
          <w:p>
            <w:pPr>
              <w:pStyle w:val="null3"/>
              <w:jc w:val="left"/>
            </w:pPr>
            <w:r>
              <w:rPr>
                <w:rFonts w:ascii="calibri" w:hAnsi="calibri" w:cs="calibri" w:eastAsia="calibri"/>
                <w:sz w:val="24"/>
              </w:rPr>
              <w:t>2024</w:t>
            </w:r>
            <w:r>
              <w:rPr>
                <w:rFonts w:ascii="宋体" w:hAnsi="宋体" w:cs="宋体" w:eastAsia="宋体"/>
                <w:sz w:val="24"/>
              </w:rPr>
              <w:t>年</w:t>
            </w:r>
            <w:r>
              <w:rPr>
                <w:rFonts w:ascii="calibri" w:hAnsi="calibri" w:cs="calibri" w:eastAsia="calibri"/>
                <w:sz w:val="24"/>
              </w:rPr>
              <w:t>9-10</w:t>
            </w:r>
            <w:r>
              <w:rPr>
                <w:rFonts w:ascii="宋体" w:hAnsi="宋体" w:cs="宋体" w:eastAsia="宋体"/>
                <w:sz w:val="24"/>
              </w:rPr>
              <w:t>月编制灞桥区</w:t>
            </w:r>
            <w:r>
              <w:rPr>
                <w:rFonts w:ascii="calibri" w:hAnsi="calibri" w:cs="calibri" w:eastAsia="calibri"/>
                <w:sz w:val="24"/>
              </w:rPr>
              <w:t>2024</w:t>
            </w:r>
            <w:r>
              <w:rPr>
                <w:rFonts w:ascii="宋体" w:hAnsi="宋体" w:cs="宋体" w:eastAsia="宋体"/>
                <w:sz w:val="24"/>
              </w:rPr>
              <w:t>年高素质农民培育项目实施方案报区政府审批，送市农业农村局备案。</w:t>
            </w:r>
          </w:p>
          <w:p>
            <w:pPr>
              <w:pStyle w:val="null3"/>
              <w:jc w:val="left"/>
            </w:pPr>
            <w:r>
              <w:rPr>
                <w:rFonts w:ascii="宋体" w:hAnsi="宋体" w:cs="宋体" w:eastAsia="宋体"/>
                <w:sz w:val="24"/>
              </w:rPr>
              <w:t>（三）统筹安排阶段</w:t>
            </w:r>
          </w:p>
          <w:p>
            <w:pPr>
              <w:pStyle w:val="null3"/>
              <w:jc w:val="left"/>
            </w:pPr>
            <w:r>
              <w:rPr>
                <w:rFonts w:ascii="calibri" w:hAnsi="calibri" w:cs="calibri" w:eastAsia="calibri"/>
                <w:sz w:val="24"/>
              </w:rPr>
              <w:t>2024</w:t>
            </w:r>
            <w:r>
              <w:rPr>
                <w:rFonts w:ascii="宋体" w:hAnsi="宋体" w:cs="宋体" w:eastAsia="宋体"/>
                <w:sz w:val="24"/>
              </w:rPr>
              <w:t>年</w:t>
            </w:r>
            <w:r>
              <w:rPr>
                <w:rFonts w:ascii="calibri" w:hAnsi="calibri" w:cs="calibri" w:eastAsia="calibri"/>
                <w:sz w:val="24"/>
              </w:rPr>
              <w:t>10-11</w:t>
            </w:r>
            <w:r>
              <w:rPr>
                <w:rFonts w:ascii="宋体" w:hAnsi="宋体" w:cs="宋体" w:eastAsia="宋体"/>
                <w:sz w:val="24"/>
              </w:rPr>
              <w:t>月，完成培育方案、教学计划等编写及时上报，完成学员遴选，建立完善项目师资库，建立本项目教学师资库及帮扶教师师资库，并录入国家高素质农民培育信息管理系统，完成学员信息云上智农系统录入及国家高素质农民培育信息管理系统的录入。</w:t>
            </w:r>
          </w:p>
          <w:p>
            <w:pPr>
              <w:pStyle w:val="null3"/>
              <w:jc w:val="left"/>
            </w:pPr>
            <w:r>
              <w:rPr>
                <w:rFonts w:ascii="宋体" w:hAnsi="宋体" w:cs="宋体" w:eastAsia="宋体"/>
                <w:sz w:val="24"/>
              </w:rPr>
              <w:t>（四）组织实施阶段</w:t>
            </w:r>
          </w:p>
          <w:p>
            <w:pPr>
              <w:pStyle w:val="null3"/>
              <w:jc w:val="left"/>
            </w:pPr>
            <w:r>
              <w:rPr>
                <w:rFonts w:ascii="calibri" w:hAnsi="calibri" w:cs="calibri" w:eastAsia="calibri"/>
                <w:sz w:val="24"/>
              </w:rPr>
              <w:t>2024</w:t>
            </w:r>
            <w:r>
              <w:rPr>
                <w:rFonts w:ascii="宋体" w:hAnsi="宋体" w:cs="宋体" w:eastAsia="宋体"/>
                <w:sz w:val="24"/>
              </w:rPr>
              <w:t>年</w:t>
            </w:r>
            <w:r>
              <w:rPr>
                <w:rFonts w:ascii="calibri" w:hAnsi="calibri" w:cs="calibri" w:eastAsia="calibri"/>
                <w:sz w:val="24"/>
              </w:rPr>
              <w:t>12</w:t>
            </w:r>
            <w:r>
              <w:rPr>
                <w:rFonts w:ascii="宋体" w:hAnsi="宋体" w:cs="宋体" w:eastAsia="宋体"/>
                <w:sz w:val="24"/>
              </w:rPr>
              <w:t>月—</w:t>
            </w:r>
            <w:r>
              <w:rPr>
                <w:rFonts w:ascii="calibri" w:hAnsi="calibri" w:cs="calibri" w:eastAsia="calibri"/>
                <w:sz w:val="24"/>
              </w:rPr>
              <w:t>2025</w:t>
            </w:r>
            <w:r>
              <w:rPr>
                <w:rFonts w:ascii="宋体" w:hAnsi="宋体" w:cs="宋体" w:eastAsia="宋体"/>
                <w:sz w:val="24"/>
              </w:rPr>
              <w:t>年</w:t>
            </w:r>
            <w:r>
              <w:rPr>
                <w:rFonts w:ascii="calibri" w:hAnsi="calibri" w:cs="calibri" w:eastAsia="calibri"/>
                <w:sz w:val="24"/>
              </w:rPr>
              <w:t>6</w:t>
            </w:r>
            <w:r>
              <w:rPr>
                <w:rFonts w:ascii="宋体" w:hAnsi="宋体" w:cs="宋体" w:eastAsia="宋体"/>
                <w:sz w:val="24"/>
              </w:rPr>
              <w:t>月，通过公开招投标的方式确定培训机构，通过政府采购招聘的第三方服务公司对项目培训部分进行实施组织服务。按照培育计划和培训方案，根据农事季节和各专业实际，适时开展培训活动。严格培训教师、培育对象管理，按照分类培育规范，组织受训人员参加培训、考核等，全面完成培训任务，确保培育效果。</w:t>
            </w:r>
          </w:p>
          <w:p>
            <w:pPr>
              <w:pStyle w:val="null3"/>
              <w:jc w:val="left"/>
            </w:pPr>
            <w:r>
              <w:rPr>
                <w:rFonts w:ascii="宋体" w:hAnsi="宋体" w:cs="宋体" w:eastAsia="宋体"/>
                <w:sz w:val="24"/>
              </w:rPr>
              <w:t>（五）总结验收阶段</w:t>
            </w:r>
          </w:p>
          <w:p>
            <w:pPr>
              <w:pStyle w:val="null3"/>
              <w:jc w:val="both"/>
            </w:pPr>
            <w:r>
              <w:rPr>
                <w:rFonts w:ascii="calibri" w:hAnsi="calibri" w:cs="calibri" w:eastAsia="calibri"/>
                <w:sz w:val="24"/>
              </w:rPr>
              <w:t>2025</w:t>
            </w:r>
            <w:r>
              <w:rPr>
                <w:rFonts w:ascii="宋体" w:hAnsi="宋体" w:cs="宋体" w:eastAsia="宋体"/>
                <w:sz w:val="24"/>
              </w:rPr>
              <w:t>年</w:t>
            </w:r>
            <w:r>
              <w:rPr>
                <w:rFonts w:ascii="calibri" w:hAnsi="calibri" w:cs="calibri" w:eastAsia="calibri"/>
                <w:sz w:val="24"/>
              </w:rPr>
              <w:t>6-7</w:t>
            </w:r>
            <w:r>
              <w:rPr>
                <w:rFonts w:ascii="宋体" w:hAnsi="宋体" w:cs="宋体" w:eastAsia="宋体"/>
                <w:sz w:val="24"/>
              </w:rPr>
              <w:t>月，对高素质农民培训工作进行总结，查漏补缺，总结创新培育方式，探索完善高素质农民培育方式方法。开展绩效评价，接受省市主管部门的检查验收。并对培训的学员进行跟踪回访、培训监测，完成培训跟踪监测。</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4"/>
              </w:rPr>
              <w:t>三、资金管理及用途</w:t>
            </w:r>
          </w:p>
          <w:p>
            <w:pPr>
              <w:pStyle w:val="null3"/>
              <w:jc w:val="left"/>
            </w:pPr>
            <w:r>
              <w:rPr>
                <w:rFonts w:ascii="宋体" w:hAnsi="宋体" w:cs="宋体" w:eastAsia="宋体"/>
                <w:sz w:val="24"/>
              </w:rPr>
              <w:t>根据《陕西省农业农村厅办公室关于印发〈</w:t>
            </w:r>
            <w:r>
              <w:rPr>
                <w:rFonts w:ascii="calibri" w:hAnsi="calibri" w:cs="calibri" w:eastAsia="calibri"/>
                <w:sz w:val="24"/>
              </w:rPr>
              <w:t>2024</w:t>
            </w:r>
            <w:r>
              <w:rPr>
                <w:rFonts w:ascii="宋体" w:hAnsi="宋体" w:cs="宋体" w:eastAsia="宋体"/>
                <w:sz w:val="24"/>
              </w:rPr>
              <w:t>年高素质农民培育项目实施方案〉的通知》（陕农办发〔</w:t>
            </w:r>
            <w:r>
              <w:rPr>
                <w:rFonts w:ascii="calibri" w:hAnsi="calibri" w:cs="calibri" w:eastAsia="calibri"/>
                <w:sz w:val="24"/>
              </w:rPr>
              <w:t>2024</w:t>
            </w:r>
            <w:r>
              <w:rPr>
                <w:rFonts w:ascii="宋体" w:hAnsi="宋体" w:cs="宋体" w:eastAsia="宋体"/>
                <w:sz w:val="24"/>
              </w:rPr>
              <w:t>〕</w:t>
            </w:r>
            <w:r>
              <w:rPr>
                <w:rFonts w:ascii="calibri" w:hAnsi="calibri" w:cs="calibri" w:eastAsia="calibri"/>
                <w:sz w:val="24"/>
              </w:rPr>
              <w:t>86</w:t>
            </w:r>
            <w:r>
              <w:rPr>
                <w:rFonts w:ascii="宋体" w:hAnsi="宋体" w:cs="宋体" w:eastAsia="宋体"/>
                <w:sz w:val="24"/>
              </w:rPr>
              <w:t>号）和《陕西省农业农村厅关于印发〈</w:t>
            </w:r>
            <w:r>
              <w:rPr>
                <w:rFonts w:ascii="calibri" w:hAnsi="calibri" w:cs="calibri" w:eastAsia="calibri"/>
                <w:sz w:val="24"/>
              </w:rPr>
              <w:t>2024</w:t>
            </w:r>
            <w:r>
              <w:rPr>
                <w:rFonts w:ascii="宋体" w:hAnsi="宋体" w:cs="宋体" w:eastAsia="宋体"/>
                <w:sz w:val="24"/>
              </w:rPr>
              <w:t>年农业经营主体能力提升资金实施方案的通知》（陕农计财〔</w:t>
            </w:r>
            <w:r>
              <w:rPr>
                <w:rFonts w:ascii="calibri" w:hAnsi="calibri" w:cs="calibri" w:eastAsia="calibri"/>
                <w:sz w:val="24"/>
              </w:rPr>
              <w:t>2024</w:t>
            </w:r>
            <w:r>
              <w:rPr>
                <w:rFonts w:ascii="宋体" w:hAnsi="宋体" w:cs="宋体" w:eastAsia="宋体"/>
                <w:sz w:val="24"/>
              </w:rPr>
              <w:t>〕</w:t>
            </w:r>
            <w:r>
              <w:rPr>
                <w:rFonts w:ascii="calibri" w:hAnsi="calibri" w:cs="calibri" w:eastAsia="calibri"/>
                <w:sz w:val="24"/>
              </w:rPr>
              <w:t>92</w:t>
            </w:r>
            <w:r>
              <w:rPr>
                <w:rFonts w:ascii="宋体" w:hAnsi="宋体" w:cs="宋体" w:eastAsia="宋体"/>
                <w:sz w:val="24"/>
              </w:rPr>
              <w:t>号）要求。本次灞桥区</w:t>
            </w:r>
            <w:r>
              <w:rPr>
                <w:rFonts w:ascii="calibri" w:hAnsi="calibri" w:cs="calibri" w:eastAsia="calibri"/>
                <w:sz w:val="24"/>
              </w:rPr>
              <w:t>2024</w:t>
            </w:r>
            <w:r>
              <w:rPr>
                <w:rFonts w:ascii="宋体" w:hAnsi="宋体" w:cs="宋体" w:eastAsia="宋体"/>
                <w:sz w:val="24"/>
              </w:rPr>
              <w:t>年高素质农民培育项目计划安排资金</w:t>
            </w:r>
            <w:r>
              <w:rPr>
                <w:rFonts w:ascii="calibri" w:hAnsi="calibri" w:cs="calibri" w:eastAsia="calibri"/>
                <w:sz w:val="24"/>
              </w:rPr>
              <w:t>80</w:t>
            </w:r>
            <w:r>
              <w:rPr>
                <w:rFonts w:ascii="宋体" w:hAnsi="宋体" w:cs="宋体" w:eastAsia="宋体"/>
                <w:sz w:val="24"/>
              </w:rPr>
              <w:t>万元，，主要用于灞桥区范围内种养加能手技能培训，按“理论学习”“田间课堂”“参观学习”“跟踪服务”等内容进行，累计培训时间不少于</w:t>
            </w:r>
            <w:r>
              <w:rPr>
                <w:rFonts w:ascii="calibri" w:hAnsi="calibri" w:cs="calibri" w:eastAsia="calibri"/>
                <w:sz w:val="24"/>
              </w:rPr>
              <w:t>200</w:t>
            </w:r>
            <w:r>
              <w:rPr>
                <w:rFonts w:ascii="宋体" w:hAnsi="宋体" w:cs="宋体" w:eastAsia="宋体"/>
                <w:sz w:val="24"/>
              </w:rPr>
              <w:t>学时，其中实训时间不少于培训总时长的</w:t>
            </w:r>
            <w:r>
              <w:rPr>
                <w:rFonts w:ascii="calibri" w:hAnsi="calibri" w:cs="calibri" w:eastAsia="calibri"/>
                <w:sz w:val="24"/>
              </w:rPr>
              <w:t>2/3</w:t>
            </w:r>
            <w:r>
              <w:rPr>
                <w:rFonts w:ascii="宋体" w:hAnsi="宋体" w:cs="宋体" w:eastAsia="宋体"/>
                <w:sz w:val="24"/>
              </w:rPr>
              <w:t>。培训资金主要用于参培学员购买培训教材、培训资料（本子，笔，文件 袋）、集中授课费、学员培训交通及食宿补贴、实训基地实训服务费、远程教学费、外聘教师和帮扶技术员授课费、组织培育对象外出交流学习、信息化手段利用及耗材、宣传等方面相关支出。</w:t>
            </w:r>
          </w:p>
          <w:p>
            <w:pPr>
              <w:pStyle w:val="null3"/>
              <w:jc w:val="left"/>
            </w:pPr>
            <w:r>
              <w:rPr>
                <w:rFonts w:ascii="宋体" w:hAnsi="宋体" w:cs="宋体" w:eastAsia="宋体"/>
                <w:sz w:val="24"/>
              </w:rPr>
              <w:t>具体费用情况详见下表：</w:t>
            </w:r>
          </w:p>
          <w:tbl>
            <w:tblPr>
              <w:tblBorders>
                <w:top w:val="none" w:color="000000" w:sz="4"/>
                <w:left w:val="none" w:color="000000" w:sz="4"/>
                <w:bottom w:val="none" w:color="000000" w:sz="4"/>
                <w:right w:val="none" w:color="000000" w:sz="4"/>
                <w:insideH w:val="none"/>
                <w:insideV w:val="none"/>
              </w:tblBorders>
            </w:tblPr>
            <w:tblGrid>
              <w:gridCol w:w="319"/>
              <w:gridCol w:w="1082"/>
              <w:gridCol w:w="1141"/>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序号</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内容</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备注</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远程教学费</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线上设备服务期、教师课时费</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集中教学费</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场地、食宿、教师课时费、车辆及组织管理等费用</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田间指导费</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教师指导教学费、实训、实习物料、组织管理等费用</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基地参观费</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场地、食宿、车辆及组织管理等费用</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考试考核费</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含面试、结业考试两项</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培训资料编印购买费</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采购书籍、培训手册、试卷、讲义等</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其他费用</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税费、宣传报道及其他费用</w:t>
                  </w:r>
                </w:p>
              </w:tc>
            </w:tr>
          </w:tbl>
          <w:p/>
        </w:tc>
      </w:tr>
      <w:tr>
        <w:tc>
          <w:tcPr>
            <w:tcW w:type="dxa" w:w="2769"/>
          </w:tcPr>
          <w:p/>
        </w:tc>
        <w:tc>
          <w:tcPr>
            <w:tcW w:type="dxa" w:w="2769"/>
          </w:tcPr>
          <w:p>
            <w:pPr>
              <w:pStyle w:val="null3"/>
            </w:pPr>
            <w:r>
              <w:rPr/>
              <w:t>5</w:t>
            </w:r>
          </w:p>
        </w:tc>
        <w:tc>
          <w:tcPr>
            <w:tcW w:type="dxa" w:w="2769"/>
          </w:tcPr>
          <w:p>
            <w:pPr>
              <w:pStyle w:val="null3"/>
              <w:jc w:val="left"/>
            </w:pPr>
            <w:r>
              <w:rPr>
                <w:rFonts w:ascii="宋体" w:hAnsi="宋体" w:cs="宋体" w:eastAsia="宋体"/>
                <w:sz w:val="24"/>
              </w:rPr>
              <w:t>四、组织及保障措施</w:t>
            </w:r>
          </w:p>
          <w:p>
            <w:pPr>
              <w:pStyle w:val="null3"/>
              <w:jc w:val="left"/>
            </w:pPr>
            <w:r>
              <w:rPr>
                <w:rFonts w:ascii="宋体" w:hAnsi="宋体" w:cs="宋体" w:eastAsia="宋体"/>
                <w:sz w:val="24"/>
              </w:rPr>
              <w:t>（一）组织措施</w:t>
            </w:r>
          </w:p>
          <w:p>
            <w:pPr>
              <w:pStyle w:val="null3"/>
              <w:jc w:val="left"/>
            </w:pPr>
            <w:r>
              <w:rPr>
                <w:rFonts w:ascii="calibri" w:hAnsi="calibri" w:cs="calibri" w:eastAsia="calibri"/>
                <w:sz w:val="24"/>
              </w:rPr>
              <w:t>1.</w:t>
            </w:r>
            <w:r>
              <w:rPr>
                <w:rFonts w:ascii="宋体" w:hAnsi="宋体" w:cs="宋体" w:eastAsia="宋体"/>
                <w:sz w:val="24"/>
              </w:rPr>
              <w:t>强化组织领导</w:t>
            </w:r>
          </w:p>
          <w:p>
            <w:pPr>
              <w:pStyle w:val="null3"/>
              <w:jc w:val="left"/>
            </w:pPr>
            <w:r>
              <w:rPr>
                <w:rFonts w:ascii="宋体" w:hAnsi="宋体" w:cs="宋体" w:eastAsia="宋体"/>
                <w:sz w:val="24"/>
              </w:rPr>
              <w:t>建立</w:t>
            </w:r>
            <w:r>
              <w:rPr>
                <w:rFonts w:ascii="宋体" w:hAnsi="宋体" w:cs="宋体" w:eastAsia="宋体"/>
                <w:sz w:val="24"/>
              </w:rPr>
              <w:t>“政府主导统筹、农业部门牵头、有关部门配合、社会力量参与” 的工作机制。成立灞桥区</w:t>
            </w:r>
            <w:r>
              <w:rPr>
                <w:rFonts w:ascii="calibri" w:hAnsi="calibri" w:cs="calibri" w:eastAsia="calibri"/>
                <w:sz w:val="24"/>
              </w:rPr>
              <w:t>2024</w:t>
            </w:r>
            <w:r>
              <w:rPr>
                <w:rFonts w:ascii="宋体" w:hAnsi="宋体" w:cs="宋体" w:eastAsia="宋体"/>
                <w:sz w:val="24"/>
              </w:rPr>
              <w:t>年高素质农民培育项目工作领导小组，明确各成员的职责和任务，确保项目的顺利实施。</w:t>
            </w:r>
          </w:p>
          <w:p>
            <w:pPr>
              <w:pStyle w:val="null3"/>
              <w:jc w:val="left"/>
            </w:pPr>
            <w:r>
              <w:rPr>
                <w:rFonts w:ascii="calibri" w:hAnsi="calibri" w:cs="calibri" w:eastAsia="calibri"/>
                <w:sz w:val="24"/>
              </w:rPr>
              <w:t>2.</w:t>
            </w:r>
            <w:r>
              <w:rPr>
                <w:rFonts w:ascii="宋体" w:hAnsi="宋体" w:cs="宋体" w:eastAsia="宋体"/>
                <w:sz w:val="24"/>
              </w:rPr>
              <w:t>精准培育对象</w:t>
            </w:r>
          </w:p>
          <w:p>
            <w:pPr>
              <w:pStyle w:val="null3"/>
              <w:jc w:val="left"/>
            </w:pPr>
            <w:r>
              <w:rPr>
                <w:rFonts w:ascii="宋体" w:hAnsi="宋体" w:cs="宋体" w:eastAsia="宋体"/>
                <w:sz w:val="24"/>
              </w:rPr>
              <w:t>根据灞桥区农业产业发展需求，联合灞桥区各街道，村组开展培育需求摸底调查，遴选有意愿、有需求的农民参训，重点培育种养大户、农业经营主体带头人、家庭农场经营者、农民合作社带头人、龙头企业、返乡创业者等人员，让真正从事农业生产、迫切需要提升素质和生产技能的农民接受培育。</w:t>
            </w:r>
          </w:p>
          <w:p>
            <w:pPr>
              <w:pStyle w:val="null3"/>
              <w:jc w:val="left"/>
            </w:pPr>
            <w:r>
              <w:rPr>
                <w:rFonts w:ascii="calibri" w:hAnsi="calibri" w:cs="calibri" w:eastAsia="calibri"/>
                <w:sz w:val="24"/>
              </w:rPr>
              <w:t>3.</w:t>
            </w:r>
            <w:r>
              <w:rPr>
                <w:rFonts w:ascii="宋体" w:hAnsi="宋体" w:cs="宋体" w:eastAsia="宋体"/>
                <w:sz w:val="24"/>
              </w:rPr>
              <w:t>遴选培训机构</w:t>
            </w:r>
          </w:p>
          <w:p>
            <w:pPr>
              <w:pStyle w:val="null3"/>
              <w:jc w:val="left"/>
            </w:pPr>
            <w:r>
              <w:rPr>
                <w:rFonts w:ascii="宋体" w:hAnsi="宋体" w:cs="宋体" w:eastAsia="宋体"/>
                <w:sz w:val="24"/>
              </w:rPr>
              <w:t>遵循公开、公正、公平的原则，通过公开招标的方式确定培训机构，确保农民培育工作的质量和效果。</w:t>
            </w:r>
          </w:p>
          <w:p>
            <w:pPr>
              <w:pStyle w:val="null3"/>
              <w:jc w:val="left"/>
            </w:pPr>
            <w:r>
              <w:rPr>
                <w:rFonts w:ascii="calibri" w:hAnsi="calibri" w:cs="calibri" w:eastAsia="calibri"/>
                <w:sz w:val="24"/>
              </w:rPr>
              <w:t>4.</w:t>
            </w:r>
            <w:r>
              <w:rPr>
                <w:rFonts w:ascii="宋体" w:hAnsi="宋体" w:cs="宋体" w:eastAsia="宋体"/>
                <w:sz w:val="24"/>
              </w:rPr>
              <w:t>强化信息化手段应用</w:t>
            </w:r>
          </w:p>
          <w:p>
            <w:pPr>
              <w:pStyle w:val="null3"/>
              <w:jc w:val="left"/>
            </w:pPr>
            <w:r>
              <w:rPr>
                <w:rFonts w:ascii="宋体" w:hAnsi="宋体" w:cs="宋体" w:eastAsia="宋体"/>
                <w:sz w:val="24"/>
              </w:rPr>
              <w:t>依托全国农业科教云平台，利用多媒体教材、网络教学辅导资源等学习平台，开展线上线下混合式教学和考核，鼓励农民自主学习，实现线上培训过程在农民教育培训信息管理系统有据可查。</w:t>
            </w:r>
          </w:p>
          <w:p>
            <w:pPr>
              <w:pStyle w:val="null3"/>
              <w:jc w:val="left"/>
            </w:pPr>
            <w:r>
              <w:rPr>
                <w:rFonts w:ascii="宋体" w:hAnsi="宋体" w:cs="宋体" w:eastAsia="宋体"/>
                <w:sz w:val="24"/>
              </w:rPr>
              <w:t>（二）项目管理</w:t>
            </w:r>
          </w:p>
          <w:p>
            <w:pPr>
              <w:pStyle w:val="null3"/>
              <w:jc w:val="left"/>
            </w:pPr>
            <w:r>
              <w:rPr>
                <w:rFonts w:ascii="calibri" w:hAnsi="calibri" w:cs="calibri" w:eastAsia="calibri"/>
                <w:sz w:val="24"/>
              </w:rPr>
              <w:t>1.</w:t>
            </w:r>
            <w:r>
              <w:rPr>
                <w:rFonts w:ascii="宋体" w:hAnsi="宋体" w:cs="宋体" w:eastAsia="宋体"/>
                <w:sz w:val="24"/>
              </w:rPr>
              <w:t>建立健全机制。建立健全绩效考核、公开公示、检查验收、档案管理等各项管理制度，落实工作责任分工，统一规范项目实施行为。</w:t>
            </w:r>
          </w:p>
          <w:p>
            <w:pPr>
              <w:pStyle w:val="null3"/>
              <w:jc w:val="left"/>
            </w:pPr>
            <w:r>
              <w:rPr>
                <w:rFonts w:ascii="calibri" w:hAnsi="calibri" w:cs="calibri" w:eastAsia="calibri"/>
                <w:sz w:val="24"/>
              </w:rPr>
              <w:t>2.</w:t>
            </w:r>
            <w:r>
              <w:rPr>
                <w:rFonts w:ascii="宋体" w:hAnsi="宋体" w:cs="宋体" w:eastAsia="宋体"/>
                <w:sz w:val="24"/>
              </w:rPr>
              <w:t>强化工作监管。对照《高素质农民培训规范（试行）》各项要求，切实加强对高素质农民培训工作的指导、监督和管理，带头落实“行政主管部门第一课”制度，定期督导培训进度，随机抽查培训执行情况，对不符合要求、质量把控不严的问题及时提出调整意见，必要时要求停班整改。</w:t>
            </w:r>
          </w:p>
          <w:p>
            <w:pPr>
              <w:pStyle w:val="null3"/>
              <w:jc w:val="left"/>
            </w:pPr>
            <w:r>
              <w:rPr>
                <w:rFonts w:ascii="calibri" w:hAnsi="calibri" w:cs="calibri" w:eastAsia="calibri"/>
                <w:sz w:val="24"/>
              </w:rPr>
              <w:t>3.</w:t>
            </w:r>
            <w:r>
              <w:rPr>
                <w:rFonts w:ascii="宋体" w:hAnsi="宋体" w:cs="宋体" w:eastAsia="宋体"/>
                <w:sz w:val="24"/>
              </w:rPr>
              <w:t>加强信息化管理。依托农民教育培训信息管理系统开展培训在线监管和绩效评价，对培训教师、培育基地、培训组织和培训效果进行线上评价，实现培训班和学员基本信息</w:t>
            </w:r>
            <w:r>
              <w:rPr>
                <w:rFonts w:ascii="calibri" w:hAnsi="calibri" w:cs="calibri" w:eastAsia="calibri"/>
                <w:sz w:val="24"/>
              </w:rPr>
              <w:t>100%</w:t>
            </w:r>
            <w:r>
              <w:rPr>
                <w:rFonts w:ascii="宋体" w:hAnsi="宋体" w:cs="宋体" w:eastAsia="宋体"/>
                <w:sz w:val="24"/>
              </w:rPr>
              <w:t>入库，班级</w:t>
            </w:r>
            <w:r>
              <w:rPr>
                <w:rFonts w:ascii="calibri" w:hAnsi="calibri" w:cs="calibri" w:eastAsia="calibri"/>
                <w:sz w:val="24"/>
              </w:rPr>
              <w:t>100%</w:t>
            </w:r>
            <w:r>
              <w:rPr>
                <w:rFonts w:ascii="宋体" w:hAnsi="宋体" w:cs="宋体" w:eastAsia="宋体"/>
                <w:sz w:val="24"/>
              </w:rPr>
              <w:t>评价，确保培训过程全程可监测可追溯。</w:t>
            </w:r>
          </w:p>
          <w:p>
            <w:pPr>
              <w:pStyle w:val="null3"/>
              <w:jc w:val="left"/>
            </w:pPr>
            <w:r>
              <w:rPr>
                <w:rFonts w:ascii="宋体" w:hAnsi="宋体" w:cs="宋体" w:eastAsia="宋体"/>
                <w:sz w:val="24"/>
              </w:rPr>
              <w:t>（三）强化资金管理</w:t>
            </w:r>
          </w:p>
          <w:p>
            <w:pPr>
              <w:pStyle w:val="null3"/>
              <w:jc w:val="left"/>
            </w:pPr>
            <w:r>
              <w:rPr>
                <w:rFonts w:ascii="宋体" w:hAnsi="宋体" w:cs="宋体" w:eastAsia="宋体"/>
                <w:sz w:val="24"/>
              </w:rPr>
              <w:t>高素质农民培育资金严格按照《陕西省农业农村厅关于印发〈</w:t>
            </w:r>
            <w:r>
              <w:rPr>
                <w:rFonts w:ascii="calibri" w:hAnsi="calibri" w:cs="calibri" w:eastAsia="calibri"/>
                <w:sz w:val="24"/>
              </w:rPr>
              <w:t>2024</w:t>
            </w:r>
            <w:r>
              <w:rPr>
                <w:rFonts w:ascii="宋体" w:hAnsi="宋体" w:cs="宋体" w:eastAsia="宋体"/>
                <w:sz w:val="24"/>
              </w:rPr>
              <w:t>年农业经营主体能力提升资金实施方案的通知》（陕农计财〔</w:t>
            </w:r>
            <w:r>
              <w:rPr>
                <w:rFonts w:ascii="calibri" w:hAnsi="calibri" w:cs="calibri" w:eastAsia="calibri"/>
                <w:sz w:val="24"/>
              </w:rPr>
              <w:t>2024</w:t>
            </w:r>
            <w:r>
              <w:rPr>
                <w:rFonts w:ascii="宋体" w:hAnsi="宋体" w:cs="宋体" w:eastAsia="宋体"/>
                <w:sz w:val="24"/>
              </w:rPr>
              <w:t>〕</w:t>
            </w:r>
            <w:r>
              <w:rPr>
                <w:rFonts w:ascii="calibri" w:hAnsi="calibri" w:cs="calibri" w:eastAsia="calibri"/>
                <w:sz w:val="24"/>
              </w:rPr>
              <w:t>92</w:t>
            </w:r>
            <w:r>
              <w:rPr>
                <w:rFonts w:ascii="宋体" w:hAnsi="宋体" w:cs="宋体" w:eastAsia="宋体"/>
                <w:sz w:val="24"/>
              </w:rPr>
              <w:t>号）文件要求，按照“政策目标明确、分配办法科学、支出方向协调、坚持绩效导向” 的原则，做好资金分配、使用和管理。</w:t>
            </w:r>
          </w:p>
          <w:p>
            <w:pPr>
              <w:pStyle w:val="null3"/>
              <w:jc w:val="both"/>
            </w:pPr>
            <w:r>
              <w:rPr>
                <w:rFonts w:ascii="宋体" w:hAnsi="宋体" w:cs="宋体" w:eastAsia="宋体"/>
                <w:sz w:val="24"/>
              </w:rPr>
              <w:t>对项目资金专款专用，建立健全项目资金监管机制，由专人负责对资金严格按照项目管理规定执行，实行项目监管，防止盲目和无效的使用资金，经费使用要严格按照建设内容安排使用资金，确保资金使用高效安全、项目顺利实施。加强资金管理，建立资金使用台账，规范资金使用，做好项目绩效申报。保障项目资金做到有章可循、有据可查，坚决杜绝挤占、挪用项目资金。</w:t>
            </w:r>
          </w:p>
        </w:tc>
      </w:tr>
    </w:tbl>
    <w:p>
      <w:pPr>
        <w:pStyle w:val="null3"/>
        <w:outlineLvl w:val="2"/>
      </w:pPr>
      <w:r>
        <w:rPr>
          <w:sz w:val="28"/>
          <w:b/>
        </w:rPr>
        <w:t>3.2.3人员配置要求</w:t>
      </w:r>
    </w:p>
    <w:p>
      <w:pPr>
        <w:pStyle w:val="null3"/>
      </w:pPr>
      <w:r>
        <w:rPr/>
        <w:t>采购包1：</w:t>
      </w:r>
    </w:p>
    <w:p>
      <w:pPr>
        <w:pStyle w:val="null3"/>
      </w:pPr>
      <w:r>
        <w:rPr/>
        <w:t>详见技术参数与性能指标</w:t>
      </w:r>
    </w:p>
    <w:p>
      <w:pPr>
        <w:pStyle w:val="null3"/>
        <w:outlineLvl w:val="2"/>
      </w:pPr>
      <w:r>
        <w:rPr>
          <w:sz w:val="28"/>
          <w:b/>
        </w:rPr>
        <w:t>3.2.4设施设备要求</w:t>
      </w:r>
    </w:p>
    <w:p>
      <w:pPr>
        <w:pStyle w:val="null3"/>
      </w:pPr>
      <w:r>
        <w:rPr/>
        <w:t>采购包1：</w:t>
      </w:r>
    </w:p>
    <w:p>
      <w:pPr>
        <w:pStyle w:val="null3"/>
      </w:pPr>
      <w:r>
        <w:rPr/>
        <w:t>详见技术参数与性能指标</w:t>
      </w:r>
    </w:p>
    <w:p>
      <w:pPr>
        <w:pStyle w:val="null3"/>
        <w:outlineLvl w:val="2"/>
      </w:pPr>
      <w:r>
        <w:rPr>
          <w:sz w:val="28"/>
          <w:b/>
        </w:rPr>
        <w:t>3.2.5其他要求</w:t>
      </w:r>
    </w:p>
    <w:p>
      <w:pPr>
        <w:pStyle w:val="null3"/>
      </w:pPr>
      <w:r>
        <w:rPr/>
        <w:t>采购包1：</w:t>
      </w:r>
    </w:p>
    <w:p>
      <w:pPr>
        <w:pStyle w:val="null3"/>
      </w:pPr>
      <w:r>
        <w:rPr/>
        <w:t>详见技术参数与性能指标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2024年11月-2025年7月</w:t>
      </w:r>
    </w:p>
    <w:p>
      <w:pPr>
        <w:pStyle w:val="null3"/>
        <w:outlineLvl w:val="3"/>
      </w:pPr>
      <w:r>
        <w:rPr>
          <w:sz w:val="24"/>
          <w:b/>
        </w:rPr>
        <w:t>3.3.2服务地点</w:t>
      </w:r>
    </w:p>
    <w:p>
      <w:pPr>
        <w:pStyle w:val="null3"/>
      </w:pPr>
      <w:r>
        <w:rPr/>
        <w:t>采购包1：</w:t>
      </w:r>
    </w:p>
    <w:p>
      <w:pPr>
        <w:pStyle w:val="null3"/>
      </w:pPr>
      <w:r>
        <w:rPr/>
        <w:t>西安市灞桥区农业农村信息中心指定地点</w:t>
      </w:r>
    </w:p>
    <w:p>
      <w:pPr>
        <w:pStyle w:val="null3"/>
        <w:outlineLvl w:val="3"/>
      </w:pPr>
      <w:r>
        <w:rPr>
          <w:sz w:val="24"/>
          <w:b/>
        </w:rPr>
        <w:t>3.3.3考核（验收）标准和方法</w:t>
      </w:r>
    </w:p>
    <w:p>
      <w:pPr>
        <w:pStyle w:val="null3"/>
      </w:pPr>
      <w:r>
        <w:rPr/>
        <w:t>采购包1：</w:t>
      </w:r>
    </w:p>
    <w:p>
      <w:pPr>
        <w:pStyle w:val="null3"/>
      </w:pPr>
      <w:r>
        <w:rPr/>
        <w:t>满足文件要求，符合国家相关行业标准。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合同签订后预付款</w:t>
      </w:r>
      <w:r>
        <w:rPr/>
        <w:t xml:space="preserve"> ，达到付款条件起 </w:t>
      </w:r>
      <w:r>
        <w:rPr/>
        <w:t>20</w:t>
      </w:r>
      <w:r>
        <w:rPr/>
        <w:t xml:space="preserve"> 日内，支付合同总金额的 </w:t>
      </w:r>
      <w:r>
        <w:rPr/>
        <w:t>40.00</w:t>
      </w:r>
      <w:r>
        <w:rPr/>
        <w:t>%。</w:t>
      </w:r>
    </w:p>
    <w:p>
      <w:pPr>
        <w:pStyle w:val="null3"/>
      </w:pPr>
      <w:r>
        <w:rPr/>
        <w:t>采购包1：</w:t>
      </w:r>
      <w:r>
        <w:rPr/>
        <w:t xml:space="preserve"> 付款条件说明： </w:t>
      </w:r>
      <w:r>
        <w:rPr/>
        <w:t>项目完成所有资料递交采购人，采购人验收合格之后支付剩余额</w:t>
      </w:r>
      <w:r>
        <w:rPr/>
        <w:t xml:space="preserve"> ，达到付款条件起 </w:t>
      </w:r>
      <w:r>
        <w:rPr/>
        <w:t>20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sz w:val="28"/>
          <w:b/>
        </w:rPr>
        <w:t>3.4其他要求</w:t>
      </w:r>
    </w:p>
    <w:p>
      <w:pPr>
        <w:pStyle w:val="null3"/>
      </w:pPr>
      <w:r>
        <w:rPr/>
        <w:t>(1)为顺利推进政府采购电子化交易平台试点应用工作，供应商需要在线提交所有通过电子化 交易平台实施的政府采购项 目的响应文件，同时，中标供应商线下提交响应文件正本壹份、副本贰套、电子版壹套。若电子响应文件与纸质响应文件不一 致的，以纸质响应文件为准;若正本和副本不符，以正本为准。 线下递交文件时间:领取中标通知书当天;线下递交文件地点:西 安市高新区锦业一路52号宝德云谷国际B座14层1406-6室(2)因文件关于合同签订时间无法修改，特在此处说明，成交供应 商应当在成交通知书发出之日起25日内与采购人签订政府采购合同 (3)因文件关于资格审查主体无法修改，特在此处说明，资 格审查由陕西中诚天和项目管理有限公司组建的资格审查小组依据法律法规和招标文件的规定，对响应文件中的资格证明等进 行审查，以确定投标人是否具备投标资格。(4)如招标文件中融资相关内容与新政策要求有出入，按照最新要求执行。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企业采购，仅限符合《政府采购促进中小企业发展管理办法》（财库〔2020〕46号）条件的中小企业参与，供应商应填写中小企业声明函并对真实性负责（残疾人福利性单位及监狱企业视同为小型、微型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t>供应商资质证明文件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磋商的，须出示法定代表人证明书；法定代表人授权他人参加磋商的，须提供法定代表人授权委托书、被授权人提交响应文件截止时间前半年内任意一个月的社会保障资金（养老保险或医疗保险）的缴纳证明或有效期内的劳动合同及被授权人身份证</w:t>
            </w:r>
          </w:p>
        </w:tc>
        <w:tc>
          <w:tcPr>
            <w:tcW w:type="dxa" w:w="1661"/>
          </w:tcPr>
          <w:p>
            <w:pPr>
              <w:pStyle w:val="null3"/>
            </w:pPr>
            <w:r>
              <w:rPr/>
              <w:t>法定代表人证明书与法定代表人授权书</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供应商资质证明文件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提供投标文件截止时间前一年内至少一个月已缴纳的纳税证明或完税证明（任意税种）；依法免税的投标人应提供相关文件证明</w:t>
            </w:r>
          </w:p>
        </w:tc>
        <w:tc>
          <w:tcPr>
            <w:tcW w:type="dxa" w:w="1661"/>
          </w:tcPr>
          <w:p>
            <w:pPr>
              <w:pStyle w:val="null3"/>
            </w:pPr>
            <w:r>
              <w:rPr/>
              <w:t>供应商资质证明文件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t>供应商资质证明文件</w:t>
            </w:r>
          </w:p>
        </w:tc>
      </w:tr>
      <w:tr>
        <w:tc>
          <w:tcPr>
            <w:tcW w:type="dxa" w:w="831"/>
          </w:tcPr>
          <w:p>
            <w:pPr>
              <w:pStyle w:val="null3"/>
            </w:pPr>
            <w:r>
              <w:rPr/>
              <w:t>6</w:t>
            </w:r>
          </w:p>
        </w:tc>
        <w:tc>
          <w:tcPr>
            <w:tcW w:type="dxa" w:w="2492"/>
          </w:tcPr>
          <w:p>
            <w:pPr>
              <w:pStyle w:val="null3"/>
            </w:pPr>
            <w:r>
              <w:rPr/>
              <w:t>书面承诺</w:t>
            </w:r>
          </w:p>
        </w:tc>
        <w:tc>
          <w:tcPr>
            <w:tcW w:type="dxa" w:w="3322"/>
          </w:tcPr>
          <w:p>
            <w:pPr>
              <w:pStyle w:val="null3"/>
            </w:pPr>
            <w:r>
              <w:rPr/>
              <w:t>提供具有履行本合同所必需的设备和专业技术能力的声明、参加政府采购活动前3年内在经营活动中没有重大违法记录的书面承诺</w:t>
            </w:r>
          </w:p>
        </w:tc>
        <w:tc>
          <w:tcPr>
            <w:tcW w:type="dxa" w:w="1661"/>
          </w:tcPr>
          <w:p>
            <w:pPr>
              <w:pStyle w:val="null3"/>
            </w:pPr>
            <w:r>
              <w:rPr/>
              <w:t>供应商资质证明文件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响应报价表 标的清单 报价表</w:t>
            </w:r>
          </w:p>
        </w:tc>
      </w:tr>
      <w:tr>
        <w:tc>
          <w:tcPr>
            <w:tcW w:type="dxa" w:w="831"/>
          </w:tcPr>
          <w:p>
            <w:pPr>
              <w:pStyle w:val="null3"/>
            </w:pPr>
            <w:r>
              <w:rPr/>
              <w:t>2</w:t>
            </w:r>
          </w:p>
        </w:tc>
        <w:tc>
          <w:tcPr>
            <w:tcW w:type="dxa" w:w="2492"/>
          </w:tcPr>
          <w:p>
            <w:pPr>
              <w:pStyle w:val="null3"/>
            </w:pPr>
            <w:r>
              <w:rPr/>
              <w:t>磋商响应文件的完整性审查</w:t>
            </w:r>
          </w:p>
        </w:tc>
        <w:tc>
          <w:tcPr>
            <w:tcW w:type="dxa" w:w="3322"/>
          </w:tcPr>
          <w:p>
            <w:pPr>
              <w:pStyle w:val="null3"/>
            </w:pPr>
            <w:r>
              <w:rPr/>
              <w:t>响应文件是否按照磋商文件规定提交的</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磋商响应文件的有效性审查</w:t>
            </w:r>
          </w:p>
        </w:tc>
        <w:tc>
          <w:tcPr>
            <w:tcW w:type="dxa" w:w="3322"/>
          </w:tcPr>
          <w:p>
            <w:pPr>
              <w:pStyle w:val="null3"/>
            </w:pPr>
            <w:r>
              <w:rPr/>
              <w:t>响应文件的签署、加盖印章是否合格、有效；提供的各种证明文件、数据、资料是否真实、有效</w:t>
            </w:r>
          </w:p>
        </w:tc>
        <w:tc>
          <w:tcPr>
            <w:tcW w:type="dxa" w:w="1661"/>
          </w:tcPr>
          <w:p>
            <w:pPr>
              <w:pStyle w:val="null3"/>
            </w:pPr>
            <w:r>
              <w:rPr/>
              <w:t>响应文件封面 商务要求偏差表 响应方案说明 法定代表人证明书与法定代表人授权书 中小企业声明函 响应报价表 供应商资质证明文件 供应商承诺书 响应函</w:t>
            </w:r>
          </w:p>
        </w:tc>
      </w:tr>
      <w:tr>
        <w:tc>
          <w:tcPr>
            <w:tcW w:type="dxa" w:w="831"/>
          </w:tcPr>
          <w:p>
            <w:pPr>
              <w:pStyle w:val="null3"/>
            </w:pPr>
            <w:r>
              <w:rPr/>
              <w:t>4</w:t>
            </w:r>
          </w:p>
        </w:tc>
        <w:tc>
          <w:tcPr>
            <w:tcW w:type="dxa" w:w="2492"/>
          </w:tcPr>
          <w:p>
            <w:pPr>
              <w:pStyle w:val="null3"/>
            </w:pPr>
            <w:r>
              <w:rPr/>
              <w:t>磋商响应文件的响应性审查</w:t>
            </w:r>
          </w:p>
        </w:tc>
        <w:tc>
          <w:tcPr>
            <w:tcW w:type="dxa" w:w="3322"/>
          </w:tcPr>
          <w:p>
            <w:pPr>
              <w:pStyle w:val="null3"/>
            </w:pPr>
            <w:r>
              <w:rPr/>
              <w:t>1.磋商报价是否超过采购预算； 2.磋商报价是否低于成本价，涉嫌不正当竞争；（如果评委会认为某磋商报价明显不合理或者低于成本，应当要求其在规定期限内提供书面文件予以解释说明，并提交相关证明材料。）</w:t>
            </w:r>
          </w:p>
        </w:tc>
        <w:tc>
          <w:tcPr>
            <w:tcW w:type="dxa" w:w="1661"/>
          </w:tcPr>
          <w:p>
            <w:pPr>
              <w:pStyle w:val="null3"/>
            </w:pPr>
            <w:r>
              <w:rPr/>
              <w:t>响应报价表 标的清单 报价表</w:t>
            </w:r>
          </w:p>
        </w:tc>
      </w:tr>
      <w:tr>
        <w:tc>
          <w:tcPr>
            <w:tcW w:type="dxa" w:w="831"/>
          </w:tcPr>
          <w:p>
            <w:pPr>
              <w:pStyle w:val="null3"/>
            </w:pPr>
            <w:r>
              <w:rPr/>
              <w:t>5</w:t>
            </w:r>
          </w:p>
        </w:tc>
        <w:tc>
          <w:tcPr>
            <w:tcW w:type="dxa" w:w="2492"/>
          </w:tcPr>
          <w:p>
            <w:pPr>
              <w:pStyle w:val="null3"/>
            </w:pPr>
            <w:r>
              <w:rPr/>
              <w:t>磋商报价有效期符合磋商文件的要求</w:t>
            </w:r>
          </w:p>
        </w:tc>
        <w:tc>
          <w:tcPr>
            <w:tcW w:type="dxa" w:w="3322"/>
          </w:tcPr>
          <w:p>
            <w:pPr>
              <w:pStyle w:val="null3"/>
            </w:pPr>
            <w:r>
              <w:rPr/>
              <w:t>磋商报价有效期符合磋商文件的要求</w:t>
            </w:r>
          </w:p>
        </w:tc>
        <w:tc>
          <w:tcPr>
            <w:tcW w:type="dxa" w:w="1661"/>
          </w:tcPr>
          <w:p>
            <w:pPr>
              <w:pStyle w:val="null3"/>
            </w:pPr>
            <w:r>
              <w:rPr/>
              <w:t>响应报价表 标的清单 报价表 响应函</w:t>
            </w:r>
          </w:p>
        </w:tc>
      </w:tr>
      <w:tr>
        <w:tc>
          <w:tcPr>
            <w:tcW w:type="dxa" w:w="831"/>
          </w:tcPr>
          <w:p>
            <w:pPr>
              <w:pStyle w:val="null3"/>
            </w:pPr>
            <w:r>
              <w:rPr/>
              <w:t>6</w:t>
            </w:r>
          </w:p>
        </w:tc>
        <w:tc>
          <w:tcPr>
            <w:tcW w:type="dxa" w:w="2492"/>
          </w:tcPr>
          <w:p>
            <w:pPr>
              <w:pStyle w:val="null3"/>
            </w:pPr>
            <w:r>
              <w:rPr/>
              <w:t>响应文件内容是否符合国家法律法规，是否响应了磋商文件要求的全部条款、条件和规格要求，并且提供了支持文件，没有重大偏离</w:t>
            </w:r>
          </w:p>
        </w:tc>
        <w:tc>
          <w:tcPr>
            <w:tcW w:type="dxa" w:w="3322"/>
          </w:tcPr>
          <w:p>
            <w:pPr>
              <w:pStyle w:val="null3"/>
            </w:pPr>
            <w:r>
              <w:rPr/>
              <w:t>响应文件内容是否符合国家法律法规，是否响应了磋商文件要求的全部条款、条件和规格要求，并且提供了支持文件，没有重大偏离</w:t>
            </w:r>
          </w:p>
        </w:tc>
        <w:tc>
          <w:tcPr>
            <w:tcW w:type="dxa" w:w="1661"/>
          </w:tcPr>
          <w:p>
            <w:pPr>
              <w:pStyle w:val="null3"/>
            </w:pPr>
            <w:r>
              <w:rPr/>
              <w:t>商务要求偏差表 对磋商文件及合同条款的承诺 响应方案说明</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对项目的理解</w:t>
            </w:r>
          </w:p>
        </w:tc>
        <w:tc>
          <w:tcPr>
            <w:tcW w:type="dxa" w:w="2492"/>
          </w:tcPr>
          <w:p>
            <w:pPr>
              <w:pStyle w:val="null3"/>
            </w:pPr>
            <w:r>
              <w:rPr/>
              <w:t>针对项目的理解（包括但不限于项目情况及进度、项目执行过程中合规性分析、履约状况分析等方面），本项满分10分。 方案内容分析完整、全面、合理、明确，完全满足采购人需求计 7.1～10分； 方案合理，内容一般，不完全满足采购人需求计4.1～7分； 方案简单，内容空泛，不利于项目实施的计 1～4 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对本项目制定详细、完善的培训方案和各项实施保障措施</w:t>
            </w:r>
          </w:p>
        </w:tc>
        <w:tc>
          <w:tcPr>
            <w:tcW w:type="dxa" w:w="2492"/>
          </w:tcPr>
          <w:p>
            <w:pPr>
              <w:pStyle w:val="null3"/>
            </w:pPr>
            <w:r>
              <w:rPr/>
              <w:t>针对本项目制定详细、完善的培训方案和各项实施保障措施，（包括但不限于培训目的、培训计划部署、总体工作思路及服务措施等方面），根据方案的完整性、规范性、科学性、合理性、可行性进行评分；本项满分15分。 方案及保障措施完整、可操作性强、细节考虑到位，且优于磋商文件要求的计：10.1～15分； 方案及保障措施基本完整，有相对的可操作性，描述良好的计：5.1～10分； 描述符合磋商文件要求，内容一般的计：1～5分。 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培训教师</w:t>
            </w:r>
          </w:p>
        </w:tc>
        <w:tc>
          <w:tcPr>
            <w:tcW w:type="dxa" w:w="2492"/>
          </w:tcPr>
          <w:p>
            <w:pPr>
              <w:pStyle w:val="null3"/>
            </w:pPr>
            <w:r>
              <w:rPr/>
              <w:t>培训教师：培训教师从农业主管部门、高等院校、农科院中择优选聘。所聘老师具备省、市、县三级专家，以便开展不同层次的实践与理论教学，提供培训老师的资格证书（包括但不限于职称证，职业水平评价证书等）和供应商承诺函。人员配制科学合理完全满足服务需求的计7.1-10分；人员配制较合理基本满足服务要求计4-7分；人员配制一般无法满足采购需求的计0-3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响应方案说明</w:t>
            </w:r>
          </w:p>
        </w:tc>
      </w:tr>
      <w:tr>
        <w:tc>
          <w:tcPr>
            <w:tcW w:type="dxa" w:w="831"/>
            <w:vMerge/>
          </w:tcPr>
          <w:p/>
        </w:tc>
        <w:tc>
          <w:tcPr>
            <w:tcW w:type="dxa" w:w="1661"/>
          </w:tcPr>
          <w:p>
            <w:pPr>
              <w:pStyle w:val="null3"/>
            </w:pPr>
            <w:r>
              <w:rPr/>
              <w:t>对本项目重难点的分析、应对措施及其他针对本项目的合理化建议</w:t>
            </w:r>
          </w:p>
        </w:tc>
        <w:tc>
          <w:tcPr>
            <w:tcW w:type="dxa" w:w="2492"/>
          </w:tcPr>
          <w:p>
            <w:pPr>
              <w:pStyle w:val="null3"/>
            </w:pPr>
            <w:r>
              <w:rPr/>
              <w:t>有针对本项目重难点的分析、应对措施及其他针对本项目的合理化建议，本项满分5分。 根据建议描述完整、可操作性强、细节描述清楚的计：3.1～5分； 重难点分析和应对措施一般的计：1～3分； 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对本项目制定完整详细的应急预案体系</w:t>
            </w:r>
          </w:p>
        </w:tc>
        <w:tc>
          <w:tcPr>
            <w:tcW w:type="dxa" w:w="2492"/>
          </w:tcPr>
          <w:p>
            <w:pPr>
              <w:pStyle w:val="null3"/>
            </w:pPr>
            <w:r>
              <w:rPr/>
              <w:t>针对本项目制定完整详细的应急预案体系，根据业务管理服务规律和可能发生的紧急事件。 应急能力强，预案详细完整，切实可行，得6.1-10分； 应急能力一般、预案全面，得1-6分； 未提供应急预案得0分。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合格率</w:t>
            </w:r>
          </w:p>
        </w:tc>
        <w:tc>
          <w:tcPr>
            <w:tcW w:type="dxa" w:w="2492"/>
          </w:tcPr>
          <w:p>
            <w:pPr>
              <w:pStyle w:val="null3"/>
            </w:pPr>
            <w:r>
              <w:rPr/>
              <w:t>供应商针对本项目有培训特色或成效的介绍及措施，并提供可靠全面的合格率的保障承诺。培训成效好，合格率高有保障措施计7.1-10分；合格率及保障措施较为合理，全面计4-7分；保障措施一般，计0-3分。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场地评审</w:t>
            </w:r>
          </w:p>
        </w:tc>
        <w:tc>
          <w:tcPr>
            <w:tcW w:type="dxa" w:w="2492"/>
          </w:tcPr>
          <w:p>
            <w:pPr>
              <w:pStyle w:val="null3"/>
            </w:pPr>
            <w:r>
              <w:rPr/>
              <w:t>1、供应商需提供可容纳400人及以上的会议室，按采购需求提供配套用品，会议室选址合理、场地大小合理，并提供相应证明文件，根据响应情况综合对场地大小，地理位置便于培训活动开展的计5分;会议室大小满足但地理位置不利于培训活动开展的计3分;会议室大小和地理位置都不合理的计0-2分; 2、供应商需要设立实训基地4个及以上(含四个)，提供相关说明及证明材料，每提供一个计2分，全满分10分； 3.每个实训基地种植规模均在200亩及以上(含200亩)的计3分，150-199亩及以上(含150亩)的计1分，150 亩及以下的不得分; 4、每个实训基地的田间流动课堂教室规模在50平米及以上(含50平米)的计2分，30-49平米计1分，30平米以下不得分。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响应方案说明</w:t>
            </w:r>
          </w:p>
        </w:tc>
      </w:tr>
      <w:tr>
        <w:tc>
          <w:tcPr>
            <w:tcW w:type="dxa" w:w="831"/>
            <w:vMerge/>
          </w:tcPr>
          <w:p/>
        </w:tc>
        <w:tc>
          <w:tcPr>
            <w:tcW w:type="dxa" w:w="1661"/>
          </w:tcPr>
          <w:p>
            <w:pPr>
              <w:pStyle w:val="null3"/>
            </w:pPr>
            <w:r>
              <w:rPr/>
              <w:t>服务承诺</w:t>
            </w:r>
          </w:p>
        </w:tc>
        <w:tc>
          <w:tcPr>
            <w:tcW w:type="dxa" w:w="2492"/>
          </w:tcPr>
          <w:p>
            <w:pPr>
              <w:pStyle w:val="null3"/>
            </w:pPr>
            <w:r>
              <w:rPr/>
              <w:t>供应商根据本项目制定响应的服务保障承诺及措施。承诺及措施详细、科学、合理、全面计7.1-10分；承诺及措施较为合理，全面计4-7分；承诺及措施片面一般计1-3分，未提供不得分。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对磋商文件及合同条款的承诺</w:t>
            </w:r>
          </w:p>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详见附件：响应报价表</w:t>
      </w:r>
    </w:p>
    <w:p>
      <w:pPr>
        <w:pStyle w:val="null3"/>
        <w:ind w:firstLine="960"/>
      </w:pPr>
      <w:r>
        <w:rPr/>
        <w:t>详见附件：商务要求偏差表</w:t>
      </w:r>
    </w:p>
    <w:p>
      <w:pPr>
        <w:pStyle w:val="null3"/>
        <w:ind w:firstLine="960"/>
      </w:pPr>
      <w:r>
        <w:rPr/>
        <w:t>详见附件：法定代表人证明书与法定代表人授权书</w:t>
      </w:r>
    </w:p>
    <w:p>
      <w:pPr>
        <w:pStyle w:val="null3"/>
        <w:ind w:firstLine="960"/>
      </w:pPr>
      <w:r>
        <w:rPr/>
        <w:t>详见附件：供应商资质证明文件</w:t>
      </w:r>
    </w:p>
    <w:p>
      <w:pPr>
        <w:pStyle w:val="null3"/>
        <w:ind w:firstLine="960"/>
      </w:pPr>
      <w:r>
        <w:rPr/>
        <w:t>详见附件：对磋商文件及合同条款的承诺</w:t>
      </w:r>
    </w:p>
    <w:p>
      <w:pPr>
        <w:pStyle w:val="null3"/>
        <w:ind w:firstLine="960"/>
      </w:pPr>
      <w:r>
        <w:rPr/>
        <w:t>详见附件：响应方案说明</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