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2E931A">
      <w:pPr>
        <w:pStyle w:val="4"/>
        <w:keepNext w:val="0"/>
        <w:keepLines w:val="0"/>
        <w:rPr>
          <w:rFonts w:hint="default" w:ascii="宋体" w:hAnsi="宋体" w:eastAsia="宋体" w:cs="宋体"/>
          <w:sz w:val="32"/>
          <w:szCs w:val="32"/>
          <w:highlight w:val="none"/>
          <w:lang w:val="en-US" w:eastAsia="zh-CN"/>
        </w:rPr>
      </w:pPr>
      <w:r>
        <w:rPr>
          <w:rFonts w:hint="eastAsia" w:ascii="宋体" w:hAnsi="宋体" w:eastAsia="宋体" w:cs="宋体"/>
          <w:sz w:val="32"/>
          <w:szCs w:val="32"/>
          <w:highlight w:val="none"/>
        </w:rPr>
        <w:t>合同草案条款</w:t>
      </w:r>
    </w:p>
    <w:p w14:paraId="105F72AD">
      <w:pPr>
        <w:spacing w:line="360" w:lineRule="auto"/>
        <w:ind w:firstLine="482" w:firstLineChars="200"/>
        <w:rPr>
          <w:rFonts w:hint="default" w:ascii="宋体" w:hAnsi="宋体" w:eastAsia="宋体" w:cs="宋体"/>
          <w:b/>
          <w:bCs/>
          <w:sz w:val="24"/>
          <w:szCs w:val="24"/>
          <w:lang w:val="en-US" w:eastAsia="zh-CN"/>
        </w:rPr>
      </w:pPr>
      <w:r>
        <w:rPr>
          <w:rFonts w:hint="eastAsia" w:ascii="宋体" w:hAnsi="宋体" w:eastAsia="宋体" w:cs="宋体"/>
          <w:b/>
          <w:bCs/>
          <w:sz w:val="24"/>
          <w:szCs w:val="24"/>
        </w:rPr>
        <w:t>甲方：</w:t>
      </w:r>
      <w:r>
        <w:rPr>
          <w:rFonts w:hint="eastAsia" w:ascii="宋体" w:hAnsi="宋体" w:eastAsia="宋体" w:cs="宋体"/>
          <w:b/>
          <w:bCs/>
          <w:sz w:val="24"/>
          <w:szCs w:val="24"/>
          <w:lang w:val="en-US" w:eastAsia="zh-CN"/>
        </w:rPr>
        <w:t>西安市灞桥区农业农村信息中心</w:t>
      </w:r>
    </w:p>
    <w:p w14:paraId="68A6B6B8">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乙方：</w:t>
      </w:r>
    </w:p>
    <w:p w14:paraId="04762E24">
      <w:pPr>
        <w:spacing w:line="360" w:lineRule="auto"/>
        <w:ind w:firstLine="960" w:firstLineChars="400"/>
        <w:rPr>
          <w:rFonts w:hint="eastAsia" w:ascii="宋体" w:hAnsi="宋体" w:eastAsia="宋体" w:cs="宋体"/>
          <w:sz w:val="24"/>
          <w:szCs w:val="24"/>
        </w:rPr>
      </w:pPr>
      <w:r>
        <w:rPr>
          <w:rFonts w:hint="eastAsia" w:ascii="宋体" w:hAnsi="宋体" w:eastAsia="宋体" w:cs="宋体"/>
          <w:sz w:val="24"/>
          <w:szCs w:val="24"/>
        </w:rPr>
        <w:t>根据《中华人民共和国民法典》及有关规定，双方本着公平友好的原则，签</w:t>
      </w:r>
    </w:p>
    <w:p w14:paraId="42CBE63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订本服务协议（以下简称“本合同”）：</w:t>
      </w:r>
    </w:p>
    <w:p w14:paraId="73B6A781">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一、服务项目</w:t>
      </w:r>
    </w:p>
    <w:p w14:paraId="1B6B56C3">
      <w:pPr>
        <w:spacing w:line="360" w:lineRule="auto"/>
        <w:ind w:firstLine="960" w:firstLineChars="400"/>
        <w:rPr>
          <w:rFonts w:hint="eastAsia" w:ascii="宋体" w:hAnsi="宋体" w:eastAsia="宋体" w:cs="宋体"/>
          <w:sz w:val="24"/>
          <w:szCs w:val="24"/>
        </w:rPr>
      </w:pPr>
      <w:r>
        <w:rPr>
          <w:rFonts w:hint="eastAsia" w:ascii="宋体" w:hAnsi="宋体" w:eastAsia="宋体" w:cs="宋体"/>
          <w:sz w:val="24"/>
          <w:szCs w:val="24"/>
        </w:rPr>
        <w:t>合作期内，乙方为甲方项目提供成果报告服务。</w:t>
      </w:r>
    </w:p>
    <w:p w14:paraId="382D055D">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二、服务期间</w:t>
      </w:r>
    </w:p>
    <w:p w14:paraId="1D3A39C3">
      <w:pPr>
        <w:spacing w:line="360" w:lineRule="auto"/>
        <w:ind w:firstLine="960" w:firstLineChars="400"/>
        <w:rPr>
          <w:rFonts w:hint="eastAsia" w:ascii="宋体" w:hAnsi="宋体" w:eastAsia="宋体" w:cs="宋体"/>
          <w:sz w:val="24"/>
          <w:szCs w:val="24"/>
        </w:rPr>
      </w:pPr>
      <w:r>
        <w:rPr>
          <w:rFonts w:hint="eastAsia" w:ascii="宋体" w:hAnsi="宋体" w:eastAsia="宋体" w:cs="宋体"/>
          <w:sz w:val="24"/>
          <w:szCs w:val="24"/>
        </w:rPr>
        <w:t>乙方为甲方提供</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的服务，自</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日起至</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日止。</w:t>
      </w:r>
    </w:p>
    <w:p w14:paraId="772235E3">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三、服务内容</w:t>
      </w:r>
    </w:p>
    <w:p w14:paraId="60461D2E">
      <w:pPr>
        <w:spacing w:line="360" w:lineRule="auto"/>
        <w:ind w:firstLine="960" w:firstLineChars="400"/>
        <w:rPr>
          <w:rFonts w:hint="default" w:ascii="宋体" w:hAnsi="宋体" w:eastAsia="宋体" w:cs="宋体"/>
          <w:sz w:val="24"/>
          <w:szCs w:val="24"/>
          <w:lang w:val="en-US" w:eastAsia="zh-CN"/>
        </w:rPr>
      </w:pPr>
      <w:r>
        <w:rPr>
          <w:rFonts w:hint="eastAsia" w:ascii="宋体" w:hAnsi="宋体" w:eastAsia="宋体" w:cs="宋体"/>
          <w:sz w:val="24"/>
          <w:szCs w:val="24"/>
        </w:rPr>
        <w:t>乙方为甲方提供：</w:t>
      </w:r>
      <w:r>
        <w:rPr>
          <w:rFonts w:hint="eastAsia" w:ascii="宋体" w:hAnsi="宋体" w:eastAsia="宋体" w:cs="宋体"/>
          <w:sz w:val="24"/>
          <w:szCs w:val="24"/>
          <w:u w:val="single"/>
          <w:lang w:val="en-US" w:eastAsia="zh-CN"/>
        </w:rPr>
        <w:t xml:space="preserve">               </w:t>
      </w:r>
    </w:p>
    <w:p w14:paraId="3376E859">
      <w:pPr>
        <w:numPr>
          <w:ilvl w:val="0"/>
          <w:numId w:val="0"/>
        </w:num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、服务要求与约束</w:t>
      </w:r>
    </w:p>
    <w:p w14:paraId="40DF0258">
      <w:pPr>
        <w:pStyle w:val="5"/>
        <w:numPr>
          <w:ilvl w:val="0"/>
          <w:numId w:val="0"/>
        </w:numPr>
        <w:rPr>
          <w:rFonts w:hint="default" w:ascii="宋体" w:hAnsi="宋体" w:eastAsia="宋体" w:cs="宋体"/>
          <w:kern w:val="2"/>
          <w:sz w:val="24"/>
          <w:szCs w:val="24"/>
          <w:lang w:val="en-US" w:eastAsia="zh-CN" w:bidi="ar-SA"/>
        </w:rPr>
      </w:pPr>
      <w:r>
        <w:rPr>
          <w:rFonts w:hint="eastAsia"/>
          <w:lang w:val="en-US" w:eastAsia="zh-CN"/>
        </w:rPr>
        <w:t xml:space="preserve">           </w:t>
      </w:r>
      <w:r>
        <w:rPr>
          <w:rFonts w:hint="eastAsia" w:ascii="宋体" w:hAnsi="宋体" w:eastAsia="宋体" w:cs="宋体"/>
          <w:kern w:val="2"/>
          <w:sz w:val="24"/>
          <w:szCs w:val="24"/>
          <w:lang w:val="en-US" w:eastAsia="zh-CN" w:bidi="ar-SA"/>
        </w:rPr>
        <w:t>另行约定</w:t>
      </w:r>
    </w:p>
    <w:p w14:paraId="65D3F77D">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五、费用及付款方式</w:t>
      </w:r>
    </w:p>
    <w:p w14:paraId="7A9544E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合同价款</w:t>
      </w:r>
    </w:p>
    <w:p w14:paraId="70921EB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金额（大写）：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元（人民币）</w:t>
      </w:r>
      <w:r>
        <w:rPr>
          <w:rFonts w:hint="eastAsia" w:ascii="宋体" w:hAnsi="宋体" w:eastAsia="宋体" w:cs="宋体"/>
          <w:sz w:val="24"/>
          <w:szCs w:val="24"/>
          <w:lang w:val="en-US" w:eastAsia="zh-CN"/>
        </w:rPr>
        <w:t>¥</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元（注：合同总价包括：完成本项目所有费用。合同总价一次包死，不受市场价变化的影响。）</w:t>
      </w:r>
    </w:p>
    <w:p w14:paraId="436CD8F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资金支付条件及时间：</w:t>
      </w:r>
    </w:p>
    <w:p w14:paraId="575F52C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预付款40%，项目完成所有资料递交采购人，采购人验收合格之后支付剩余额60%。（根据 陕西省财政厅关于进一步落实政府采购支持中小企业相关政策的通知 陕财办采〔2023〕3号 第三项第三条政策）</w:t>
      </w:r>
    </w:p>
    <w:p w14:paraId="122F566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结算方式：银行转账。</w:t>
      </w:r>
    </w:p>
    <w:p w14:paraId="1989B63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结算单位：由甲方负责结算，乙方开具合同总价数的全额发票交采购人。</w:t>
      </w:r>
    </w:p>
    <w:p w14:paraId="02CE7917">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六、甲方的权利义务</w:t>
      </w:r>
    </w:p>
    <w:p w14:paraId="09129E5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31A1094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14:paraId="3C0C1B0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14:paraId="3C6B9D1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14:paraId="2137D16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5.国家法律、法规所规定由甲方承担的其它责任。</w:t>
      </w:r>
    </w:p>
    <w:p w14:paraId="2CA1A5D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七、乙方权利和义务</w:t>
      </w:r>
    </w:p>
    <w:p w14:paraId="6DD251C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7CCB1D3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w:t>
      </w:r>
    </w:p>
    <w:p w14:paraId="3D411B4E">
      <w:pPr>
        <w:spacing w:line="360" w:lineRule="auto"/>
        <w:rPr>
          <w:rFonts w:hint="eastAsia" w:ascii="宋体" w:hAnsi="宋体" w:eastAsia="宋体" w:cs="宋体"/>
          <w:sz w:val="24"/>
          <w:szCs w:val="24"/>
        </w:rPr>
      </w:pPr>
      <w:r>
        <w:rPr>
          <w:rFonts w:hint="eastAsia" w:ascii="宋体" w:hAnsi="宋体" w:eastAsia="宋体" w:cs="宋体"/>
          <w:sz w:val="24"/>
          <w:szCs w:val="24"/>
        </w:rPr>
        <w:t>管理及合理使用。</w:t>
      </w:r>
    </w:p>
    <w:p w14:paraId="6E9DAB2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2A1BF9A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54062E9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55FBD08E">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八、保密责任</w:t>
      </w:r>
    </w:p>
    <w:p w14:paraId="1F8C9BE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未经对方许可，任何一方不得向第三方（有关法律、法规、政府部门、证券交易所或其他监管机构要求和双方的法律、会计、商业及其他顾问、雇员除外）泄露本合同的条款的任何内容以及本合同的签订及履行情况，以及通过签订和履行本合同而获知的对方及对方关联公司的任何信息。否则，甲乙双方都有权利向对方请求损失赔偿，并依法追究法律责任。</w:t>
      </w:r>
    </w:p>
    <w:p w14:paraId="5392C8A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2、本合同有效期内及终止后，本保密条款仍具有法律效力。</w:t>
      </w:r>
    </w:p>
    <w:p w14:paraId="6E1B87EF">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九、不可抗力</w:t>
      </w:r>
    </w:p>
    <w:p w14:paraId="1DC729B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不可抗力”是指合同双方不能合理控制、不可预见或即使预见亦无法避免的事件，该事件妨碍、影响或延误任何一方根据合同履行其全部或部分义务。该事件包括但不限于政府行为、自然灾害、战争、电脑病毒、黑客攻击、网络故障、带宽或其他网络设备或技术提供商的服务延迟、服务故障或任何其它类似事件。出现不可抗力事件时，知情方应及时、充分地向对方以书面形式发通知，并告知对方该类事件对本合同可能产生的影响，并应当在合理期限内提供相关证明。由于以上所述不可抗力事件致使合同的部分或全部不能履行或延迟履行，则双方于彼此间不承担任何违约责任。</w:t>
      </w:r>
    </w:p>
    <w:p w14:paraId="499C02B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2、一方违约后发生不可抗力的，不能免责。</w:t>
      </w:r>
    </w:p>
    <w:p w14:paraId="05450A06">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十、合同的变更、解除及违约处理</w:t>
      </w:r>
    </w:p>
    <w:p w14:paraId="7A46161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合同所订一切条款，甲、乙任何一方不得擅自变更或修改，本合同如有未尽事宜或对本合同的任何修正、更改或增删需由甲乙双方协商另订补充合同，补充合同经双方授权代表签字或盖章后方可发生效力并与本合同有同等效力。</w:t>
      </w:r>
    </w:p>
    <w:p w14:paraId="3DCFA4B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2、如一方违反本合同中所规定的义务，违约方在收到守约方要求纠正其违约行为的书面通知之日，应立即停止其违约行为，违约方向守约方承担本合同服务费金额 10%违约金，并在三十(30)日内赔偿守约方因此受到的所有损失。如违约方继续进行违约行为或不履行其义务，守约方除就其包括但不限于直接损失、间接损失、可得利益损失、甲方对第三方的赔偿、诉讼费、律师费、调查取证费、差旅费等因乙方违约所发生的全部费用外，亦有权提前终止本合同。</w:t>
      </w:r>
    </w:p>
    <w:p w14:paraId="146EA17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3、本合同期间，如甲方逾期七(7)日未向乙方支付到期款项，经乙方合理催告后，甲方仍拒绝支付的，乙方可经书面通知甲方而终止本合同。</w:t>
      </w:r>
    </w:p>
    <w:p w14:paraId="799B864A">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十一、反商业贿赂协议</w:t>
      </w:r>
    </w:p>
    <w:p w14:paraId="589CC2D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反商业贿赂条款是本合同必备条款，请与甲方签署合同之当事人认真阅读本条款，同意与甲方签订并遵守如下反商业贿赂条款：</w:t>
      </w:r>
    </w:p>
    <w:p w14:paraId="2E76B7F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1、甲乙双方都清楚并愿意严格遵守中华人民共和国反商业贿赂的法律规定，双方都清楚任何形式的贿赂和贪渎行为都将触犯法律，并将受到法律的严惩。</w:t>
      </w:r>
    </w:p>
    <w:p w14:paraId="1D98F1E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甲方或乙方均不得向对方或对方经办人或其他相关人员索要、收受、提供、给予合同约定外的任何利益，包括但不限于明扣、暗扣、现金、购物卡、实物、有价证券、旅游或其他非物质性利益等，但如该等利益属于行业惯例或通常做法，则须在合同中明示。</w:t>
      </w:r>
    </w:p>
    <w:p w14:paraId="049CA81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3、甲方严格禁止甲方经办人员的任何商业贿赂行为。甲方经办人发生本条第2 款所列示的任何一种行为，都视为违反甲方公司制度，将受到甲方公司制度和国家法律的惩处。</w:t>
      </w:r>
    </w:p>
    <w:p w14:paraId="74429B0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若乙方贿赂甲方任何员工，以图获取任何不正当商业利益或更特殊的商业待遇或不配合甲方查处其员工的受贿行为的，构成检察机关或公安机关立案查处的，甲方有权停止与乙方的一切合作，并依法对乙方采取诸如冻结所有应付账款的措施，或扣留总款项的 30%作为乙方的违约金。</w:t>
      </w:r>
    </w:p>
    <w:p w14:paraId="2DC1B7E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5、本条所称“其他相关人员”是指甲乙方经办人以外的与合同有直接或间接利益关系的人员，包括但不仅限于合同经办人的配偶、子女、亲属。</w:t>
      </w:r>
    </w:p>
    <w:p w14:paraId="57154E85">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十二、争议解决</w:t>
      </w:r>
    </w:p>
    <w:p w14:paraId="3053E86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1、本合同的生效、解释、执行、管辖、争议的解决均适用中华人民共和国法律。</w:t>
      </w:r>
    </w:p>
    <w:p w14:paraId="036A401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2、因本合同引起的或与本合同有关的任何争议，甲乙双方可友好协商解决；协商不成，任何一方有权向甲方住所地人民法院提起诉讼。</w:t>
      </w:r>
    </w:p>
    <w:p w14:paraId="78554BEA">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十三、生效</w:t>
      </w:r>
    </w:p>
    <w:p w14:paraId="4A7A5D8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1、本合同经双方授权代表签字并加盖公章或直接加盖公章/合同专用章后生效。</w:t>
      </w:r>
    </w:p>
    <w:p w14:paraId="5282A518">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2、本合同一式</w:t>
      </w:r>
      <w:r>
        <w:rPr>
          <w:rFonts w:hint="eastAsia" w:ascii="宋体" w:hAnsi="宋体" w:cs="宋体"/>
          <w:sz w:val="24"/>
          <w:szCs w:val="24"/>
          <w:lang w:val="en-US" w:eastAsia="zh-CN"/>
        </w:rPr>
        <w:t>肆</w:t>
      </w:r>
      <w:r>
        <w:rPr>
          <w:rFonts w:hint="eastAsia" w:ascii="宋体" w:hAnsi="宋体" w:eastAsia="宋体" w:cs="宋体"/>
          <w:sz w:val="24"/>
          <w:szCs w:val="24"/>
        </w:rPr>
        <w:t>份，甲方持</w:t>
      </w:r>
      <w:r>
        <w:rPr>
          <w:rFonts w:hint="eastAsia" w:ascii="宋体" w:hAnsi="宋体" w:cs="宋体"/>
          <w:sz w:val="24"/>
          <w:szCs w:val="24"/>
          <w:lang w:val="en-US" w:eastAsia="zh-CN"/>
        </w:rPr>
        <w:t>贰</w:t>
      </w:r>
      <w:r>
        <w:rPr>
          <w:rFonts w:hint="eastAsia" w:ascii="宋体" w:hAnsi="宋体" w:eastAsia="宋体" w:cs="宋体"/>
          <w:sz w:val="24"/>
          <w:szCs w:val="24"/>
        </w:rPr>
        <w:t>份，乙方持贰份。本合同</w:t>
      </w:r>
      <w:bookmarkStart w:id="0" w:name="_GoBack"/>
      <w:bookmarkEnd w:id="0"/>
      <w:r>
        <w:rPr>
          <w:rFonts w:hint="eastAsia" w:ascii="宋体" w:hAnsi="宋体" w:eastAsia="宋体" w:cs="宋体"/>
          <w:sz w:val="24"/>
          <w:szCs w:val="24"/>
        </w:rPr>
        <w:t>的相关附件均为本合同不可分割的一部分，具有与合同正文同等的法律效力</w:t>
      </w:r>
      <w:r>
        <w:rPr>
          <w:rFonts w:hint="eastAsia" w:ascii="宋体" w:hAnsi="宋体" w:eastAsia="宋体" w:cs="宋体"/>
          <w:sz w:val="24"/>
          <w:szCs w:val="24"/>
          <w:lang w:eastAsia="zh-CN"/>
        </w:rPr>
        <w:t>。</w:t>
      </w:r>
    </w:p>
    <w:p w14:paraId="67F5BF1F">
      <w:pPr>
        <w:spacing w:line="360" w:lineRule="auto"/>
        <w:ind w:firstLine="480" w:firstLineChars="200"/>
        <w:rPr>
          <w:rFonts w:hint="eastAsia" w:ascii="宋体" w:hAnsi="宋体" w:eastAsia="宋体" w:cs="宋体"/>
          <w:sz w:val="24"/>
          <w:szCs w:val="24"/>
        </w:rPr>
      </w:pPr>
    </w:p>
    <w:tbl>
      <w:tblPr>
        <w:tblStyle w:val="6"/>
        <w:tblW w:w="0" w:type="auto"/>
        <w:jc w:val="center"/>
        <w:tblLayout w:type="fixed"/>
        <w:tblCellMar>
          <w:top w:w="0" w:type="dxa"/>
          <w:left w:w="108" w:type="dxa"/>
          <w:bottom w:w="0" w:type="dxa"/>
          <w:right w:w="108" w:type="dxa"/>
        </w:tblCellMar>
      </w:tblPr>
      <w:tblGrid>
        <w:gridCol w:w="4201"/>
        <w:gridCol w:w="4202"/>
      </w:tblGrid>
      <w:tr w14:paraId="3FA09A18">
        <w:tblPrEx>
          <w:tblCellMar>
            <w:top w:w="0" w:type="dxa"/>
            <w:left w:w="108" w:type="dxa"/>
            <w:bottom w:w="0" w:type="dxa"/>
            <w:right w:w="108" w:type="dxa"/>
          </w:tblCellMar>
        </w:tblPrEx>
        <w:trPr>
          <w:trHeight w:val="680" w:hRule="exact"/>
          <w:jc w:val="center"/>
        </w:trPr>
        <w:tc>
          <w:tcPr>
            <w:tcW w:w="4201" w:type="dxa"/>
            <w:noWrap w:val="0"/>
            <w:vAlign w:val="center"/>
          </w:tcPr>
          <w:p w14:paraId="6CDCFAAE">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甲  方</w:t>
            </w:r>
          </w:p>
        </w:tc>
        <w:tc>
          <w:tcPr>
            <w:tcW w:w="4202" w:type="dxa"/>
            <w:noWrap w:val="0"/>
            <w:vAlign w:val="center"/>
          </w:tcPr>
          <w:p w14:paraId="5001A1EF">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乙  方</w:t>
            </w:r>
          </w:p>
        </w:tc>
      </w:tr>
      <w:tr w14:paraId="412960D2">
        <w:tblPrEx>
          <w:tblCellMar>
            <w:top w:w="0" w:type="dxa"/>
            <w:left w:w="108" w:type="dxa"/>
            <w:bottom w:w="0" w:type="dxa"/>
            <w:right w:w="108" w:type="dxa"/>
          </w:tblCellMar>
        </w:tblPrEx>
        <w:trPr>
          <w:trHeight w:val="680" w:hRule="exact"/>
          <w:jc w:val="center"/>
        </w:trPr>
        <w:tc>
          <w:tcPr>
            <w:tcW w:w="4201" w:type="dxa"/>
            <w:noWrap w:val="0"/>
            <w:vAlign w:val="center"/>
          </w:tcPr>
          <w:p w14:paraId="5886F5BE">
            <w:pPr>
              <w:autoSpaceDE w:val="0"/>
              <w:autoSpaceDN w:val="0"/>
              <w:adjustRightInd w:val="0"/>
              <w:ind w:firstLine="595" w:firstLineChars="350"/>
              <w:rPr>
                <w:rFonts w:hAnsi="宋体" w:cs="宋体"/>
                <w:color w:val="auto"/>
                <w:spacing w:val="-20"/>
                <w:szCs w:val="24"/>
                <w:highlight w:val="none"/>
              </w:rPr>
            </w:pPr>
            <w:r>
              <w:rPr>
                <w:rFonts w:hint="eastAsia" w:hAnsi="宋体" w:cs="宋体"/>
                <w:color w:val="auto"/>
                <w:spacing w:val="-20"/>
                <w:szCs w:val="24"/>
                <w:highlight w:val="none"/>
              </w:rPr>
              <w:t>（盖章）</w:t>
            </w:r>
          </w:p>
        </w:tc>
        <w:tc>
          <w:tcPr>
            <w:tcW w:w="4202" w:type="dxa"/>
            <w:noWrap w:val="0"/>
            <w:vAlign w:val="center"/>
          </w:tcPr>
          <w:p w14:paraId="5610E4EC">
            <w:pPr>
              <w:autoSpaceDE w:val="0"/>
              <w:autoSpaceDN w:val="0"/>
              <w:adjustRightInd w:val="0"/>
              <w:ind w:firstLine="680" w:firstLineChars="400"/>
              <w:rPr>
                <w:rFonts w:hAnsi="宋体" w:cs="宋体"/>
                <w:color w:val="auto"/>
                <w:spacing w:val="-20"/>
                <w:szCs w:val="24"/>
                <w:highlight w:val="none"/>
              </w:rPr>
            </w:pPr>
            <w:r>
              <w:rPr>
                <w:rFonts w:hint="eastAsia" w:hAnsi="宋体" w:cs="宋体"/>
                <w:color w:val="auto"/>
                <w:spacing w:val="-20"/>
                <w:szCs w:val="24"/>
                <w:highlight w:val="none"/>
              </w:rPr>
              <w:t>（盖章）</w:t>
            </w:r>
          </w:p>
        </w:tc>
      </w:tr>
      <w:tr w14:paraId="171CEB3B">
        <w:tblPrEx>
          <w:tblCellMar>
            <w:top w:w="0" w:type="dxa"/>
            <w:left w:w="108" w:type="dxa"/>
            <w:bottom w:w="0" w:type="dxa"/>
            <w:right w:w="108" w:type="dxa"/>
          </w:tblCellMar>
        </w:tblPrEx>
        <w:trPr>
          <w:trHeight w:val="680" w:hRule="exact"/>
          <w:jc w:val="center"/>
        </w:trPr>
        <w:tc>
          <w:tcPr>
            <w:tcW w:w="4201" w:type="dxa"/>
            <w:noWrap w:val="0"/>
            <w:vAlign w:val="center"/>
          </w:tcPr>
          <w:p w14:paraId="59074CB6">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 xml:space="preserve">地址： </w:t>
            </w:r>
          </w:p>
        </w:tc>
        <w:tc>
          <w:tcPr>
            <w:tcW w:w="4202" w:type="dxa"/>
            <w:noWrap w:val="0"/>
            <w:vAlign w:val="center"/>
          </w:tcPr>
          <w:p w14:paraId="09244050">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地址：</w:t>
            </w:r>
          </w:p>
        </w:tc>
      </w:tr>
      <w:tr w14:paraId="6DFCB4B6">
        <w:tblPrEx>
          <w:tblCellMar>
            <w:top w:w="0" w:type="dxa"/>
            <w:left w:w="108" w:type="dxa"/>
            <w:bottom w:w="0" w:type="dxa"/>
            <w:right w:w="108" w:type="dxa"/>
          </w:tblCellMar>
        </w:tblPrEx>
        <w:trPr>
          <w:trHeight w:val="680" w:hRule="exact"/>
          <w:jc w:val="center"/>
        </w:trPr>
        <w:tc>
          <w:tcPr>
            <w:tcW w:w="4201" w:type="dxa"/>
            <w:noWrap w:val="0"/>
            <w:vAlign w:val="center"/>
          </w:tcPr>
          <w:p w14:paraId="71881E42">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邮编：</w:t>
            </w:r>
          </w:p>
        </w:tc>
        <w:tc>
          <w:tcPr>
            <w:tcW w:w="4202" w:type="dxa"/>
            <w:noWrap w:val="0"/>
            <w:vAlign w:val="center"/>
          </w:tcPr>
          <w:p w14:paraId="2245A1E9">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邮编：</w:t>
            </w:r>
          </w:p>
        </w:tc>
      </w:tr>
      <w:tr w14:paraId="074BE4E2">
        <w:tblPrEx>
          <w:tblCellMar>
            <w:top w:w="0" w:type="dxa"/>
            <w:left w:w="108" w:type="dxa"/>
            <w:bottom w:w="0" w:type="dxa"/>
            <w:right w:w="108" w:type="dxa"/>
          </w:tblCellMar>
        </w:tblPrEx>
        <w:trPr>
          <w:trHeight w:val="680" w:hRule="exact"/>
          <w:jc w:val="center"/>
        </w:trPr>
        <w:tc>
          <w:tcPr>
            <w:tcW w:w="4201" w:type="dxa"/>
            <w:noWrap w:val="0"/>
            <w:vAlign w:val="center"/>
          </w:tcPr>
          <w:p w14:paraId="37707FC4">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 xml:space="preserve">法定代表人： </w:t>
            </w:r>
          </w:p>
        </w:tc>
        <w:tc>
          <w:tcPr>
            <w:tcW w:w="4202" w:type="dxa"/>
            <w:noWrap w:val="0"/>
            <w:vAlign w:val="center"/>
          </w:tcPr>
          <w:p w14:paraId="7E9467CE">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法定代表人：</w:t>
            </w:r>
          </w:p>
        </w:tc>
      </w:tr>
      <w:tr w14:paraId="1BDD71EE">
        <w:tblPrEx>
          <w:tblCellMar>
            <w:top w:w="0" w:type="dxa"/>
            <w:left w:w="108" w:type="dxa"/>
            <w:bottom w:w="0" w:type="dxa"/>
            <w:right w:w="108" w:type="dxa"/>
          </w:tblCellMar>
        </w:tblPrEx>
        <w:trPr>
          <w:trHeight w:val="680" w:hRule="exact"/>
          <w:jc w:val="center"/>
        </w:trPr>
        <w:tc>
          <w:tcPr>
            <w:tcW w:w="4201" w:type="dxa"/>
            <w:noWrap w:val="0"/>
            <w:vAlign w:val="center"/>
          </w:tcPr>
          <w:p w14:paraId="4A0B88EE">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授权代表：</w:t>
            </w:r>
          </w:p>
        </w:tc>
        <w:tc>
          <w:tcPr>
            <w:tcW w:w="4202" w:type="dxa"/>
            <w:noWrap w:val="0"/>
            <w:vAlign w:val="center"/>
          </w:tcPr>
          <w:p w14:paraId="022199CF">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授权代表：</w:t>
            </w:r>
          </w:p>
        </w:tc>
      </w:tr>
      <w:tr w14:paraId="150266FB">
        <w:tblPrEx>
          <w:tblCellMar>
            <w:top w:w="0" w:type="dxa"/>
            <w:left w:w="108" w:type="dxa"/>
            <w:bottom w:w="0" w:type="dxa"/>
            <w:right w:w="108" w:type="dxa"/>
          </w:tblCellMar>
        </w:tblPrEx>
        <w:trPr>
          <w:trHeight w:val="680" w:hRule="exact"/>
          <w:jc w:val="center"/>
        </w:trPr>
        <w:tc>
          <w:tcPr>
            <w:tcW w:w="4201" w:type="dxa"/>
            <w:noWrap w:val="0"/>
            <w:vAlign w:val="center"/>
          </w:tcPr>
          <w:p w14:paraId="707625C8">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电话：</w:t>
            </w:r>
          </w:p>
        </w:tc>
        <w:tc>
          <w:tcPr>
            <w:tcW w:w="4202" w:type="dxa"/>
            <w:noWrap w:val="0"/>
            <w:vAlign w:val="center"/>
          </w:tcPr>
          <w:p w14:paraId="5E1E7264">
            <w:pPr>
              <w:autoSpaceDE w:val="0"/>
              <w:autoSpaceDN w:val="0"/>
              <w:adjustRightInd w:val="0"/>
              <w:ind w:left="600" w:hanging="510" w:hangingChars="300"/>
              <w:rPr>
                <w:rFonts w:hAnsi="宋体" w:cs="宋体"/>
                <w:color w:val="auto"/>
                <w:spacing w:val="-20"/>
                <w:szCs w:val="24"/>
                <w:highlight w:val="none"/>
              </w:rPr>
            </w:pPr>
            <w:r>
              <w:rPr>
                <w:rFonts w:hint="eastAsia" w:hAnsi="宋体" w:cs="宋体"/>
                <w:color w:val="auto"/>
                <w:spacing w:val="-20"/>
                <w:szCs w:val="24"/>
                <w:highlight w:val="none"/>
              </w:rPr>
              <w:t>电话：</w:t>
            </w:r>
          </w:p>
        </w:tc>
      </w:tr>
      <w:tr w14:paraId="6B8A1B18">
        <w:tblPrEx>
          <w:tblCellMar>
            <w:top w:w="0" w:type="dxa"/>
            <w:left w:w="108" w:type="dxa"/>
            <w:bottom w:w="0" w:type="dxa"/>
            <w:right w:w="108" w:type="dxa"/>
          </w:tblCellMar>
        </w:tblPrEx>
        <w:trPr>
          <w:trHeight w:val="680" w:hRule="exact"/>
          <w:jc w:val="center"/>
        </w:trPr>
        <w:tc>
          <w:tcPr>
            <w:tcW w:w="4201" w:type="dxa"/>
            <w:noWrap w:val="0"/>
            <w:vAlign w:val="center"/>
          </w:tcPr>
          <w:p w14:paraId="65476076">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传真：</w:t>
            </w:r>
          </w:p>
        </w:tc>
        <w:tc>
          <w:tcPr>
            <w:tcW w:w="4202" w:type="dxa"/>
            <w:noWrap w:val="0"/>
            <w:vAlign w:val="center"/>
          </w:tcPr>
          <w:p w14:paraId="5C8044B1">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传真：</w:t>
            </w:r>
          </w:p>
        </w:tc>
      </w:tr>
      <w:tr w14:paraId="6DDC54BB">
        <w:tblPrEx>
          <w:tblCellMar>
            <w:top w:w="0" w:type="dxa"/>
            <w:left w:w="108" w:type="dxa"/>
            <w:bottom w:w="0" w:type="dxa"/>
            <w:right w:w="108" w:type="dxa"/>
          </w:tblCellMar>
        </w:tblPrEx>
        <w:trPr>
          <w:trHeight w:val="680" w:hRule="exact"/>
          <w:jc w:val="center"/>
        </w:trPr>
        <w:tc>
          <w:tcPr>
            <w:tcW w:w="4201" w:type="dxa"/>
            <w:noWrap w:val="0"/>
            <w:vAlign w:val="center"/>
          </w:tcPr>
          <w:p w14:paraId="6ED3D118">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开户银行：</w:t>
            </w:r>
          </w:p>
        </w:tc>
        <w:tc>
          <w:tcPr>
            <w:tcW w:w="4202" w:type="dxa"/>
            <w:noWrap w:val="0"/>
            <w:vAlign w:val="center"/>
          </w:tcPr>
          <w:p w14:paraId="46FE082B">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开户银行：</w:t>
            </w:r>
          </w:p>
        </w:tc>
      </w:tr>
      <w:tr w14:paraId="3B4025FA">
        <w:tblPrEx>
          <w:tblCellMar>
            <w:top w:w="0" w:type="dxa"/>
            <w:left w:w="108" w:type="dxa"/>
            <w:bottom w:w="0" w:type="dxa"/>
            <w:right w:w="108" w:type="dxa"/>
          </w:tblCellMar>
        </w:tblPrEx>
        <w:trPr>
          <w:trHeight w:val="680" w:hRule="exact"/>
          <w:jc w:val="center"/>
        </w:trPr>
        <w:tc>
          <w:tcPr>
            <w:tcW w:w="4201" w:type="dxa"/>
            <w:noWrap w:val="0"/>
            <w:vAlign w:val="center"/>
          </w:tcPr>
          <w:p w14:paraId="7DE58BD5">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日期：</w:t>
            </w:r>
          </w:p>
        </w:tc>
        <w:tc>
          <w:tcPr>
            <w:tcW w:w="4202" w:type="dxa"/>
            <w:noWrap w:val="0"/>
            <w:vAlign w:val="center"/>
          </w:tcPr>
          <w:p w14:paraId="7C4F86C8">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日期：</w:t>
            </w:r>
          </w:p>
        </w:tc>
      </w:tr>
    </w:tbl>
    <w:p w14:paraId="1A29B28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2NjllYmY1Njc2ODM3YWZiNTk3NDE5MDA4MzkzZTEifQ=="/>
  </w:docVars>
  <w:rsids>
    <w:rsidRoot w:val="755F1D5F"/>
    <w:rsid w:val="755F1D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spacing w:line="240" w:lineRule="auto"/>
      <w:ind w:firstLine="420" w:firstLineChars="100"/>
    </w:pPr>
    <w:rPr>
      <w:rFonts w:ascii="Times New Roman" w:hAnsi="Times New Roman" w:eastAsia="宋体" w:cs="Times New Roman"/>
      <w:color w:val="auto"/>
      <w:sz w:val="18"/>
      <w:szCs w:val="18"/>
    </w:rPr>
  </w:style>
  <w:style w:type="paragraph" w:styleId="3">
    <w:name w:val="Body Text"/>
    <w:basedOn w:val="1"/>
    <w:next w:val="1"/>
    <w:uiPriority w:val="0"/>
    <w:rPr>
      <w:color w:val="993300"/>
      <w:sz w:val="24"/>
    </w:rPr>
  </w:style>
  <w:style w:type="paragraph" w:styleId="5">
    <w:name w:val="footer"/>
    <w:basedOn w:val="1"/>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2024-10-31T03:18:00Z</dcterms:created>
  <dc:creator>宝贝</dc:creator>
  <cp:lastModifiedBy>宝贝</cp:lastModifiedBy>
  <dcterms:modified xsi:type="dcterms:W3CDTF">2024-10-31T03:20:08Z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301445880D804213A5B56BD939C963D9_11</vt:lpwstr>
  </property>
</Properties>
</file>