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版本号：PLRH2025-GP-020F20250410001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莲湖区城市体检报告编制项目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PLRH2025-GP-020F</w:t>
      </w:r>
      <w:r>
        <w:br/>
      </w:r>
      <w:r>
        <w:br/>
      </w:r>
      <w:r>
        <w:br/>
      </w:r>
    </w:p>
    <w:p>
      <w:pPr>
        <w:pStyle w:val="null3"/>
        <w:jc w:val="center"/>
        <w:outlineLvl w:val="2"/>
      </w:pPr>
      <w:r>
        <w:rPr>
          <w:rFonts w:ascii="仿宋_GB2312" w:hAnsi="仿宋_GB2312" w:cs="仿宋_GB2312" w:eastAsia="仿宋_GB2312"/>
          <w:sz w:val="28"/>
          <w:b/>
        </w:rPr>
        <w:t>西安市莲湖区住房和城市建设局</w:t>
      </w:r>
    </w:p>
    <w:p>
      <w:pPr>
        <w:pStyle w:val="null3"/>
        <w:jc w:val="center"/>
        <w:outlineLvl w:val="2"/>
      </w:pPr>
      <w:r>
        <w:rPr>
          <w:rFonts w:ascii="仿宋_GB2312" w:hAnsi="仿宋_GB2312" w:cs="仿宋_GB2312" w:eastAsia="仿宋_GB2312"/>
          <w:sz w:val="28"/>
          <w:b/>
        </w:rPr>
        <w:t>鹏领睿恒（陕西）项目管理有限公司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2025年04月11日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鹏领睿恒（陕西）项目管理有限公司</w:t>
      </w:r>
      <w:r>
        <w:rPr>
          <w:rFonts w:ascii="仿宋_GB2312" w:hAnsi="仿宋_GB2312" w:cs="仿宋_GB2312" w:eastAsia="仿宋_GB2312"/>
        </w:rPr>
        <w:t>（以下简称“代理机构”）受</w:t>
      </w:r>
      <w:r>
        <w:rPr>
          <w:rFonts w:ascii="仿宋_GB2312" w:hAnsi="仿宋_GB2312" w:cs="仿宋_GB2312" w:eastAsia="仿宋_GB2312"/>
        </w:rPr>
        <w:t>西安市莲湖区住房和城市建设局</w:t>
      </w:r>
      <w:r>
        <w:rPr>
          <w:rFonts w:ascii="仿宋_GB2312" w:hAnsi="仿宋_GB2312" w:cs="仿宋_GB2312" w:eastAsia="仿宋_GB2312"/>
        </w:rPr>
        <w:t>委托，拟对</w:t>
      </w:r>
      <w:r>
        <w:rPr>
          <w:rFonts w:ascii="仿宋_GB2312" w:hAnsi="仿宋_GB2312" w:cs="仿宋_GB2312" w:eastAsia="仿宋_GB2312"/>
        </w:rPr>
        <w:t>莲湖区城市体检报告编制项目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PLRH2025-GP-020F</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莲湖区城市体检报告编制项目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按照住建部、省住房城乡建设厅、市住建局等要求，通过城市体检基础指标以及特色指标开展数据采集、社会问卷调查、分维度查找问题短板。按照要求三年实现住房维度数据全覆盖，分级分类形成问题清单和整治建议，精准生成城市更新项目清单，科学评估形成莲湖区2024年、2025年、2026年城市体检报告，完成国、省、市要求的城市体检相关工作，提供城市体检相关政策咨询技术服务，加快莲湖区建设高质量、千亿级国家中心城市典范城区，构建“丝路新风烟火色•活力幸福新莲湖”。</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采购包1（莲湖区城市体检报告编制项目）：属于专门面向中小企业采购。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1、营业执照等主体资格证明文件：具有独立承担民事责任的法人、其他组织或自然人，并出具合法有效的营业执照或事业单位法人证书等国家规定的相关证明，自然人参与的提供其身份证明；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2023年度的经审计的财务会计报告（成立时间至提交磋商响应文件截止时间不足一年的可提供成立后任意时段的资产负债表），或其基本存款账户开户银行出具的资信证明及基本存款账户开户许可证（基本账户信息表）；</w:t>
      </w:r>
    </w:p>
    <w:p>
      <w:pPr>
        <w:pStyle w:val="null3"/>
      </w:pPr>
      <w:r>
        <w:rPr>
          <w:rFonts w:ascii="仿宋_GB2312" w:hAnsi="仿宋_GB2312" w:cs="仿宋_GB2312" w:eastAsia="仿宋_GB2312"/>
        </w:rPr>
        <w:t>3、税收缴纳证明：提供2024年8月至今已缴纳的至少一个月的纳税证明或完税证明（任意税种），依法免税的单位应提供相关证明材料；</w:t>
      </w:r>
    </w:p>
    <w:p>
      <w:pPr>
        <w:pStyle w:val="null3"/>
      </w:pPr>
      <w:r>
        <w:rPr>
          <w:rFonts w:ascii="仿宋_GB2312" w:hAnsi="仿宋_GB2312" w:cs="仿宋_GB2312" w:eastAsia="仿宋_GB2312"/>
        </w:rPr>
        <w:t>4、社会保障资金缴纳证明：提供2024年8月至今已缴存的至少一个月的社会保障资金缴存单据或社保机构开具的社会保险参保缴费情况证明，依法不需要缴纳社会保障资金的单位应提供相关证明材料；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5、承诺：提供具有履行合同所必需的设备和专业技术能力的承诺；</w:t>
      </w:r>
    </w:p>
    <w:p>
      <w:pPr>
        <w:pStyle w:val="null3"/>
      </w:pPr>
      <w:r>
        <w:rPr>
          <w:rFonts w:ascii="仿宋_GB2312" w:hAnsi="仿宋_GB2312" w:cs="仿宋_GB2312" w:eastAsia="仿宋_GB2312"/>
        </w:rPr>
        <w:t>6、书面声明：参加政府采购活动前三年内，在经营活动中没有重大违法记录的书面声明；</w:t>
      </w:r>
    </w:p>
    <w:p>
      <w:pPr>
        <w:pStyle w:val="null3"/>
      </w:pPr>
      <w:r>
        <w:rPr>
          <w:rFonts w:ascii="仿宋_GB2312" w:hAnsi="仿宋_GB2312" w:cs="仿宋_GB2312" w:eastAsia="仿宋_GB2312"/>
        </w:rPr>
        <w:t>7、法定代表人授权书/法定代表人身份证明：法定代表人授权书（附法定代表人、被授权人身份证复印件），法定代表人直接参加磋商，须提供法定代表人身份证明；</w:t>
      </w:r>
    </w:p>
    <w:p>
      <w:pPr>
        <w:pStyle w:val="null3"/>
      </w:pPr>
      <w:r>
        <w:rPr>
          <w:rFonts w:ascii="仿宋_GB2312" w:hAnsi="仿宋_GB2312" w:cs="仿宋_GB2312" w:eastAsia="仿宋_GB2312"/>
        </w:rPr>
        <w:t>8、资质要求：供应商具有城乡规划（国土空间规划）编制乙级及以上资质（含乙级）</w:t>
      </w:r>
    </w:p>
    <w:p>
      <w:pPr>
        <w:pStyle w:val="null3"/>
      </w:pPr>
      <w:r>
        <w:rPr>
          <w:rFonts w:ascii="仿宋_GB2312" w:hAnsi="仿宋_GB2312" w:cs="仿宋_GB2312" w:eastAsia="仿宋_GB2312"/>
        </w:rPr>
        <w:t>9、信用记录：供应商不得为“信用中国”网站（www.creditchina.gov.cn）中列入“失信被执行人（中国执行信息公开网http：//zxgk.court.gov.cn/shixin/）”和“重大税收违法失信主体”的供应商，不得为中国政府采购网（www.ccgp.gov.cn）政府采购“严重违法失信行为记录名单”中被财政部门禁止参加政府采购活动的供应商；（信用记录由采购代理机构在响应文件资格审查阶段通过互联网或者相关系统查询，对列入失信被执行人、重大税收违法失信主体、政府采购严重违法失信行为记录名单内的，采购人和采购代理机构将拒绝其参与政府采购活动，查询结果以纸质方式留存。）</w:t>
      </w:r>
    </w:p>
    <w:p>
      <w:pPr>
        <w:pStyle w:val="null3"/>
      </w:pPr>
      <w:r>
        <w:rPr>
          <w:rFonts w:ascii="仿宋_GB2312" w:hAnsi="仿宋_GB2312" w:cs="仿宋_GB2312" w:eastAsia="仿宋_GB2312"/>
        </w:rPr>
        <w:t>10、联合体：本项目不接受联合体磋商；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西安市莲湖区住房和城市建设局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西安市莲湖区红埠街59号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710082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17691160036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鹏领睿恒（陕西）项目管理有限公司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西安市经济技术开发区元鼎路明丰伯马都A座1707室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029-65656686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西安市莲湖区政府采购管理股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高莎莎</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029-87614013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采购包1：1,512,000.00元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参照国家计委颁发的《招标代理服务收费管理暂行办法》（计价格〔2002〕1980号）、国家发展和改革委员会办公厅颁发的《关于招标代理服务收费有关问题的通知》（发改办价格〔2003〕857号）的有关规定执行，不足8000元的，按8000元计取。2.支付方式：成交供应商应在领取通知书的同时，支付本项目代理服务费。收款账户如下：收款单位：鹏领睿恒(陕西)项目管理有限公司；开户银行：招商银行西安枫林绿洲支行； 银行账号：129911262210701。</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西安市莲湖区住房和城市建设局</w:t>
      </w:r>
      <w:r>
        <w:rPr>
          <w:rFonts w:ascii="仿宋_GB2312" w:hAnsi="仿宋_GB2312" w:cs="仿宋_GB2312" w:eastAsia="仿宋_GB2312"/>
        </w:rPr>
        <w:t>和</w:t>
      </w:r>
      <w:r>
        <w:rPr>
          <w:rFonts w:ascii="仿宋_GB2312" w:hAnsi="仿宋_GB2312" w:cs="仿宋_GB2312" w:eastAsia="仿宋_GB2312"/>
        </w:rPr>
        <w:t>鹏领睿恒（陕西）项目管理有限公司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西安市莲湖区住房和城市建设局</w:t>
      </w:r>
      <w:r>
        <w:rPr>
          <w:rFonts w:ascii="仿宋_GB2312" w:hAnsi="仿宋_GB2312" w:cs="仿宋_GB2312" w:eastAsia="仿宋_GB2312"/>
        </w:rPr>
        <w:t>负责解释。除上述磋商文件内容，其他内容由</w:t>
      </w:r>
      <w:r>
        <w:rPr>
          <w:rFonts w:ascii="仿宋_GB2312" w:hAnsi="仿宋_GB2312" w:cs="仿宋_GB2312" w:eastAsia="仿宋_GB2312"/>
        </w:rPr>
        <w:t>鹏领睿恒（陕西）项目管理有限公司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西安市莲湖区住房和城市建设局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鹏领睿恒（陕西）项目管理有限公司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符合国家、行业相关法律法规及采购人需求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鹏领睿恒（陕西）项目管理有限公司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鹏领睿恒（陕西）项目管理有限公司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鹏领睿恒（陕西）项目管理有限公司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联系人：王工</w:t>
      </w:r>
    </w:p>
    <w:p>
      <w:pPr>
        <w:pStyle w:val="null3"/>
      </w:pPr>
      <w:r>
        <w:rPr>
          <w:rFonts w:ascii="仿宋_GB2312" w:hAnsi="仿宋_GB2312" w:cs="仿宋_GB2312" w:eastAsia="仿宋_GB2312"/>
        </w:rPr>
        <w:t>联系电话：029-65656686</w:t>
      </w:r>
    </w:p>
    <w:p>
      <w:pPr>
        <w:pStyle w:val="null3"/>
      </w:pPr>
      <w:r>
        <w:rPr>
          <w:rFonts w:ascii="仿宋_GB2312" w:hAnsi="仿宋_GB2312" w:cs="仿宋_GB2312" w:eastAsia="仿宋_GB2312"/>
        </w:rPr>
        <w:t>地址：西安市经济技术开发区元鼎路明丰伯马都A座1707室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按照住建部、省住房城乡建设厅、市住建局等要求，通过城市体检基础指标以及特色指标开展数据采集、社会问卷调查、分维度查找问题短板。按照要求三年实现住房维度数据全覆盖，分级分类形成问题清单和整治建议，精准生成城市更新项目清单，科学评估形成莲湖区2024年、2025年、2026年城市体检报告，完成国、省、市要求的城市体检相关工作，提供城市体检相关政策咨询技术服务，加快莲湖区建设高质量、千亿级国家中心城市典范城区，构建“丝路新风烟火色•活力幸福新莲湖”。</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1,512,000.00</w:t>
      </w:r>
    </w:p>
    <w:p>
      <w:pPr>
        <w:pStyle w:val="null3"/>
      </w:pPr>
      <w:r>
        <w:rPr>
          <w:rFonts w:ascii="仿宋_GB2312" w:hAnsi="仿宋_GB2312" w:cs="仿宋_GB2312" w:eastAsia="仿宋_GB2312"/>
        </w:rPr>
        <w:t>采购包最高限价（元）: 1,512,000.00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莲湖区城市体检报告编制项目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1,512,000.00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标的名称：莲湖区城市体检报告编制项目</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服务内容</w:t>
            </w:r>
          </w:p>
        </w:tc>
        <w:tc>
          <w:tcPr>
            <w:tcW w:type="dxa" w:w="2076"/>
          </w:tcPr>
          <w:p>
            <w:pPr>
              <w:pStyle w:val="null3"/>
              <w:jc w:val="both"/>
            </w:pPr>
            <w:r>
              <w:rPr>
                <w:rFonts w:ascii="仿宋_GB2312" w:hAnsi="仿宋_GB2312" w:cs="仿宋_GB2312" w:eastAsia="仿宋_GB2312"/>
              </w:rPr>
              <w:t>1.体检范围</w:t>
            </w:r>
          </w:p>
          <w:p>
            <w:pPr>
              <w:pStyle w:val="null3"/>
            </w:pPr>
            <w:r>
              <w:rPr>
                <w:rFonts w:ascii="仿宋_GB2312" w:hAnsi="仿宋_GB2312" w:cs="仿宋_GB2312" w:eastAsia="仿宋_GB2312"/>
              </w:rPr>
              <w:t>本次城市体检范围为莲湖区全域。</w:t>
            </w:r>
          </w:p>
          <w:p>
            <w:pPr>
              <w:pStyle w:val="null3"/>
            </w:pPr>
            <w:r>
              <w:rPr>
                <w:rFonts w:ascii="仿宋_GB2312" w:hAnsi="仿宋_GB2312" w:cs="仿宋_GB2312" w:eastAsia="仿宋_GB2312"/>
              </w:rPr>
              <w:t>2.工作内容</w:t>
            </w:r>
          </w:p>
          <w:p>
            <w:pPr>
              <w:pStyle w:val="null3"/>
            </w:pPr>
            <w:r>
              <w:rPr>
                <w:rFonts w:ascii="仿宋_GB2312" w:hAnsi="仿宋_GB2312" w:cs="仿宋_GB2312" w:eastAsia="仿宋_GB2312"/>
              </w:rPr>
              <w:t>（1）制定工作方案</w:t>
            </w:r>
          </w:p>
          <w:p>
            <w:pPr>
              <w:pStyle w:val="null3"/>
            </w:pPr>
            <w:r>
              <w:rPr>
                <w:rFonts w:ascii="仿宋_GB2312" w:hAnsi="仿宋_GB2312" w:cs="仿宋_GB2312" w:eastAsia="仿宋_GB2312"/>
              </w:rPr>
              <w:t>明确莲湖区城市体检工作总体要求、工作目标、体检范围、工作任务、职责分工等，详细制定工作任务与时间安排。</w:t>
            </w:r>
          </w:p>
          <w:p>
            <w:pPr>
              <w:pStyle w:val="null3"/>
            </w:pPr>
            <w:r>
              <w:rPr>
                <w:rFonts w:ascii="仿宋_GB2312" w:hAnsi="仿宋_GB2312" w:cs="仿宋_GB2312" w:eastAsia="仿宋_GB2312"/>
              </w:rPr>
              <w:t>（2）特色指标体系构建</w:t>
            </w:r>
          </w:p>
          <w:p>
            <w:pPr>
              <w:pStyle w:val="null3"/>
            </w:pPr>
            <w:r>
              <w:rPr>
                <w:rFonts w:ascii="仿宋_GB2312" w:hAnsi="仿宋_GB2312" w:cs="仿宋_GB2312" w:eastAsia="仿宋_GB2312"/>
              </w:rPr>
              <w:t>城市体检指标体系由基础指标和特色指标构成，基础指标为市级制定通用指标，特色指标为自拟指标，在住房、小区（社区）、街区、城区（城市）4个维度81余项城市体检基础指标体系的基础上，结合莲湖区实际研究增加特色指标，并对指标内容进行细化补充，确保指标可评价、数据可获取，能客观、准确找出问题短板，每年度及时调整、优化特色指标，对重点指标进行年度复诊。</w:t>
            </w:r>
          </w:p>
          <w:p>
            <w:pPr>
              <w:pStyle w:val="null3"/>
            </w:pPr>
            <w:r>
              <w:rPr>
                <w:rFonts w:ascii="仿宋_GB2312" w:hAnsi="仿宋_GB2312" w:cs="仿宋_GB2312" w:eastAsia="仿宋_GB2312"/>
              </w:rPr>
              <w:t>（3）指标数据采集及社会调查</w:t>
            </w:r>
          </w:p>
          <w:p>
            <w:pPr>
              <w:pStyle w:val="null3"/>
            </w:pPr>
            <w:r>
              <w:rPr>
                <w:rFonts w:ascii="仿宋_GB2312" w:hAnsi="仿宋_GB2312" w:cs="仿宋_GB2312" w:eastAsia="仿宋_GB2312"/>
              </w:rPr>
              <w:t>制定合理的数据采集方案，组织开展专业培训，进行指标数据采集，明确指标计算所需数据、数据来源和责任部门，包括行业主管部门提供官方统计数据，街道、社区工作人员以及专业技术人员现场调研填报等多源数据，深入开展4个维度的指标数据调查、采集、汇总工作，形成指标数据台账。开展社会调查研究，明确居民问卷、居民提案等调查内容，了解居民身边急难愁盼问题，调查结论同步纳入城市体检报告。</w:t>
            </w:r>
          </w:p>
          <w:p>
            <w:pPr>
              <w:pStyle w:val="null3"/>
            </w:pPr>
            <w:r>
              <w:rPr>
                <w:rFonts w:ascii="仿宋_GB2312" w:hAnsi="仿宋_GB2312" w:cs="仿宋_GB2312" w:eastAsia="仿宋_GB2312"/>
              </w:rPr>
              <w:t>（4）分析诊断并编制城市体检报告</w:t>
            </w:r>
          </w:p>
          <w:p>
            <w:pPr>
              <w:pStyle w:val="null3"/>
            </w:pPr>
            <w:r>
              <w:rPr>
                <w:rFonts w:ascii="仿宋_GB2312" w:hAnsi="仿宋_GB2312" w:cs="仿宋_GB2312" w:eastAsia="仿宋_GB2312"/>
              </w:rPr>
              <w:t>从住房、小区（社区）、街区、城区（城市）4个维度进行详细指标分析评价，对标参考值和体检要求查找具体问题和差距，对部分指标进行空间分布分析评价。结合社会调查结果，综合诊断，按照轻重缓急的原则对体检发现的问题进行系统梳理，形成4个体检维度的问题清单和整治建议清单，提出治理对策和行动建议并形成城市更新重点项目建议清单，为各部门推动城市更新等工作提供依据。同时，对解决上一年度体检发现问题的情况进行评价。最后汇总评价成果，分年度编制完成莲湖区2024年、2025年、2026年城市体检报告。</w:t>
            </w:r>
          </w:p>
        </w:tc>
      </w:tr>
      <w:tr>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2</w:t>
            </w:r>
          </w:p>
        </w:tc>
        <w:tc>
          <w:tcPr>
            <w:tcW w:type="dxa" w:w="2076"/>
          </w:tcPr>
          <w:p>
            <w:pPr>
              <w:pStyle w:val="null3"/>
            </w:pPr>
            <w:r>
              <w:rPr>
                <w:rFonts w:ascii="仿宋_GB2312" w:hAnsi="仿宋_GB2312" w:cs="仿宋_GB2312" w:eastAsia="仿宋_GB2312"/>
              </w:rPr>
              <w:t>技术要求</w:t>
            </w:r>
          </w:p>
        </w:tc>
        <w:tc>
          <w:tcPr>
            <w:tcW w:type="dxa" w:w="2076"/>
          </w:tcPr>
          <w:p>
            <w:pPr>
              <w:pStyle w:val="null3"/>
              <w:jc w:val="both"/>
            </w:pPr>
            <w:r>
              <w:rPr>
                <w:rFonts w:ascii="仿宋_GB2312" w:hAnsi="仿宋_GB2312" w:cs="仿宋_GB2312" w:eastAsia="仿宋_GB2312"/>
              </w:rPr>
              <w:t>1.成果质量要求</w:t>
            </w:r>
          </w:p>
          <w:p>
            <w:pPr>
              <w:pStyle w:val="null3"/>
            </w:pPr>
            <w:r>
              <w:rPr>
                <w:rFonts w:ascii="仿宋_GB2312" w:hAnsi="仿宋_GB2312" w:cs="仿宋_GB2312" w:eastAsia="仿宋_GB2312"/>
              </w:rPr>
              <w:t>服务成果须符合本项目合同规定、采购单位有关要求及国家、省市相关标准、规范。</w:t>
            </w:r>
          </w:p>
          <w:p>
            <w:pPr>
              <w:pStyle w:val="null3"/>
            </w:pPr>
            <w:r>
              <w:rPr>
                <w:rFonts w:ascii="仿宋_GB2312" w:hAnsi="仿宋_GB2312" w:cs="仿宋_GB2312" w:eastAsia="仿宋_GB2312"/>
              </w:rPr>
              <w:t>2.成果交付要求</w:t>
            </w:r>
          </w:p>
          <w:p>
            <w:pPr>
              <w:pStyle w:val="null3"/>
            </w:pPr>
            <w:r>
              <w:rPr>
                <w:rFonts w:ascii="仿宋_GB2312" w:hAnsi="仿宋_GB2312" w:cs="仿宋_GB2312" w:eastAsia="仿宋_GB2312"/>
              </w:rPr>
              <w:t>（1）城市体检报告通过相关部门组织的专家技术评审。</w:t>
            </w:r>
          </w:p>
          <w:p>
            <w:pPr>
              <w:pStyle w:val="null3"/>
            </w:pPr>
            <w:r>
              <w:rPr>
                <w:rFonts w:ascii="仿宋_GB2312" w:hAnsi="仿宋_GB2312" w:cs="仿宋_GB2312" w:eastAsia="仿宋_GB2312"/>
              </w:rPr>
              <w:t>（2）成果包括2024-2026年连续三年的《莲湖区城市体检报告》、数据库及相关汇报材料。文字应装订成册，要求报告4份，A4规格；成果电子文本一份（光盘）；方案汇报PPT一份，采用PowerPoint幻灯方式演示。城市体检数据库成果，格式*.GDB ,以U盘形式提交。</w:t>
            </w:r>
          </w:p>
        </w:tc>
      </w:tr>
      <w:tr>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3</w:t>
            </w:r>
          </w:p>
        </w:tc>
        <w:tc>
          <w:tcPr>
            <w:tcW w:type="dxa" w:w="2076"/>
          </w:tcPr>
          <w:p>
            <w:pPr>
              <w:pStyle w:val="null3"/>
            </w:pPr>
            <w:r>
              <w:rPr>
                <w:rFonts w:ascii="仿宋_GB2312" w:hAnsi="仿宋_GB2312" w:cs="仿宋_GB2312" w:eastAsia="仿宋_GB2312"/>
              </w:rPr>
              <w:t>服务要求</w:t>
            </w:r>
          </w:p>
        </w:tc>
        <w:tc>
          <w:tcPr>
            <w:tcW w:type="dxa" w:w="2076"/>
          </w:tcPr>
          <w:p>
            <w:pPr>
              <w:pStyle w:val="null3"/>
              <w:jc w:val="both"/>
            </w:pPr>
            <w:r>
              <w:rPr>
                <w:rFonts w:ascii="仿宋_GB2312" w:hAnsi="仿宋_GB2312" w:cs="仿宋_GB2312" w:eastAsia="仿宋_GB2312"/>
              </w:rPr>
              <w:t>1.人员配置</w:t>
            </w:r>
          </w:p>
          <w:p>
            <w:pPr>
              <w:pStyle w:val="null3"/>
            </w:pPr>
            <w:r>
              <w:rPr>
                <w:rFonts w:ascii="仿宋_GB2312" w:hAnsi="仿宋_GB2312" w:cs="仿宋_GB2312" w:eastAsia="仿宋_GB2312"/>
              </w:rPr>
              <w:t>服务商须组建项目团队，确定项目负责人，并对项目团队的政治素质和业务素质负责。项目组成员须有较强的组织和协调能力，具有较高的理论素养和分析解决问题的能力。鼓励组成跨领域、跨学科的项目组团队进行城市体检指标分析计算。</w:t>
            </w:r>
          </w:p>
          <w:p>
            <w:pPr>
              <w:pStyle w:val="null3"/>
            </w:pPr>
            <w:r>
              <w:rPr>
                <w:rFonts w:ascii="仿宋_GB2312" w:hAnsi="仿宋_GB2312" w:cs="仿宋_GB2312" w:eastAsia="仿宋_GB2312"/>
              </w:rPr>
              <w:t>2.服务标准</w:t>
            </w:r>
          </w:p>
          <w:p>
            <w:pPr>
              <w:pStyle w:val="null3"/>
            </w:pPr>
            <w:r>
              <w:rPr>
                <w:rFonts w:ascii="仿宋_GB2312" w:hAnsi="仿宋_GB2312" w:cs="仿宋_GB2312" w:eastAsia="仿宋_GB2312"/>
              </w:rPr>
              <w:t>（1）应严格按照国家及地方相关标准规范收集数据，确保数据全面性、准确性、时效性。</w:t>
            </w:r>
          </w:p>
          <w:p>
            <w:pPr>
              <w:pStyle w:val="null3"/>
            </w:pPr>
            <w:r>
              <w:rPr>
                <w:rFonts w:ascii="仿宋_GB2312" w:hAnsi="仿宋_GB2312" w:cs="仿宋_GB2312" w:eastAsia="仿宋_GB2312"/>
              </w:rPr>
              <w:t>（2）报告编制遵循统一格式与标准，术语规范、图表清晰，交付前须经过专家会评审。</w:t>
            </w:r>
          </w:p>
        </w:tc>
      </w:tr>
      <w:tr>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4</w:t>
            </w:r>
          </w:p>
        </w:tc>
        <w:tc>
          <w:tcPr>
            <w:tcW w:type="dxa" w:w="2076"/>
          </w:tcPr>
          <w:p>
            <w:pPr>
              <w:pStyle w:val="null3"/>
            </w:pPr>
            <w:r>
              <w:rPr>
                <w:rFonts w:ascii="仿宋_GB2312" w:hAnsi="仿宋_GB2312" w:cs="仿宋_GB2312" w:eastAsia="仿宋_GB2312"/>
              </w:rPr>
              <w:t>商务要求</w:t>
            </w:r>
          </w:p>
        </w:tc>
        <w:tc>
          <w:tcPr>
            <w:tcW w:type="dxa" w:w="2076"/>
          </w:tcPr>
          <w:p>
            <w:pPr>
              <w:pStyle w:val="null3"/>
              <w:jc w:val="both"/>
            </w:pPr>
            <w:r>
              <w:rPr>
                <w:rFonts w:ascii="仿宋_GB2312" w:hAnsi="仿宋_GB2312" w:cs="仿宋_GB2312" w:eastAsia="仿宋_GB2312"/>
              </w:rPr>
              <w:t>1.服务地点：采购人指定地点。</w:t>
            </w:r>
          </w:p>
          <w:p>
            <w:pPr>
              <w:pStyle w:val="null3"/>
            </w:pPr>
            <w:r>
              <w:rPr>
                <w:rFonts w:ascii="仿宋_GB2312" w:hAnsi="仿宋_GB2312" w:cs="仿宋_GB2312" w:eastAsia="仿宋_GB2312"/>
              </w:rPr>
              <w:t>2.服务期：自签订合同之日起至《莲湖区2026年城市体检报告》通过专家会评审并按要求提交成果止。</w:t>
            </w:r>
          </w:p>
          <w:p>
            <w:pPr>
              <w:pStyle w:val="null3"/>
            </w:pPr>
            <w:r>
              <w:rPr>
                <w:rFonts w:ascii="仿宋_GB2312" w:hAnsi="仿宋_GB2312" w:cs="仿宋_GB2312" w:eastAsia="仿宋_GB2312"/>
              </w:rPr>
              <w:t>3.成交供应商不得将项目转包或分包给第三方。</w:t>
            </w:r>
          </w:p>
          <w:p>
            <w:pPr>
              <w:pStyle w:val="null3"/>
            </w:pPr>
            <w:r>
              <w:rPr>
                <w:rFonts w:ascii="仿宋_GB2312" w:hAnsi="仿宋_GB2312" w:cs="仿宋_GB2312" w:eastAsia="仿宋_GB2312"/>
              </w:rPr>
              <w:t>4.付款方式：连续三年提交报告正式书面文本，每年成果通过专家评审会后的十个工作日内，一次性支付该年度编制工作的合同约定费用。</w:t>
            </w:r>
          </w:p>
        </w:tc>
      </w:tr>
      <w:tr>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5</w:t>
            </w:r>
          </w:p>
        </w:tc>
        <w:tc>
          <w:tcPr>
            <w:tcW w:type="dxa" w:w="2076"/>
          </w:tcPr>
          <w:p>
            <w:pPr>
              <w:pStyle w:val="null3"/>
            </w:pPr>
            <w:r>
              <w:rPr>
                <w:rFonts w:ascii="仿宋_GB2312" w:hAnsi="仿宋_GB2312" w:cs="仿宋_GB2312" w:eastAsia="仿宋_GB2312"/>
              </w:rPr>
              <w:t>其他要求</w:t>
            </w:r>
          </w:p>
        </w:tc>
        <w:tc>
          <w:tcPr>
            <w:tcW w:type="dxa" w:w="2076"/>
          </w:tcPr>
          <w:p>
            <w:pPr>
              <w:pStyle w:val="null3"/>
              <w:jc w:val="both"/>
            </w:pPr>
            <w:r>
              <w:rPr>
                <w:rFonts w:ascii="仿宋_GB2312" w:hAnsi="仿宋_GB2312" w:cs="仿宋_GB2312" w:eastAsia="仿宋_GB2312"/>
              </w:rPr>
              <w:t>1.进度要求</w:t>
            </w:r>
          </w:p>
          <w:p>
            <w:pPr>
              <w:pStyle w:val="null3"/>
            </w:pPr>
            <w:r>
              <w:rPr>
                <w:rFonts w:ascii="仿宋_GB2312" w:hAnsi="仿宋_GB2312" w:cs="仿宋_GB2312" w:eastAsia="仿宋_GB2312"/>
              </w:rPr>
              <w:t>合同签订90日内，完成2024年《莲湖区城市体检报告编制项目》最终成果《莲湖区2024年城市体检报告》。2025年至2026年的每年6月30日前完成《莲湖区城市体检报告编制项目》初步成果《莲湖区2025年城市体检报告》和《莲湖区2026年城市体检报告》。</w:t>
            </w:r>
          </w:p>
          <w:p>
            <w:pPr>
              <w:pStyle w:val="null3"/>
            </w:pPr>
            <w:r>
              <w:rPr>
                <w:rFonts w:ascii="仿宋_GB2312" w:hAnsi="仿宋_GB2312" w:cs="仿宋_GB2312" w:eastAsia="仿宋_GB2312"/>
              </w:rPr>
              <w:t>具体每个阶段服务内容按照采购人要求进度完成。供应商应每月向采购人书面汇报上月工作总结及下周工作计划以便采购人了解供应商进度节点，供应商按照采购人对工作内容及进度提出的改进要求落实执行。</w:t>
            </w:r>
          </w:p>
          <w:p>
            <w:pPr>
              <w:pStyle w:val="null3"/>
            </w:pPr>
            <w:r>
              <w:rPr>
                <w:rFonts w:ascii="仿宋_GB2312" w:hAnsi="仿宋_GB2312" w:cs="仿宋_GB2312" w:eastAsia="仿宋_GB2312"/>
              </w:rPr>
              <w:t>2.项目保密要求</w:t>
            </w:r>
          </w:p>
          <w:p>
            <w:pPr>
              <w:pStyle w:val="null3"/>
            </w:pPr>
            <w:r>
              <w:rPr>
                <w:rFonts w:ascii="仿宋_GB2312" w:hAnsi="仿宋_GB2312" w:cs="仿宋_GB2312" w:eastAsia="仿宋_GB2312"/>
              </w:rPr>
              <w:t>（1）供应商及其工作人员需遵守采购人的保密规定，不以任何形式将收集的所有资料、数据等进行泄漏、传播；</w:t>
            </w:r>
          </w:p>
          <w:p>
            <w:pPr>
              <w:pStyle w:val="null3"/>
            </w:pPr>
            <w:r>
              <w:rPr>
                <w:rFonts w:ascii="仿宋_GB2312" w:hAnsi="仿宋_GB2312" w:cs="仿宋_GB2312" w:eastAsia="仿宋_GB2312"/>
              </w:rPr>
              <w:t>（2）项目成果最终所有权属采购人，在项目完成时供应商必须全部移交；</w:t>
            </w:r>
          </w:p>
          <w:p>
            <w:pPr>
              <w:pStyle w:val="null3"/>
            </w:pPr>
            <w:r>
              <w:rPr>
                <w:rFonts w:ascii="仿宋_GB2312" w:hAnsi="仿宋_GB2312" w:cs="仿宋_GB2312" w:eastAsia="仿宋_GB2312"/>
              </w:rPr>
              <w:t>（3）供应商须维护项目服务成果，不得转让给第三方重复使用。</w:t>
            </w:r>
          </w:p>
          <w:p>
            <w:pPr>
              <w:pStyle w:val="null3"/>
            </w:pPr>
            <w:r>
              <w:rPr>
                <w:rFonts w:ascii="仿宋_GB2312" w:hAnsi="仿宋_GB2312" w:cs="仿宋_GB2312" w:eastAsia="仿宋_GB2312"/>
              </w:rPr>
              <w:t>（4）以上保密规定如有违反，采购人有权追究供应商相关法律责任。</w:t>
            </w:r>
          </w:p>
          <w:p>
            <w:pPr>
              <w:pStyle w:val="null3"/>
            </w:pPr>
            <w:r>
              <w:rPr>
                <w:rFonts w:ascii="仿宋_GB2312" w:hAnsi="仿宋_GB2312" w:cs="仿宋_GB2312" w:eastAsia="仿宋_GB2312"/>
              </w:rPr>
              <w:t>3.专家技术评审费及由专家提出修改意见后调整修改费用均包含在合同价款中。</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供应商根据服务要求自行响应</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供应商根据服务要求自行响应</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自签订合同之日起至《莲湖区2026年城市体检报告》通过专家会评审并按要求提交成果止。</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符合国家、行业相关法律法规及采购人需求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连续三年提交报告正式书面文本，每年成果通过专家评审会后的十个工作日内，一次性支付该年度编制工作的合同约定费用。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连续三年提交报告正式书面文本，每年成果通过专家评审会后的十个工作日内，一次性支付该年度编制工作的合同约定费用。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连续三年提交报告正式书面文本，每年成果通过专家评审会后的十个工作日内，一次性支付该年度编制工作的合同约定费用。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违约责任：成交单位有下列情形之一的，采购人有权终止合同： （1）提交的成果未能达到采购文件规定的标准或其响应承诺的。 （2）提交的成果图纸和文字辨认不清，内容不全或粗制滥造的。 （3）未经同意，逾期形成规划成果的。 （4）为本项目所配备的人员不到位，影响策划研究报告进度及质量的，经采购单位要求成交单位及时改正，成交单位仍拒不改正的。 （5）违反相关保密规定的。 解决争议的方法：合同执行中发生争议的，当事人双方应协商解决，协商达不成一致时，可向西安仲裁委员会申请仲裁。</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1.本项目专门面向中小企业采购。 2.本项目合同包1采购标的所属行业为：其他未列明行业； 3.本项目是否属于信用担保试点范围：否。 4.本项目为固定总价合同。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的法人、其他组织或自然人，并出具合法有效的营业执照或事业单位法人证书等国家规定的相关证明，自然人参与的提供其身份证明；2.提供2024年8月至今已缴纳的至少一个月的纳税证明或完税证明（任意税种），依法免税的单位应提供相关证明材料；3.提供2024年8月至今已缴存的至少一个月的社会保障资金缴存单据或社保机构开具的社会保险参保缴费情况证明，依法不需要缴纳社会保障资金的单位应提供相关证明材料；4.提供具有履行合同所必需的设备和专业技术能力的承诺；5.参加政府采购活动前三年内，在经营活动中没有重大违法记录的书面声明；</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年度的经审计的财务会计报告（成立时间至提交磋商响应文件截止时间不足一年的可提供成立后任意时段的资产负债表），或其基本存款账户开户银行出具的资信证明及基本存款账户开户许可证（基本账户信息表）；</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具有独立承担民事责任的法人、其他组织或自然人，并出具合法有效的营业执照或事业单位法人证书等国家规定的相关证明，自然人参与的提供其身份证明；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度的经审计的财务会计报告（成立时间至提交磋商响应文件截止时间不足一年的可提供成立后任意时段的资产负债表），或其基本存款账户开户银行出具的资信证明及基本存款账户开户许可证（基本账户信息表）；</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提供2024年8月至今已缴纳的至少一个月的纳税证明或完税证明（任意税种），依法免税的单位应提供相关证明材料；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提供2024年8月至今已缴存的至少一个月的社会保障资金缴存单据或社保机构开具的社会保险参保缴费情况证明，依法不需要缴纳社会保障资金的单位应提供相关证明材料；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承诺</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参加政府采购活动前三年内，在经营活动中没有重大违法记录的书面声明；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法定代表人授权书/法定代表人身份证明</w:t>
            </w:r>
          </w:p>
        </w:tc>
        <w:tc>
          <w:tcPr>
            <w:tcW w:type="dxa" w:w="3322"/>
          </w:tcPr>
          <w:p>
            <w:pPr>
              <w:pStyle w:val="null3"/>
            </w:pPr>
            <w:r>
              <w:rPr>
                <w:rFonts w:ascii="仿宋_GB2312" w:hAnsi="仿宋_GB2312" w:cs="仿宋_GB2312" w:eastAsia="仿宋_GB2312"/>
              </w:rPr>
              <w:t>法定代表人授权书（附法定代表人、被授权人身份证复印件），法定代表人直接参加磋商，须提供法定代表人身份证明；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供应商具有城乡规划（国土空间规划）编制乙级及以上资质（含乙级）</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不得为“信用中国”网站（www.creditchina.gov.cn）中列入“失信被执行人（中国执行信息公开网http：//zxgk.court.gov.cn/shixin/）”和“重大税收违法失信主体”的供应商，不得为中国政府采购网（www.ccgp.gov.cn）政府采购“严重违法失信行为记录名单”中被财政部门禁止参加政府采购活动的供应商；（信用记录由采购代理机构在响应文件资格审查阶段通过互联网或者相关系统查询，对列入失信被执行人、重大税收违法失信主体、政府采购严重违法失信行为记录名单内的，采购人和采购代理机构将拒绝其参与政府采购活动，查询结果以纸质方式留存。）</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本项目不接受联合体磋商；</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磋商响应文件上法定代表人或其授权代表人的签字齐全并加盖公章</w:t>
            </w:r>
          </w:p>
        </w:tc>
        <w:tc>
          <w:tcPr>
            <w:tcW w:type="dxa" w:w="1661"/>
          </w:tcPr>
          <w:p>
            <w:pPr>
              <w:pStyle w:val="null3"/>
            </w:pPr>
            <w:r>
              <w:rPr>
                <w:rFonts w:ascii="仿宋_GB2312" w:hAnsi="仿宋_GB2312" w:cs="仿宋_GB2312" w:eastAsia="仿宋_GB2312"/>
              </w:rPr>
              <w:t>供应商参加政府采购活动承诺书.docx 业绩.docx 中小企业声明函 报价表 磋商方案说明书.docx 资格证明文件.docx 响应文件封面 残疾人福利性单位声明函 其它说明.docx 标的清单 响应函 商务条款偏离表.docx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是否专门面向中小企业</w:t>
            </w:r>
          </w:p>
        </w:tc>
        <w:tc>
          <w:tcPr>
            <w:tcW w:type="dxa" w:w="3322"/>
          </w:tcPr>
          <w:p>
            <w:pPr>
              <w:pStyle w:val="null3"/>
            </w:pPr>
            <w:r>
              <w:rPr>
                <w:rFonts w:ascii="仿宋_GB2312" w:hAnsi="仿宋_GB2312" w:cs="仿宋_GB2312" w:eastAsia="仿宋_GB2312"/>
              </w:rPr>
              <w:t>本项目专门面向中小企业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磋商响应文件格式</w:t>
            </w:r>
          </w:p>
        </w:tc>
        <w:tc>
          <w:tcPr>
            <w:tcW w:type="dxa" w:w="3322"/>
          </w:tcPr>
          <w:p>
            <w:pPr>
              <w:pStyle w:val="null3"/>
            </w:pPr>
            <w:r>
              <w:rPr>
                <w:rFonts w:ascii="仿宋_GB2312" w:hAnsi="仿宋_GB2312" w:cs="仿宋_GB2312" w:eastAsia="仿宋_GB2312"/>
              </w:rPr>
              <w:t>应符合“磋商响应文件格式”要求</w:t>
            </w:r>
          </w:p>
        </w:tc>
        <w:tc>
          <w:tcPr>
            <w:tcW w:type="dxa" w:w="1661"/>
          </w:tcPr>
          <w:p>
            <w:pPr>
              <w:pStyle w:val="null3"/>
            </w:pPr>
            <w:r>
              <w:rPr>
                <w:rFonts w:ascii="仿宋_GB2312" w:hAnsi="仿宋_GB2312" w:cs="仿宋_GB2312" w:eastAsia="仿宋_GB2312"/>
              </w:rPr>
              <w:t>供应商参加政府采购活动承诺书.docx 业绩.docx 中小企业声明函 报价表 磋商方案说明书.docx 资格证明文件.docx 响应文件封面 残疾人福利性单位声明函 其它说明.docx 标的清单 响应函 商务条款偏离表.docx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标的清单 报价表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磋商响应文件内容</w:t>
            </w:r>
          </w:p>
        </w:tc>
        <w:tc>
          <w:tcPr>
            <w:tcW w:type="dxa" w:w="3322"/>
          </w:tcPr>
          <w:p>
            <w:pPr>
              <w:pStyle w:val="null3"/>
            </w:pPr>
            <w:r>
              <w:rPr>
                <w:rFonts w:ascii="仿宋_GB2312" w:hAnsi="仿宋_GB2312" w:cs="仿宋_GB2312" w:eastAsia="仿宋_GB2312"/>
              </w:rPr>
              <w:t>磋商响应文件内容齐全、无遗漏（除评审因素外）</w:t>
            </w:r>
          </w:p>
        </w:tc>
        <w:tc>
          <w:tcPr>
            <w:tcW w:type="dxa" w:w="1661"/>
          </w:tcPr>
          <w:p>
            <w:pPr>
              <w:pStyle w:val="null3"/>
            </w:pPr>
            <w:r>
              <w:rPr>
                <w:rFonts w:ascii="仿宋_GB2312" w:hAnsi="仿宋_GB2312" w:cs="仿宋_GB2312" w:eastAsia="仿宋_GB2312"/>
              </w:rPr>
              <w:t>其它说明.docx 磋商方案说明书.docx 响应函 商务条款偏离表.docx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要求全面响应，不能有任何采购人不能接受的附加条件</w:t>
            </w:r>
          </w:p>
        </w:tc>
        <w:tc>
          <w:tcPr>
            <w:tcW w:type="dxa" w:w="1661"/>
          </w:tcPr>
          <w:p>
            <w:pPr>
              <w:pStyle w:val="null3"/>
            </w:pPr>
            <w:r>
              <w:rPr>
                <w:rFonts w:ascii="仿宋_GB2312" w:hAnsi="仿宋_GB2312" w:cs="仿宋_GB2312" w:eastAsia="仿宋_GB2312"/>
              </w:rPr>
              <w:t>其它说明.docx 磋商方案说明书.docx 响应函 商务条款偏离表.docx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应满足磋商文件中要求的服务期</w:t>
            </w:r>
          </w:p>
        </w:tc>
        <w:tc>
          <w:tcPr>
            <w:tcW w:type="dxa" w:w="1661"/>
          </w:tcPr>
          <w:p>
            <w:pPr>
              <w:pStyle w:val="null3"/>
            </w:pPr>
            <w:r>
              <w:rPr>
                <w:rFonts w:ascii="仿宋_GB2312" w:hAnsi="仿宋_GB2312" w:cs="仿宋_GB2312" w:eastAsia="仿宋_GB2312"/>
              </w:rPr>
              <w:t>其它说明.docx 磋商方案说明书.docx 响应函 商务条款偏离表.docx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其它说明.docx 磋商方案说明书.docx 响应函 商务条款偏离表.docx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详细评审90.0000分</w:t>
            </w:r>
          </w:p>
          <w:p>
            <w:pPr>
              <w:pStyle w:val="null3"/>
            </w:pPr>
            <w:r>
              <w:rPr>
                <w:rFonts w:ascii="仿宋_GB2312" w:hAnsi="仿宋_GB2312" w:cs="仿宋_GB2312" w:eastAsia="仿宋_GB2312"/>
              </w:rPr>
              <w:t>报价得分10.0000分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项目分析</w:t>
            </w:r>
          </w:p>
        </w:tc>
        <w:tc>
          <w:tcPr>
            <w:tcW w:type="dxa" w:w="2492"/>
          </w:tcPr>
          <w:p>
            <w:pPr>
              <w:pStyle w:val="null3"/>
            </w:pPr>
            <w:r>
              <w:rPr>
                <w:rFonts w:ascii="仿宋_GB2312" w:hAnsi="仿宋_GB2312" w:cs="仿宋_GB2312" w:eastAsia="仿宋_GB2312"/>
              </w:rPr>
              <w:t>对项目背景和目的理解准确全面、阐述的内容完整清晰，紧扣研究主题的，得7-10分。 对项目背景和目的理解较为准确全面，阐述的内容较为清晰，较贴合研究主题的得4-7分（含7分）； 对项目背景和目的理解存在逻辑偏差、阐述的内容不明确、未贴合研究主题的得1-4分（含4分）。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p>
            <w:pPr>
              <w:pStyle w:val="null3"/>
            </w:pPr>
            <w:r>
              <w:rPr>
                <w:rFonts w:ascii="仿宋_GB2312" w:hAnsi="仿宋_GB2312" w:cs="仿宋_GB2312" w:eastAsia="仿宋_GB2312"/>
              </w:rPr>
              <w:t>其它说明.docx</w:t>
            </w:r>
          </w:p>
        </w:tc>
      </w:tr>
      <w:tr>
        <w:tc>
          <w:tcPr>
            <w:tcW w:type="dxa" w:w="831"/>
            <w:vMerge/>
          </w:tcPr>
          <w:p/>
        </w:tc>
        <w:tc>
          <w:tcPr>
            <w:tcW w:type="dxa" w:w="1661"/>
          </w:tcPr>
          <w:p>
            <w:pPr>
              <w:pStyle w:val="null3"/>
            </w:pPr>
            <w:r>
              <w:rPr>
                <w:rFonts w:ascii="仿宋_GB2312" w:hAnsi="仿宋_GB2312" w:cs="仿宋_GB2312" w:eastAsia="仿宋_GB2312"/>
              </w:rPr>
              <w:t>工作方法与思路</w:t>
            </w:r>
          </w:p>
        </w:tc>
        <w:tc>
          <w:tcPr>
            <w:tcW w:type="dxa" w:w="2492"/>
          </w:tcPr>
          <w:p>
            <w:pPr>
              <w:pStyle w:val="null3"/>
            </w:pPr>
            <w:r>
              <w:rPr>
                <w:rFonts w:ascii="仿宋_GB2312" w:hAnsi="仿宋_GB2312" w:cs="仿宋_GB2312" w:eastAsia="仿宋_GB2312"/>
              </w:rPr>
              <w:t>对开展城市体检工作的工作方法科学合理、总体思路及具体技术路线针对性及可行性强得7-10分； 工作方法较为科学合理、总体思路和具体技术路线比较有针对性的得4-7分（含7分）； 工作方法存在欠缺的，总体思路和技术路线缺乏针对性的得1-4分（含4分）。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p>
            <w:pPr>
              <w:pStyle w:val="null3"/>
            </w:pPr>
            <w:r>
              <w:rPr>
                <w:rFonts w:ascii="仿宋_GB2312" w:hAnsi="仿宋_GB2312" w:cs="仿宋_GB2312" w:eastAsia="仿宋_GB2312"/>
              </w:rPr>
              <w:t>其它说明.docx</w:t>
            </w:r>
          </w:p>
        </w:tc>
      </w:tr>
      <w:tr>
        <w:tc>
          <w:tcPr>
            <w:tcW w:type="dxa" w:w="831"/>
            <w:vMerge/>
          </w:tcPr>
          <w:p/>
        </w:tc>
        <w:tc>
          <w:tcPr>
            <w:tcW w:type="dxa" w:w="1661"/>
          </w:tcPr>
          <w:p>
            <w:pPr>
              <w:pStyle w:val="null3"/>
            </w:pPr>
            <w:r>
              <w:rPr>
                <w:rFonts w:ascii="仿宋_GB2312" w:hAnsi="仿宋_GB2312" w:cs="仿宋_GB2312" w:eastAsia="仿宋_GB2312"/>
              </w:rPr>
              <w:t>重难点问题分析</w:t>
            </w:r>
          </w:p>
        </w:tc>
        <w:tc>
          <w:tcPr>
            <w:tcW w:type="dxa" w:w="2492"/>
          </w:tcPr>
          <w:p>
            <w:pPr>
              <w:pStyle w:val="null3"/>
            </w:pPr>
            <w:r>
              <w:rPr>
                <w:rFonts w:ascii="仿宋_GB2312" w:hAnsi="仿宋_GB2312" w:cs="仿宋_GB2312" w:eastAsia="仿宋_GB2312"/>
              </w:rPr>
              <w:t>对本项目关键问题的重难点及解决对策分析合理、清晰、全面，得7-10分； 对本项目关键问题的重难点及解决对策分析较为合理，较为清晰，较为全面得4-7分（含7分）； 对本项目关键问题的重难点及解决对策不合理，不清晰、不全面得1-4分（含4分）。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p>
            <w:pPr>
              <w:pStyle w:val="null3"/>
            </w:pPr>
            <w:r>
              <w:rPr>
                <w:rFonts w:ascii="仿宋_GB2312" w:hAnsi="仿宋_GB2312" w:cs="仿宋_GB2312" w:eastAsia="仿宋_GB2312"/>
              </w:rPr>
              <w:t>其它说明.docx</w:t>
            </w:r>
          </w:p>
        </w:tc>
      </w:tr>
      <w:tr>
        <w:tc>
          <w:tcPr>
            <w:tcW w:type="dxa" w:w="831"/>
            <w:vMerge/>
          </w:tcPr>
          <w:p/>
        </w:tc>
        <w:tc>
          <w:tcPr>
            <w:tcW w:type="dxa" w:w="1661"/>
          </w:tcPr>
          <w:p>
            <w:pPr>
              <w:pStyle w:val="null3"/>
            </w:pPr>
            <w:r>
              <w:rPr>
                <w:rFonts w:ascii="仿宋_GB2312" w:hAnsi="仿宋_GB2312" w:cs="仿宋_GB2312" w:eastAsia="仿宋_GB2312"/>
              </w:rPr>
              <w:t>现状基础数据</w:t>
            </w:r>
          </w:p>
        </w:tc>
        <w:tc>
          <w:tcPr>
            <w:tcW w:type="dxa" w:w="2492"/>
          </w:tcPr>
          <w:p>
            <w:pPr>
              <w:pStyle w:val="null3"/>
            </w:pPr>
            <w:r>
              <w:rPr>
                <w:rFonts w:ascii="仿宋_GB2312" w:hAnsi="仿宋_GB2312" w:cs="仿宋_GB2312" w:eastAsia="仿宋_GB2312"/>
              </w:rPr>
              <w:t>数据基础丰富、精度高、信息完整，可支持区级指标分析，为住房维度数据采集工作做支撑，得7-10分； 有数据基础，但类别有限，精度不足，能支持区级指标分析核心工作，得4-7分（含7分）； 有部分数据基础，仅能支持小部分或无法支持区级指标分析工作，得1-4分（含4分）；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p>
            <w:pPr>
              <w:pStyle w:val="null3"/>
            </w:pPr>
            <w:r>
              <w:rPr>
                <w:rFonts w:ascii="仿宋_GB2312" w:hAnsi="仿宋_GB2312" w:cs="仿宋_GB2312" w:eastAsia="仿宋_GB2312"/>
              </w:rPr>
              <w:t>其它说明.docx</w:t>
            </w:r>
          </w:p>
        </w:tc>
      </w:tr>
      <w:tr>
        <w:tc>
          <w:tcPr>
            <w:tcW w:type="dxa" w:w="831"/>
            <w:vMerge/>
          </w:tcPr>
          <w:p/>
        </w:tc>
        <w:tc>
          <w:tcPr>
            <w:tcW w:type="dxa" w:w="1661"/>
          </w:tcPr>
          <w:p>
            <w:pPr>
              <w:pStyle w:val="null3"/>
            </w:pPr>
            <w:r>
              <w:rPr>
                <w:rFonts w:ascii="仿宋_GB2312" w:hAnsi="仿宋_GB2312" w:cs="仿宋_GB2312" w:eastAsia="仿宋_GB2312"/>
              </w:rPr>
              <w:t>数据收集与处理分析</w:t>
            </w:r>
          </w:p>
        </w:tc>
        <w:tc>
          <w:tcPr>
            <w:tcW w:type="dxa" w:w="2492"/>
          </w:tcPr>
          <w:p>
            <w:pPr>
              <w:pStyle w:val="null3"/>
            </w:pPr>
            <w:r>
              <w:rPr>
                <w:rFonts w:ascii="仿宋_GB2312" w:hAnsi="仿宋_GB2312" w:cs="仿宋_GB2312" w:eastAsia="仿宋_GB2312"/>
              </w:rPr>
              <w:t>数据收集、处理及分析的技术方法先进合理，收集方式多样，数据质量准确完整，分析方法科学，能有效支撑报告编制要求，得7-10分； 数据收集、处理及分析的技术方法较合理，数据质量较准确，分析方法较科学，基本满足报告编制要求，得4-7分（含7分）； 数据收集、处理及分析的技术方法存在缺陷，数据质量不完善，分析方法较科学难以支撑报告编制要求，得1-4分（含4分）；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p>
            <w:pPr>
              <w:pStyle w:val="null3"/>
            </w:pPr>
            <w:r>
              <w:rPr>
                <w:rFonts w:ascii="仿宋_GB2312" w:hAnsi="仿宋_GB2312" w:cs="仿宋_GB2312" w:eastAsia="仿宋_GB2312"/>
              </w:rPr>
              <w:t>其它说明.docx</w:t>
            </w:r>
          </w:p>
        </w:tc>
      </w:tr>
      <w:tr>
        <w:tc>
          <w:tcPr>
            <w:tcW w:type="dxa" w:w="831"/>
            <w:vMerge/>
          </w:tcPr>
          <w:p/>
        </w:tc>
        <w:tc>
          <w:tcPr>
            <w:tcW w:type="dxa" w:w="1661"/>
          </w:tcPr>
          <w:p>
            <w:pPr>
              <w:pStyle w:val="null3"/>
            </w:pPr>
            <w:r>
              <w:rPr>
                <w:rFonts w:ascii="仿宋_GB2312" w:hAnsi="仿宋_GB2312" w:cs="仿宋_GB2312" w:eastAsia="仿宋_GB2312"/>
              </w:rPr>
              <w:t>报告编制要求</w:t>
            </w:r>
          </w:p>
        </w:tc>
        <w:tc>
          <w:tcPr>
            <w:tcW w:type="dxa" w:w="2492"/>
          </w:tcPr>
          <w:p>
            <w:pPr>
              <w:pStyle w:val="null3"/>
            </w:pPr>
            <w:r>
              <w:rPr>
                <w:rFonts w:ascii="仿宋_GB2312" w:hAnsi="仿宋_GB2312" w:cs="仿宋_GB2312" w:eastAsia="仿宋_GB2312"/>
              </w:rPr>
              <w:t>报告框架完整，内容详实合理，对莲湖区城市现状分析准确，问题诊断深入，得7-10分； 报告框架较完整，内容较合理，对莲湖区城市现状分析较准确，问题诊断一般得4-7分（含7分）； 报告框架简洁，内容欠缺不合理，对莲湖区城市现状分析不准确，问题诊断不准确得1-4分（含4分）。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p>
            <w:pPr>
              <w:pStyle w:val="null3"/>
            </w:pPr>
            <w:r>
              <w:rPr>
                <w:rFonts w:ascii="仿宋_GB2312" w:hAnsi="仿宋_GB2312" w:cs="仿宋_GB2312" w:eastAsia="仿宋_GB2312"/>
              </w:rPr>
              <w:t>其它说明.docx</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质量保证措施完善、合理、切实可行得3-5分； 质量保证措施较为完善、合理、切实可行得1-3分（含3分）。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p>
            <w:pPr>
              <w:pStyle w:val="null3"/>
            </w:pPr>
            <w:r>
              <w:rPr>
                <w:rFonts w:ascii="仿宋_GB2312" w:hAnsi="仿宋_GB2312" w:cs="仿宋_GB2312" w:eastAsia="仿宋_GB2312"/>
              </w:rPr>
              <w:t>其它说明.docx</w:t>
            </w:r>
          </w:p>
        </w:tc>
      </w:tr>
      <w:tr>
        <w:tc>
          <w:tcPr>
            <w:tcW w:type="dxa" w:w="831"/>
            <w:vMerge/>
          </w:tcPr>
          <w:p/>
        </w:tc>
        <w:tc>
          <w:tcPr>
            <w:tcW w:type="dxa" w:w="1661"/>
          </w:tcPr>
          <w:p>
            <w:pPr>
              <w:pStyle w:val="null3"/>
            </w:pPr>
            <w:r>
              <w:rPr>
                <w:rFonts w:ascii="仿宋_GB2312" w:hAnsi="仿宋_GB2312" w:cs="仿宋_GB2312" w:eastAsia="仿宋_GB2312"/>
              </w:rPr>
              <w:t>进度保障措施</w:t>
            </w:r>
          </w:p>
        </w:tc>
        <w:tc>
          <w:tcPr>
            <w:tcW w:type="dxa" w:w="2492"/>
          </w:tcPr>
          <w:p>
            <w:pPr>
              <w:pStyle w:val="null3"/>
            </w:pPr>
            <w:r>
              <w:rPr>
                <w:rFonts w:ascii="仿宋_GB2312" w:hAnsi="仿宋_GB2312" w:cs="仿宋_GB2312" w:eastAsia="仿宋_GB2312"/>
              </w:rPr>
              <w:t>有详细的进度计划和保证措施，且有针对性和可行性的保障措施得3-5分； 进度控制目标较明确，且针对性和可行性较强得1-3分（含3分）。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p>
            <w:pPr>
              <w:pStyle w:val="null3"/>
            </w:pPr>
            <w:r>
              <w:rPr>
                <w:rFonts w:ascii="仿宋_GB2312" w:hAnsi="仿宋_GB2312" w:cs="仿宋_GB2312" w:eastAsia="仿宋_GB2312"/>
              </w:rPr>
              <w:t>其它说明.docx</w:t>
            </w:r>
          </w:p>
        </w:tc>
      </w:tr>
      <w:tr>
        <w:tc>
          <w:tcPr>
            <w:tcW w:type="dxa" w:w="831"/>
            <w:vMerge/>
          </w:tcPr>
          <w:p/>
        </w:tc>
        <w:tc>
          <w:tcPr>
            <w:tcW w:type="dxa" w:w="1661"/>
          </w:tcPr>
          <w:p>
            <w:pPr>
              <w:pStyle w:val="null3"/>
            </w:pPr>
            <w:r>
              <w:rPr>
                <w:rFonts w:ascii="仿宋_GB2312" w:hAnsi="仿宋_GB2312" w:cs="仿宋_GB2312" w:eastAsia="仿宋_GB2312"/>
              </w:rPr>
              <w:t>组织机构设置</w:t>
            </w:r>
          </w:p>
        </w:tc>
        <w:tc>
          <w:tcPr>
            <w:tcW w:type="dxa" w:w="2492"/>
          </w:tcPr>
          <w:p>
            <w:pPr>
              <w:pStyle w:val="null3"/>
            </w:pPr>
            <w:r>
              <w:rPr>
                <w:rFonts w:ascii="仿宋_GB2312" w:hAnsi="仿宋_GB2312" w:cs="仿宋_GB2312" w:eastAsia="仿宋_GB2312"/>
              </w:rPr>
              <w:t>①项目负责人具有规划类专业高级职称和注册城乡规划师执业资格得2分 ②拟投入本项目的团队人员(不包含项目负责人)专业应包括：城乡(城市)规划、计算科学、建筑学、地理信息系统等相关专业（以中级及以上职称证书专业或毕业证书专业为准），团队人员每配备1位专业人员得分，团队人员专业配备齐全得4分； ③拟投入本项目的团队人员中(不包含项目负责人)每具有1名注册城乡规划师得1分，同一人员不重复得分，最高得4分。 (响应文件中提供职称证书或资质证书复印件加盖公章;供应商为其缴纳的开标日前近三个月任意一个月的社保证明)</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其它说明.docx</w:t>
            </w:r>
          </w:p>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2021年01月01日至今类似项目业绩，每提供1份计2分，最高得10分；业绩证明（以合同（协议）或中标（成交）通知书为准，须在磋商响应文件中附合同（协议）或中标（成交）通知书的扫描件加盖单位公章）弄虚作假者，取消其成交资格。</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磋商响应文件，其磋商报价为有效磋商报价，对符合政策性扣减的供应商的有效磋商价格进行政策性扣减，并依据扣减后的价格（评审价格）进行价格评审。2.满足磋商文件实质性要求且最终报价最低的供应商的价格为磋商基准价，其价格分10分。3.磋商报价得分=（磋商基准价/最终磋商报价）×10的公式计算得分。4.磋商报价不完整的，不进入磋商基准价的计算，本项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详见附件：磋商方案说明书.docx</w:t>
      </w:r>
    </w:p>
    <w:p>
      <w:pPr>
        <w:pStyle w:val="null3"/>
        <w:ind w:firstLine="960"/>
      </w:pPr>
      <w:r>
        <w:rPr>
          <w:rFonts w:ascii="仿宋_GB2312" w:hAnsi="仿宋_GB2312" w:cs="仿宋_GB2312" w:eastAsia="仿宋_GB2312"/>
        </w:rPr>
        <w:t>详见附件：供应商参加政府采购活动承诺书.docx</w:t>
      </w:r>
    </w:p>
    <w:p>
      <w:pPr>
        <w:pStyle w:val="null3"/>
        <w:ind w:firstLine="960"/>
      </w:pPr>
      <w:r>
        <w:rPr>
          <w:rFonts w:ascii="仿宋_GB2312" w:hAnsi="仿宋_GB2312" w:cs="仿宋_GB2312" w:eastAsia="仿宋_GB2312"/>
        </w:rPr>
        <w:t>详见附件：商务条款偏离表.docx</w:t>
      </w:r>
    </w:p>
    <w:p>
      <w:pPr>
        <w:pStyle w:val="null3"/>
        <w:ind w:firstLine="960"/>
      </w:pPr>
      <w:r>
        <w:rPr>
          <w:rFonts w:ascii="仿宋_GB2312" w:hAnsi="仿宋_GB2312" w:cs="仿宋_GB2312" w:eastAsia="仿宋_GB2312"/>
        </w:rPr>
        <w:t>详见附件：其它说明.docx</w:t>
      </w:r>
    </w:p>
    <w:p>
      <w:pPr>
        <w:pStyle w:val="null3"/>
        <w:ind w:firstLine="960"/>
      </w:pPr>
      <w:r>
        <w:rPr>
          <w:rFonts w:ascii="仿宋_GB2312" w:hAnsi="仿宋_GB2312" w:cs="仿宋_GB2312" w:eastAsia="仿宋_GB2312"/>
        </w:rPr>
        <w:t>详见附件：业绩.docx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详见附件：西安市莲湖区住房和城市建设局莲湖区城市体检报告编制项目采购合同.docx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