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版本号：PLRH2025-GP-010F20250225002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2025年老年人意外伤害保险采购项目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PLRH2025-GP-010F</w:t>
      </w:r>
      <w:r>
        <w:br/>
      </w:r>
      <w:r>
        <w:br/>
      </w:r>
      <w:r>
        <w:br/>
      </w:r>
    </w:p>
    <w:p>
      <w:pPr>
        <w:pStyle w:val="null3"/>
        <w:jc w:val="center"/>
        <w:outlineLvl w:val="2"/>
      </w:pPr>
      <w:r>
        <w:rPr>
          <w:rFonts w:ascii="仿宋_GB2312" w:hAnsi="仿宋_GB2312" w:cs="仿宋_GB2312" w:eastAsia="仿宋_GB2312"/>
          <w:sz w:val="28"/>
          <w:b/>
        </w:rPr>
        <w:t>西安市莲湖区民政局</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西安市莲湖区民政局</w:t>
      </w:r>
      <w:r>
        <w:rPr>
          <w:rFonts w:ascii="仿宋_GB2312" w:hAnsi="仿宋_GB2312" w:cs="仿宋_GB2312" w:eastAsia="仿宋_GB2312"/>
        </w:rPr>
        <w:t>委托，拟对</w:t>
      </w:r>
      <w:r>
        <w:rPr>
          <w:rFonts w:ascii="仿宋_GB2312" w:hAnsi="仿宋_GB2312" w:cs="仿宋_GB2312" w:eastAsia="仿宋_GB2312"/>
        </w:rPr>
        <w:t>2025年老年人意外伤害保险采购项目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PLRH2025-GP-010F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2025年老年人意外伤害保险采购项目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莲湖区老年人意外伤害保险，是为老年人及家庭抗风险能力，弥补社会医保经费不足，促进社会稳定。根据《西安市民政局、西安市财政局、西安市退役军人事务局关于做好2025年度老年人意外伤害保险工作的通知》（市民发〔2024〕111号）文件要求，对户籍在莲湖辖区且2025年12月31日前满 60周岁及以上享受城乡最低生活保障待遇人员、城乡特困供养人员、享受国家定期抚恤补助优抚对象中居家养老的老人和2025年12月31日前满 80 周岁居家养老的老人，统一由政府购买意外伤害保险。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3、税收缴纳证明：提供2024年7月至今已缴纳的至少一个月的纳税证明或完税证明（任意税种），依法免税的单位应提供相关证明材料；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8、业务许可：供应商应具有中国银行保险监督管理委员会颁发的《经营保险业务许可证》</w:t>
      </w:r>
    </w:p>
    <w:p>
      <w:pPr>
        <w:pStyle w:val="null3"/>
      </w:pPr>
      <w:r>
        <w:rPr>
          <w:rFonts w:ascii="仿宋_GB2312" w:hAnsi="仿宋_GB2312" w:cs="仿宋_GB2312" w:eastAsia="仿宋_GB2312"/>
        </w:rPr>
        <w:t>9、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西安市莲湖区庙后街169号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029-87383687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采购包1：746,140.00元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2.支付方式：成交供应商应在领取通知书的同时，支付本项目代理服务费。收款账户如下：收款单位：鹏领睿恒(陕西)项目管理有限公司；开户银行：招商银行西安枫林绿洲支行； 银行账号：129911262210701。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西安市莲湖区民政局</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莲湖区老年人意外伤害保险，是为老年人及家庭抗风险能力，弥补社会医保经费不足，促进社会稳定。根据《西安市民政局、西安市财政局、西安市退役军人事务局关于做好2025年度老年人意外伤害保险工作的通知》（市民发〔2024〕111号）文件要求，对户籍在莲湖辖区且2025年12月31日前满60周岁及以上享受城乡最低生活保障待遇人员、城乡特困供养人员、享受国家定期抚恤补助优抚对象中居家养老的老人和2025年12月31日前满80周岁居家养老的老人，统一由政府购买意外伤害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746,140.00</w:t>
      </w:r>
    </w:p>
    <w:p>
      <w:pPr>
        <w:pStyle w:val="null3"/>
      </w:pPr>
      <w:r>
        <w:rPr>
          <w:rFonts w:ascii="仿宋_GB2312" w:hAnsi="仿宋_GB2312" w:cs="仿宋_GB2312" w:eastAsia="仿宋_GB2312"/>
        </w:rPr>
        <w:t>采购包最高限价（元）: 746,140.00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2025年度老年人意外伤害险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746,140.00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标的名称：2025年度老年人意外伤害险</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both"/>
            </w:pPr>
            <w:r>
              <w:rPr>
                <w:rFonts w:ascii="仿宋_GB2312" w:hAnsi="仿宋_GB2312" w:cs="仿宋_GB2312" w:eastAsia="仿宋_GB2312"/>
              </w:rPr>
              <w:t>1.政府补贴人群范围</w:t>
            </w:r>
          </w:p>
          <w:p>
            <w:pPr>
              <w:pStyle w:val="null3"/>
            </w:pPr>
            <w:r>
              <w:rPr>
                <w:rFonts w:ascii="仿宋_GB2312" w:hAnsi="仿宋_GB2312" w:cs="仿宋_GB2312" w:eastAsia="仿宋_GB2312"/>
              </w:rPr>
              <w:t>“政府补贴人群”是指本区户籍且2025年12月31日前满60周岁及以上享受城乡最低生活保障待遇人员、城乡特困供养人员、享受国家定期抚恤补助优抚对象中居家养老的老人和2025年12月31日前满80周岁居家养老的老人。</w:t>
            </w:r>
          </w:p>
          <w:p>
            <w:pPr>
              <w:pStyle w:val="null3"/>
            </w:pPr>
            <w:r>
              <w:rPr>
                <w:rFonts w:ascii="仿宋_GB2312" w:hAnsi="仿宋_GB2312" w:cs="仿宋_GB2312" w:eastAsia="仿宋_GB2312"/>
              </w:rPr>
              <w:t>2025年度保险期间内莲湖区统计参保人数约为37307人。</w:t>
            </w:r>
          </w:p>
          <w:p>
            <w:pPr>
              <w:pStyle w:val="null3"/>
            </w:pPr>
            <w:r>
              <w:rPr>
                <w:rFonts w:ascii="仿宋_GB2312" w:hAnsi="仿宋_GB2312" w:cs="仿宋_GB2312" w:eastAsia="仿宋_GB2312"/>
              </w:rPr>
              <w:t>2.保险费标准、保险期限</w:t>
            </w:r>
          </w:p>
          <w:p>
            <w:pPr>
              <w:pStyle w:val="null3"/>
            </w:pPr>
            <w:r>
              <w:rPr>
                <w:rFonts w:ascii="仿宋_GB2312" w:hAnsi="仿宋_GB2312" w:cs="仿宋_GB2312" w:eastAsia="仿宋_GB2312"/>
              </w:rPr>
              <w:t>保险费标准：每人20元/份/年。</w:t>
            </w:r>
          </w:p>
          <w:p>
            <w:pPr>
              <w:pStyle w:val="null3"/>
            </w:pPr>
            <w:r>
              <w:rPr>
                <w:rFonts w:ascii="仿宋_GB2312" w:hAnsi="仿宋_GB2312" w:cs="仿宋_GB2312" w:eastAsia="仿宋_GB2312"/>
              </w:rPr>
              <w:t>保险期限：自合同签订之日起至2025年12月31日二十四时止。</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w:t>
            </w:r>
          </w:p>
        </w:tc>
        <w:tc>
          <w:tcPr>
            <w:tcW w:type="dxa" w:w="2076"/>
          </w:tcPr>
          <w:p>
            <w:pPr>
              <w:pStyle w:val="null3"/>
              <w:ind w:firstLine="422"/>
              <w:jc w:val="center"/>
            </w:pPr>
            <w:r>
              <w:rPr>
                <w:rFonts w:ascii="仿宋_GB2312" w:hAnsi="仿宋_GB2312" w:cs="仿宋_GB2312" w:eastAsia="仿宋_GB2312"/>
              </w:rPr>
              <w:t>保险范围和保险金额</w:t>
            </w:r>
          </w:p>
          <w:tbl>
            <w:tblPr>
              <w:tblBorders>
                <w:top w:val="single"/>
                <w:left w:val="single"/>
                <w:bottom w:val="single"/>
                <w:right w:val="single"/>
                <w:insideH w:val="single"/>
                <w:insideV w:val="single"/>
              </w:tblBorders>
            </w:tblPr>
            <w:tblGrid>
              <w:gridCol w:w="930"/>
              <w:gridCol w:w="930"/>
            </w:tblGrid>
            <w:tr>
              <w:tc>
                <w:tcPr>
                  <w:tcW w:type="dxa" w:w="930"/>
                </w:tcPr>
                <w:p>
                  <w:pPr>
                    <w:pStyle w:val="null3"/>
                  </w:pPr>
                  <w:r>
                    <w:rPr>
                      <w:rFonts w:ascii="仿宋_GB2312" w:hAnsi="仿宋_GB2312" w:cs="仿宋_GB2312" w:eastAsia="仿宋_GB2312"/>
                    </w:rPr>
                    <w:t>保险范围（莲湖区辖区内）</w:t>
                  </w:r>
                </w:p>
              </w:tc>
              <w:tc>
                <w:tcPr>
                  <w:tcW w:type="dxa" w:w="930"/>
                </w:tcPr>
                <w:p>
                  <w:pPr>
                    <w:pStyle w:val="null3"/>
                  </w:pPr>
                  <w:r>
                    <w:rPr>
                      <w:rFonts w:ascii="仿宋_GB2312" w:hAnsi="仿宋_GB2312" w:cs="仿宋_GB2312" w:eastAsia="仿宋_GB2312"/>
                    </w:rPr>
                    <w:t>保险金额</w:t>
                  </w:r>
                </w:p>
              </w:tc>
            </w:tr>
            <w:tr>
              <w:tc>
                <w:tcPr>
                  <w:tcW w:type="dxa" w:w="930"/>
                  <w:vMerge w:val="restart"/>
                </w:tcPr>
                <w:p>
                  <w:pPr>
                    <w:pStyle w:val="null3"/>
                  </w:pPr>
                  <w:r>
                    <w:rPr>
                      <w:rFonts w:ascii="仿宋_GB2312" w:hAnsi="仿宋_GB2312" w:cs="仿宋_GB2312" w:eastAsia="仿宋_GB2312"/>
                    </w:rPr>
                    <w:t>各类居家养老服务机构内</w:t>
                  </w:r>
                </w:p>
              </w:tc>
              <w:tc>
                <w:tcPr>
                  <w:tcW w:type="dxa" w:w="930"/>
                </w:tcPr>
                <w:p>
                  <w:pPr>
                    <w:pStyle w:val="null3"/>
                  </w:pPr>
                  <w:r>
                    <w:rPr>
                      <w:rFonts w:ascii="仿宋_GB2312" w:hAnsi="仿宋_GB2312" w:cs="仿宋_GB2312" w:eastAsia="仿宋_GB2312"/>
                    </w:rPr>
                    <w:t>意外身故最高赔偿限额 60000 元/人</w:t>
                  </w:r>
                </w:p>
              </w:tc>
            </w:tr>
            <w:tr>
              <w:tc>
                <w:tcPr>
                  <w:tcW w:type="dxa" w:w="930"/>
                  <w:vMerge/>
                </w:tcPr>
                <w:p/>
              </w:tc>
              <w:tc>
                <w:tcPr>
                  <w:tcW w:type="dxa" w:w="930"/>
                </w:tcPr>
                <w:p>
                  <w:pPr>
                    <w:pStyle w:val="null3"/>
                  </w:pPr>
                  <w:r>
                    <w:rPr>
                      <w:rFonts w:ascii="仿宋_GB2312" w:hAnsi="仿宋_GB2312" w:cs="仿宋_GB2312" w:eastAsia="仿宋_GB2312"/>
                    </w:rPr>
                    <w:t>意外残疾最高赔偿限额 60000 元/人</w:t>
                  </w:r>
                </w:p>
              </w:tc>
            </w:tr>
            <w:tr>
              <w:tc>
                <w:tcPr>
                  <w:tcW w:type="dxa" w:w="930"/>
                  <w:vMerge/>
                </w:tcPr>
                <w:p/>
              </w:tc>
              <w:tc>
                <w:tcPr>
                  <w:tcW w:type="dxa" w:w="930"/>
                </w:tcPr>
                <w:p>
                  <w:pPr>
                    <w:pStyle w:val="null3"/>
                  </w:pPr>
                  <w:r>
                    <w:rPr>
                      <w:rFonts w:ascii="仿宋_GB2312" w:hAnsi="仿宋_GB2312" w:cs="仿宋_GB2312" w:eastAsia="仿宋_GB2312"/>
                    </w:rPr>
                    <w:t>意外伤害医疗费最高赔偿限额 10000 元/人</w:t>
                  </w:r>
                </w:p>
              </w:tc>
            </w:tr>
            <w:tr>
              <w:tc>
                <w:tcPr>
                  <w:tcW w:type="dxa" w:w="930"/>
                  <w:vMerge w:val="restart"/>
                </w:tcPr>
                <w:p>
                  <w:pPr>
                    <w:pStyle w:val="null3"/>
                  </w:pPr>
                  <w:r>
                    <w:rPr>
                      <w:rFonts w:ascii="仿宋_GB2312" w:hAnsi="仿宋_GB2312" w:cs="仿宋_GB2312" w:eastAsia="仿宋_GB2312"/>
                    </w:rPr>
                    <w:t>1. 居所、庭院、小区周围广场、 道路等日常生活空间； 2.农贸市场、超市、宾馆、饭店 等营业性服务场所及上述列明 范围外的其他区域。</w:t>
                  </w:r>
                </w:p>
              </w:tc>
              <w:tc>
                <w:tcPr>
                  <w:tcW w:type="dxa" w:w="930"/>
                </w:tcPr>
                <w:p>
                  <w:pPr>
                    <w:pStyle w:val="null3"/>
                  </w:pPr>
                  <w:r>
                    <w:rPr>
                      <w:rFonts w:ascii="仿宋_GB2312" w:hAnsi="仿宋_GB2312" w:cs="仿宋_GB2312" w:eastAsia="仿宋_GB2312"/>
                    </w:rPr>
                    <w:t>意外身故最高赔偿限额 20000 元/人</w:t>
                  </w:r>
                </w:p>
              </w:tc>
            </w:tr>
            <w:tr>
              <w:tc>
                <w:tcPr>
                  <w:tcW w:type="dxa" w:w="930"/>
                  <w:vMerge/>
                </w:tcPr>
                <w:p/>
              </w:tc>
              <w:tc>
                <w:tcPr>
                  <w:tcW w:type="dxa" w:w="930"/>
                </w:tcPr>
                <w:p>
                  <w:pPr>
                    <w:pStyle w:val="null3"/>
                  </w:pPr>
                  <w:r>
                    <w:rPr>
                      <w:rFonts w:ascii="仿宋_GB2312" w:hAnsi="仿宋_GB2312" w:cs="仿宋_GB2312" w:eastAsia="仿宋_GB2312"/>
                    </w:rPr>
                    <w:t>意外残疾最高赔偿限额 20000 元/人</w:t>
                  </w:r>
                </w:p>
              </w:tc>
            </w:tr>
            <w:tr>
              <w:tc>
                <w:tcPr>
                  <w:tcW w:type="dxa" w:w="930"/>
                  <w:vMerge/>
                </w:tcPr>
                <w:p/>
              </w:tc>
              <w:tc>
                <w:tcPr>
                  <w:tcW w:type="dxa" w:w="930"/>
                </w:tcPr>
                <w:p>
                  <w:pPr>
                    <w:pStyle w:val="null3"/>
                  </w:pPr>
                  <w:r>
                    <w:rPr>
                      <w:rFonts w:ascii="仿宋_GB2312" w:hAnsi="仿宋_GB2312" w:cs="仿宋_GB2312" w:eastAsia="仿宋_GB2312"/>
                    </w:rPr>
                    <w:t>意外伤害医疗费最高赔偿限额 3000 元/人</w:t>
                  </w:r>
                </w:p>
              </w:tc>
            </w:tr>
            <w:tr>
              <w:tc>
                <w:tcPr>
                  <w:tcW w:type="dxa" w:w="1860"/>
                  <w:gridSpan w:val="2"/>
                </w:tcPr>
                <w:p>
                  <w:pPr>
                    <w:pStyle w:val="null3"/>
                  </w:pPr>
                  <w:r>
                    <w:rPr>
                      <w:rFonts w:ascii="仿宋_GB2312" w:hAnsi="仿宋_GB2312" w:cs="仿宋_GB2312" w:eastAsia="仿宋_GB2312"/>
                    </w:rPr>
                    <w:t>备注：1.意外伤害住院津贴为30元/天/人/份；全年住院累计最长赔偿80天。2.意外医疗费免赔额为100 元/次。3.意外医疗费赔付比例：通过医保先行赔付的意外医疗费，剩余部分在医保 赔付的范围内保险人同意按照100%赔付；不通过医保直接向保险人赔付的意外医疗费，在医保赔付的范围内保险人同意按照70%赔付。</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rPr>
              <w:t>1.供应商收到申请人的保险金给付申请书及相关证明和资料后，将及时作出核定。经核定后确定属于保险责任的，在与申请人达成给付保险金协议后十日内，履行给付保险金的义务；不属于保险责任的，将自作出核定之日起三日内向申请人发出拒绝给付保证金通知书，并说明理由。</w:t>
            </w:r>
          </w:p>
          <w:p>
            <w:pPr>
              <w:pStyle w:val="null3"/>
            </w:pPr>
            <w:r>
              <w:rPr>
                <w:rFonts w:ascii="仿宋_GB2312" w:hAnsi="仿宋_GB2312" w:cs="仿宋_GB2312" w:eastAsia="仿宋_GB2312"/>
              </w:rPr>
              <w:t>2.供应商宣传到位，利用多种方式宣传发动，让全社会充分认识老年人意外伤害保险是经济社会发展和人口老龄化发展的客观要求，重点宣传参保内容和参保程序使老年人意外伤害保险方案家喻户晓。</w:t>
            </w:r>
          </w:p>
          <w:p>
            <w:pPr>
              <w:pStyle w:val="null3"/>
            </w:pPr>
            <w:r>
              <w:rPr>
                <w:rFonts w:ascii="仿宋_GB2312" w:hAnsi="仿宋_GB2312" w:cs="仿宋_GB2312" w:eastAsia="仿宋_GB2312"/>
              </w:rPr>
              <w:t>3.协议签订后在24小时内出据保险单。全天24小时接受被保险人或居民咨询和索赔需求，出险后2小时内上门服务，5个工作日内进行理赔处理结案。</w:t>
            </w:r>
          </w:p>
          <w:p>
            <w:pPr>
              <w:pStyle w:val="null3"/>
            </w:pPr>
            <w:r>
              <w:rPr>
                <w:rFonts w:ascii="仿宋_GB2312" w:hAnsi="仿宋_GB2312" w:cs="仿宋_GB2312" w:eastAsia="仿宋_GB2312"/>
              </w:rPr>
              <w:t>4.加强沟通协调。供应商按照公司职责，加强协作配合，进一步分工合理，职责明确，协商沟通，规范有序的工作机制，确保取得实效，使老年人得到实惠；</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进度要求</w:t>
            </w:r>
          </w:p>
        </w:tc>
        <w:tc>
          <w:tcPr>
            <w:tcW w:type="dxa" w:w="2076"/>
          </w:tcPr>
          <w:p>
            <w:pPr>
              <w:pStyle w:val="null3"/>
              <w:jc w:val="both"/>
            </w:pPr>
            <w:r>
              <w:rPr>
                <w:rFonts w:ascii="仿宋_GB2312" w:hAnsi="仿宋_GB2312" w:cs="仿宋_GB2312" w:eastAsia="仿宋_GB2312"/>
              </w:rPr>
              <w:t>保险公司每季度向民政局报送报表，总结理赔案件及理赔金额数字；汇报疑难和遗留问题并阐述理由，提出商议及解决问题的办法；年度末报送全年的工作总结报告和全年的理赔清单报表。</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2.服务期：自合同签订之日起至2025年12月31日二十四时止。</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4.付款方式：自合同签署之日起一个月内，根据单价据实结算，最终结算价格不超过采购总预算。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服务团队人员应包括但不限于①承保②理赔③风险管理④协调沟通等不同专业能力和职能的人员，不少于6人。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自合同签订之日起至2025年12月31日二十四时止。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自合同签署之日起一个月内，根据单价据实结算，最终结算价格不超过采购总预算。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违约责任：如有违反合同约定的义务造成重大损失，区民政局有权解除合同。所造成的损失由保险公司承担，否则，可向区民政局所在地有管辖权人民法院起诉。 解决争议的方法：合同执行中发生争议的，当事人双方应协商解决。协商不一致时，向有管辖权的人民法院提起诉讼。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违约责任：如有违反合同约定的义务造成重大损失，区民政局有权解除合同。所造成的损失由保险公司承担，否则，可向区民政局所在地有管辖权人民法院起诉。 解决争议的方法：合同执行中发生争议的，当事人双方应协商解决。协商不一致时，向有管辖权的人民法院提起诉讼。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2024年7月至今已缴纳的至少一个月的纳税证明或完税证明（任意税种），依法免税的单位应提供相关证明材料；3.提供2024年7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的经审计的财务会计报告（成立时间至提交磋商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业务许可</w:t>
            </w:r>
          </w:p>
        </w:tc>
        <w:tc>
          <w:tcPr>
            <w:tcW w:type="dxa" w:w="3322"/>
          </w:tcPr>
          <w:p>
            <w:pPr>
              <w:pStyle w:val="null3"/>
            </w:pPr>
            <w:r>
              <w:rPr>
                <w:rFonts w:ascii="仿宋_GB2312" w:hAnsi="仿宋_GB2312" w:cs="仿宋_GB2312" w:eastAsia="仿宋_GB2312"/>
              </w:rPr>
              <w:t>供应商应具有中国银行保险监督管理委员会颁发的《经营保险业务许可证》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磋商方案说明书.pdf 商务条款偏离表.pdf 中小企业声明函 报价表 业绩.pdf 响应文件封面 供应商参加政府采购活动承诺书.pdf 残疾人福利性单位声明函 其它说明.pdf 标的清单 响应函 资格证明文件.pdf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磋商方案说明书.pdf 商务条款偏离表.pdf 中小企业声明函 报价表 业绩.pdf 响应文件封面 供应商参加政府采购活动承诺书.pdf 残疾人福利性单位声明函 其它说明.pdf 标的清单 响应函 资格证明文件.pdf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磋商方案说明书.pdf 商务条款偏离表.pdf 其它说明.pdf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磋商方案说明书.pdf 商务条款偏离表.pdf 其它说明.pdf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磋商方案说明书.pdf 商务条款偏离表.pdf 其它说明.pdf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磋商方案说明书.pdf 商务条款偏离表.pdf 其它说明.pdf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供应商项目组织实施方案的科学性、合理性、规范性和可操作性，包括组织机构、实施场所、宣传方案、工作时间进度表、工作程序和步骤、管理和协调方法、关键步骤的思路和要点等。 科学、合理、有效，针对性及可行性强计7-10分； 较科学合理，针对性及可行性较强计4-7（含）分； 基本合理、内容较完善计0-4（含）分。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其它说明.pdf</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供应商应对采购人、投保人（被保险人）提供合理的、覆盖面广的保险专业培训，确保采购人、投保人（被保险人）充分理解保险、理赔流程等，并定期提供项目承保报告，予以评分。 科学、合理、有效，针对性及可行性强计7-10分； 较科学合理，针对性及可行性较强计4-7（含）分； 基本合理、内容较完善计0-4（含）分。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其它说明.pdf</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服务商提供上门和其他便捷理赔服务的，根据服务商描述上门及其他便捷理赔服务方案。 科学、合理、有效，针对性及可行性强计7-10分； 较科学合理，针对性及可行性较强计4-7（含）分； 基本合理、内容较完善计0-4（含）分。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其它说明.pdf</w:t>
            </w:r>
          </w:p>
        </w:tc>
      </w:tr>
      <w:tr>
        <w:tc>
          <w:tcPr>
            <w:tcW w:type="dxa" w:w="831"/>
            <w:vMerge/>
          </w:tcPr>
          <w:p/>
        </w:tc>
        <w:tc>
          <w:tcPr>
            <w:tcW w:type="dxa" w:w="1661"/>
          </w:tcPr>
          <w:p>
            <w:pPr>
              <w:pStyle w:val="null3"/>
            </w:pPr>
            <w:r>
              <w:rPr>
                <w:rFonts w:ascii="仿宋_GB2312" w:hAnsi="仿宋_GB2312" w:cs="仿宋_GB2312" w:eastAsia="仿宋_GB2312"/>
              </w:rPr>
              <w:t>服务方案4</w:t>
            </w:r>
          </w:p>
        </w:tc>
        <w:tc>
          <w:tcPr>
            <w:tcW w:type="dxa" w:w="2492"/>
          </w:tcPr>
          <w:p>
            <w:pPr>
              <w:pStyle w:val="null3"/>
            </w:pPr>
            <w:r>
              <w:rPr>
                <w:rFonts w:ascii="仿宋_GB2312" w:hAnsi="仿宋_GB2312" w:cs="仿宋_GB2312" w:eastAsia="仿宋_GB2312"/>
              </w:rPr>
              <w:t>针对本项目配备健全的人员配备清单，服务团队人员应包括但不限于①承保②理赔③风险管理④协调沟通等不同专业能力和职能的人员，不少于6人。人员配备设置合理，管理及专业人员配备齐全、分工明确、职责清晰计7-10分； 人员配备设置较合理，管理及专业人员配备齐全、分工及岗位职责较清晰计4-7（含)分； 人员配备设置基本合理，管理及专业人员分工及岗位职责不清晰计0-4（含)分。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其它说明.pdf</w:t>
            </w:r>
          </w:p>
        </w:tc>
      </w:tr>
      <w:tr>
        <w:tc>
          <w:tcPr>
            <w:tcW w:type="dxa" w:w="831"/>
            <w:vMerge/>
          </w:tcPr>
          <w:p/>
        </w:tc>
        <w:tc>
          <w:tcPr>
            <w:tcW w:type="dxa" w:w="1661"/>
          </w:tcPr>
          <w:p>
            <w:pPr>
              <w:pStyle w:val="null3"/>
            </w:pPr>
            <w:r>
              <w:rPr>
                <w:rFonts w:ascii="仿宋_GB2312" w:hAnsi="仿宋_GB2312" w:cs="仿宋_GB2312" w:eastAsia="仿宋_GB2312"/>
              </w:rPr>
              <w:t>服务方案5</w:t>
            </w:r>
          </w:p>
        </w:tc>
        <w:tc>
          <w:tcPr>
            <w:tcW w:type="dxa" w:w="2492"/>
          </w:tcPr>
          <w:p>
            <w:pPr>
              <w:pStyle w:val="null3"/>
            </w:pPr>
            <w:r>
              <w:rPr>
                <w:rFonts w:ascii="仿宋_GB2312" w:hAnsi="仿宋_GB2312" w:cs="仿宋_GB2312" w:eastAsia="仿宋_GB2312"/>
              </w:rPr>
              <w:t>对被保险人提供理赔材料有欠缺的协助处理方案，提供相关方案。 方案全面、快速可行、有效，针对性强计6-8分； 较合理，针对性及可行性较强计3-6（含）分；方案较简洁，可行性及针对性较差得0-3分（含）。</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其它说明.pdf</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供应商针对本项目所提供的后期服务以及是否有保险服务专员、日常服务回访机制等。 科学、合理、有效，针对性及可行性强计3-7分； 较科学合理，针对性及可行性较强计0-3（含）分；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其它说明.pdf</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偿付能力充足率：供应商应提供上一年度经第三方审计机构出具的偿付能力报告，综合偿付能力 200%及以上计5分，综合偿付能力 150%(含)-200%计4分，综合偿付能力100%(含)-150%计3分。综合偿付能力低于100%不计分（未提供经第三方机构审计的年度末偿付能力报告不计分）。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其它说明.pdf</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风险综合评级：供应商所属总公司近两年（2023-2024年）风险综合评级情况，按每个季度风险综合评级（分类监管）评价得分，每获得一次A的，得1分；每获得一次B的，得0.5分；C、D不得分，满分8分。（提供供应商所属总公司风险综合评级相关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其它说明.pdf</w:t>
            </w:r>
          </w:p>
        </w:tc>
      </w:tr>
      <w:tr>
        <w:tc>
          <w:tcPr>
            <w:tcW w:type="dxa" w:w="831"/>
            <w:vMerge/>
          </w:tcPr>
          <w:p/>
        </w:tc>
        <w:tc>
          <w:tcPr>
            <w:tcW w:type="dxa" w:w="1661"/>
          </w:tcPr>
          <w:p>
            <w:pPr>
              <w:pStyle w:val="null3"/>
            </w:pPr>
            <w:r>
              <w:rPr>
                <w:rFonts w:ascii="仿宋_GB2312" w:hAnsi="仿宋_GB2312" w:cs="仿宋_GB2312" w:eastAsia="仿宋_GB2312"/>
              </w:rPr>
              <w:t>履约能力4</w:t>
            </w:r>
          </w:p>
        </w:tc>
        <w:tc>
          <w:tcPr>
            <w:tcW w:type="dxa" w:w="2492"/>
          </w:tcPr>
          <w:p>
            <w:pPr>
              <w:pStyle w:val="null3"/>
            </w:pPr>
            <w:r>
              <w:rPr>
                <w:rFonts w:ascii="仿宋_GB2312" w:hAnsi="仿宋_GB2312" w:cs="仿宋_GB2312" w:eastAsia="仿宋_GB2312"/>
              </w:rPr>
              <w:t>供应商在采购内容之外能够对被保险人提供另外的增值服务，按照提供的增值服务项目，每提供一项增值服务得 1 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其它说明.pdf</w:t>
            </w:r>
          </w:p>
        </w:tc>
      </w:tr>
      <w:tr>
        <w:tc>
          <w:tcPr>
            <w:tcW w:type="dxa" w:w="831"/>
            <w:vMerge/>
          </w:tcPr>
          <w:p/>
        </w:tc>
        <w:tc>
          <w:tcPr>
            <w:tcW w:type="dxa" w:w="1661"/>
          </w:tcPr>
          <w:p>
            <w:pPr>
              <w:pStyle w:val="null3"/>
            </w:pPr>
            <w:r>
              <w:rPr>
                <w:rFonts w:ascii="仿宋_GB2312" w:hAnsi="仿宋_GB2312" w:cs="仿宋_GB2312" w:eastAsia="仿宋_GB2312"/>
              </w:rPr>
              <w:t>履约能力5</w:t>
            </w:r>
          </w:p>
        </w:tc>
        <w:tc>
          <w:tcPr>
            <w:tcW w:type="dxa" w:w="2492"/>
          </w:tcPr>
          <w:p>
            <w:pPr>
              <w:pStyle w:val="null3"/>
            </w:pPr>
            <w:r>
              <w:rPr>
                <w:rFonts w:ascii="仿宋_GB2312" w:hAnsi="仿宋_GB2312" w:cs="仿宋_GB2312" w:eastAsia="仿宋_GB2312"/>
              </w:rPr>
              <w:t>本地化售后服务能力强,能提供有效证明资料包括但不限于①服务网点（提供地址、联系人、联系方式等）②服务人员名单（至少包括姓名、工号）； 证明材料详细合理，具有响应及时的本地化服务能力计7-10分； 证明材料较详细合理，响应及时的本地化服务能力较强计4-7（含）分； 证明材料较简洁，响应及时的本地化服务能力较差计0-4（含）分。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磋商方案说明书.pdf</w:t>
            </w:r>
          </w:p>
          <w:p>
            <w:pPr>
              <w:pStyle w:val="null3"/>
            </w:pPr>
            <w:r>
              <w:rPr>
                <w:rFonts w:ascii="仿宋_GB2312" w:hAnsi="仿宋_GB2312" w:cs="仿宋_GB2312" w:eastAsia="仿宋_GB2312"/>
              </w:rPr>
              <w:t>其它说明.pdf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供应商2021年01月01日至今类似保险项目业绩，每提供1份计2分，最高得8分； 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详见附件：磋商方案说明书.pdf</w:t>
      </w:r>
    </w:p>
    <w:p>
      <w:pPr>
        <w:pStyle w:val="null3"/>
        <w:ind w:firstLine="960"/>
      </w:pPr>
      <w:r>
        <w:rPr>
          <w:rFonts w:ascii="仿宋_GB2312" w:hAnsi="仿宋_GB2312" w:cs="仿宋_GB2312" w:eastAsia="仿宋_GB2312"/>
        </w:rPr>
        <w:t>详见附件：供应商参加政府采购活动承诺书.pdf</w:t>
      </w:r>
    </w:p>
    <w:p>
      <w:pPr>
        <w:pStyle w:val="null3"/>
        <w:ind w:firstLine="960"/>
      </w:pPr>
      <w:r>
        <w:rPr>
          <w:rFonts w:ascii="仿宋_GB2312" w:hAnsi="仿宋_GB2312" w:cs="仿宋_GB2312" w:eastAsia="仿宋_GB2312"/>
        </w:rPr>
        <w:t>详见附件：商务条款偏离表.pdf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详见附件：其它说明.pdf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详见附件：2025年老年人意外伤害保险采购项目采购合同.docx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