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高压开关厂国控站点选址服务项目</w:t>
      </w:r>
    </w:p>
    <w:p>
      <w:pPr>
        <w:pStyle w:val="null3"/>
        <w:jc w:val="center"/>
        <w:outlineLvl w:val="2"/>
      </w:pPr>
      <w:r>
        <w:rPr>
          <w:sz w:val="28"/>
          <w:b/>
        </w:rPr>
        <w:t>采购项目编号：</w:t>
      </w:r>
      <w:r>
        <w:rPr>
          <w:sz w:val="28"/>
          <w:b/>
        </w:rPr>
        <w:t>SXZY2024-ZC018-CS</w:t>
      </w:r>
      <w:r>
        <w:br/>
      </w:r>
      <w:r>
        <w:br/>
      </w:r>
      <w:r>
        <w:br/>
      </w:r>
    </w:p>
    <w:p>
      <w:pPr>
        <w:pStyle w:val="null3"/>
        <w:jc w:val="center"/>
        <w:outlineLvl w:val="2"/>
      </w:pPr>
      <w:r>
        <w:rPr>
          <w:sz w:val="28"/>
          <w:b/>
        </w:rPr>
        <w:t>西安市莲湖区机关事务服务中心</w:t>
      </w:r>
    </w:p>
    <w:p>
      <w:pPr>
        <w:pStyle w:val="null3"/>
        <w:jc w:val="center"/>
        <w:outlineLvl w:val="2"/>
      </w:pPr>
      <w:r>
        <w:rPr>
          <w:sz w:val="28"/>
          <w:b/>
        </w:rPr>
        <w:t>陕西中易项目管理有限公司</w:t>
      </w:r>
      <w:r>
        <w:rPr>
          <w:sz w:val="28"/>
          <w:b/>
        </w:rPr>
        <w:t>共同编制</w:t>
      </w:r>
    </w:p>
    <w:p>
      <w:pPr>
        <w:pStyle w:val="null3"/>
        <w:jc w:val="center"/>
        <w:outlineLvl w:val="2"/>
      </w:pPr>
      <w:r>
        <w:rPr>
          <w:sz w:val="28"/>
          <w:b/>
        </w:rPr>
        <w:t>2024年09月06日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陕西中易项目管理有限公司</w:t>
      </w:r>
      <w:r>
        <w:rPr/>
        <w:t>（以下简称“代理机构”）受</w:t>
      </w:r>
      <w:r>
        <w:rPr/>
        <w:t>西安市莲湖区机关事务服务中心</w:t>
      </w:r>
      <w:r>
        <w:rPr/>
        <w:t>委托，拟对</w:t>
      </w:r>
      <w:r>
        <w:rPr/>
        <w:t>高压开关厂国控站点选址服务项目</w:t>
      </w:r>
      <w:r>
        <w:rPr/>
        <w:t>采用竞争性磋商采购方式进行采购，兹邀请供应商参加本项目的竞争性磋商。</w:t>
      </w:r>
    </w:p>
    <w:p>
      <w:pPr>
        <w:pStyle w:val="null3"/>
        <w:outlineLvl w:val="2"/>
      </w:pPr>
      <w:r>
        <w:rPr>
          <w:sz w:val="28"/>
          <w:b/>
        </w:rPr>
        <w:t>一、项目编号：</w:t>
      </w:r>
      <w:r>
        <w:rPr>
          <w:sz w:val="28"/>
          <w:b/>
        </w:rPr>
        <w:t>SXZY2024-ZC018-CS</w:t>
      </w:r>
    </w:p>
    <w:p>
      <w:pPr>
        <w:pStyle w:val="null3"/>
        <w:outlineLvl w:val="2"/>
      </w:pPr>
      <w:r>
        <w:rPr>
          <w:sz w:val="28"/>
          <w:b/>
        </w:rPr>
        <w:t>二、项目名称：</w:t>
      </w:r>
      <w:r>
        <w:rPr>
          <w:sz w:val="28"/>
          <w:b/>
        </w:rPr>
        <w:t>高压开关厂国控站点选址服务项目</w:t>
      </w:r>
    </w:p>
    <w:p>
      <w:pPr>
        <w:pStyle w:val="null3"/>
        <w:outlineLvl w:val="2"/>
      </w:pPr>
      <w:r>
        <w:rPr>
          <w:sz w:val="28"/>
          <w:b/>
        </w:rPr>
        <w:t>三、磋商项目简介</w:t>
      </w:r>
    </w:p>
    <w:p>
      <w:pPr>
        <w:pStyle w:val="null3"/>
        <w:ind w:firstLine="480"/>
      </w:pPr>
      <w:r>
        <w:rPr/>
        <w:t>原站点现在位置不能真实反映莲湖区空气质量。另外，高压开关厂国控站点目前所处位置区域正在或即将面临搬迁改造。为科学客观评价莲湖区环境空气质量，真实准确反映大气污染治理攻坚成效，现需对国控站点进行重新选址。本次采购高压开关厂国控站点重新选址服务，服务内容主要包括现场勘测、设备租赁、站房租赁、专家论证、数据监测、运维服务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采购包1（高压开关厂国控站点选址服务项目）：属于专门面向中小企业采购。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t>2、财务状况报告：提供2023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t>3、税收缴纳证明：提供2024年至今已缴纳的至少一个月的纳税证明或完税证明（任意税种），依法免税的单位应提供相关证明材料；</w:t>
      </w:r>
    </w:p>
    <w:p>
      <w:pPr>
        <w:pStyle w:val="null3"/>
      </w:pPr>
      <w:r>
        <w:rPr/>
        <w:t>4、社会保障资金缴纳证明：提供2024年至今已缴存的至少一个月的社会保障资金缴存单据或社保机构开具的社会保险参保缴费情况证明，依法不需要缴纳社会保障资金的单位应提供相关证明材料；</w:t>
      </w:r>
    </w:p>
    <w:p>
      <w:pPr>
        <w:pStyle w:val="null3"/>
      </w:pPr>
      <w:r>
        <w:rPr/>
        <w:t>5、承诺：提供具有履行合同所必需的设备和专业技术能力的承诺；</w:t>
      </w:r>
    </w:p>
    <w:p>
      <w:pPr>
        <w:pStyle w:val="null3"/>
      </w:pPr>
      <w:r>
        <w:rPr/>
        <w:t>6、书面声明：参加政府采购活动前三年内，在经营活动中没有重大违法记录的书面声明；</w:t>
      </w:r>
    </w:p>
    <w:p>
      <w:pPr>
        <w:pStyle w:val="null3"/>
      </w:pPr>
      <w:r>
        <w:rPr/>
        <w:t>7、法定代表人授权书/法定代表人身份证明：法定代表人授权书（附法定代表人、被授权人身份证复印件），法定代表人直接参加磋商，须提供法定代表人身份证明。</w:t>
      </w:r>
    </w:p>
    <w:p>
      <w:pPr>
        <w:pStyle w:val="null3"/>
      </w:pPr>
      <w:r>
        <w:rPr/>
        <w:t>8、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t>9、联合体：本项目不接受联合体磋商；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西安市莲湖区机关事务服务中心</w:t>
      </w:r>
    </w:p>
    <w:p>
      <w:pPr>
        <w:pStyle w:val="null3"/>
      </w:pPr>
      <w:r>
        <w:rPr/>
        <w:t xml:space="preserve"> 地址： </w:t>
      </w:r>
      <w:r>
        <w:rPr/>
        <w:t>西安市莲湖区北院门159号</w:t>
      </w:r>
    </w:p>
    <w:p>
      <w:pPr>
        <w:pStyle w:val="null3"/>
      </w:pPr>
      <w:r>
        <w:rPr/>
        <w:t xml:space="preserve"> 邮编： </w:t>
      </w:r>
      <w:r>
        <w:rPr/>
        <w:t>710082</w:t>
      </w:r>
    </w:p>
    <w:p>
      <w:pPr>
        <w:pStyle w:val="null3"/>
      </w:pPr>
      <w:r>
        <w:rPr/>
        <w:t xml:space="preserve"> 联系人： </w:t>
      </w:r>
      <w:r>
        <w:rPr/>
        <w:t>陈老师</w:t>
      </w:r>
    </w:p>
    <w:p>
      <w:pPr>
        <w:pStyle w:val="null3"/>
      </w:pPr>
      <w:r>
        <w:rPr/>
        <w:t xml:space="preserve"> 联系电话： </w:t>
      </w:r>
      <w:r>
        <w:rPr/>
        <w:t>029-88632762</w:t>
      </w:r>
    </w:p>
    <w:p>
      <w:pPr>
        <w:pStyle w:val="null3"/>
        <w:outlineLvl w:val="3"/>
      </w:pPr>
      <w:r>
        <w:rPr>
          <w:sz w:val="24"/>
          <w:b/>
        </w:rPr>
        <w:t>代理机构：</w:t>
      </w:r>
      <w:r>
        <w:rPr>
          <w:sz w:val="24"/>
          <w:b/>
        </w:rPr>
        <w:t>陕西中易项目管理有限公司</w:t>
      </w:r>
    </w:p>
    <w:p>
      <w:pPr>
        <w:pStyle w:val="null3"/>
      </w:pPr>
      <w:r>
        <w:rPr/>
        <w:t xml:space="preserve"> 地址： </w:t>
      </w:r>
      <w:r>
        <w:rPr/>
        <w:t>西安市未央区尚稷路与文景路交叉口碧桂园文景府2号楼物业中心2楼</w:t>
      </w:r>
    </w:p>
    <w:p>
      <w:pPr>
        <w:pStyle w:val="null3"/>
      </w:pPr>
      <w:r>
        <w:rPr/>
        <w:t xml:space="preserve"> 邮编： </w:t>
      </w:r>
      <w:r>
        <w:rPr/>
        <w:t>710016</w:t>
      </w:r>
    </w:p>
    <w:p>
      <w:pPr>
        <w:pStyle w:val="null3"/>
      </w:pPr>
      <w:r>
        <w:rPr/>
        <w:t xml:space="preserve"> 联系人： </w:t>
      </w:r>
      <w:r>
        <w:rPr/>
        <w:t>赵工</w:t>
      </w:r>
    </w:p>
    <w:p>
      <w:pPr>
        <w:pStyle w:val="null3"/>
      </w:pPr>
      <w:r>
        <w:rPr/>
        <w:t xml:space="preserve"> 联系电话： </w:t>
      </w:r>
      <w:r>
        <w:rPr/>
        <w:t>13319236337</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029-87614013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采购包1：735,000.00元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颁发的《招标代理服务收费管理暂行办法》（计价格〔2002〕1980号）、国家发展和改革委员会办公厅颁发的《关于招标代理服务收费有关问题的通知》（发改办价格〔2003〕857号）的有关规定执行。 2.支付方式：成交供应商应在领取通知书的同时，支付本项目代理服务费。收款账户如下：收款单位：陕西中易项目管理有限公司； 开户银行：中国建设银行股份有限公司西安经济技术开发区支行； 银行账号：61050193004100002355。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西安市莲湖区机关事务服务中心</w:t>
      </w:r>
      <w:r>
        <w:rPr/>
        <w:t>和</w:t>
      </w:r>
      <w:r>
        <w:rPr/>
        <w:t>陕西中易项目管理有限公司</w:t>
      </w:r>
      <w:r>
        <w:rPr/>
        <w:t>享有。对磋商文件中供应商参加本次政府采购活动应当具备的条件，磋商项目技术、服务、商务及其他要求，评审细则及标准由</w:t>
      </w:r>
      <w:r>
        <w:rPr/>
        <w:t>西安市莲湖区机关事务服务中心</w:t>
      </w:r>
      <w:r>
        <w:rPr/>
        <w:t>负责解释。除上述磋商文件内容，其他内容由</w:t>
      </w:r>
      <w:r>
        <w:rPr/>
        <w:t>陕西中易项目管理有限公司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西安市莲湖区机关事务服务中心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陕西中易项目管理有限公司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1.《国务院办公厅关于印发生态环境监测网络建设方案的通知》（国办发〔2015〕56号）； 2.《环境空气质量标准》（GB3095-2012）及其修改单； 3.《环境空气质量监测点位布设技术规范（试行）》（HJ664-2013 ）； 4.《环境空气质量评价技术规范（试行）》（HJ663-2013）； 5.《环境质量监测点位管理办法》（环办〔2011〕107号）； 6.《国家环境空气质量监测网城市站运行管理实施细则（试行）》（环办监测函〔2017〕290号）； 7.《环境空气颗粒物（PM10和PM2.5）连续自动监测系统技术要求和检测方法》（HJ653-2013）； 8.《环境空气颗粒物（PM10和PM2.5）连续自动监测系统安装和验收技术规范》（HJ655-2013）； 9.《环境空气气态污染物（SO2、NO2、03、CO）连续自动监测系统技术要求和检测方法》（HJ654-2013）； 10.《环境空气气态污染物（SO2、NO2、03、CO）连续自动监测系统安装验收技术规范》（HJ193-2013）； 11.《环境空气颗粒物（PM10和PM2.5）连续自动监测系统运行和质控技术规范》（HJ817-2018）； 12.《环境空气气态污染物（SO2、NO2、03、CO）连续自动监测系统运行和质控技术规范》（HJ818-2018）。</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陕西中易项目管理有限公司</w:t>
      </w:r>
      <w:r>
        <w:rPr/>
        <w:t xml:space="preserve"> 负责答复；供应商对除采购需求外的采购文件的询问、质疑由</w:t>
      </w:r>
      <w:r>
        <w:rPr/>
        <w:t>陕西中易项目管理有限公司</w:t>
      </w:r>
      <w:r>
        <w:rPr/>
        <w:t xml:space="preserve"> 负责答复；供应商对采购过程、采购结果的询问、质疑由 </w:t>
      </w:r>
      <w:r>
        <w:rPr/>
        <w:t>陕西中易项目管理有限公司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联系人：赵工</w:t>
      </w:r>
    </w:p>
    <w:p>
      <w:pPr>
        <w:pStyle w:val="null3"/>
      </w:pPr>
      <w:r>
        <w:rPr/>
        <w:t>联系电话：13319236337</w:t>
      </w:r>
    </w:p>
    <w:p>
      <w:pPr>
        <w:pStyle w:val="null3"/>
      </w:pPr>
      <w:r>
        <w:rPr/>
        <w:t>地址：西安市未央区尚稷路与文景路交叉口碧桂园文景府2号楼物业中心2楼</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原站点现在位置不能真实反映莲湖区空气质量。另外，高压开关厂国控站点目前所处位置区域正在或即将面临搬迁改造。为科学客观评价莲湖区环境空气质量，真实准确反映大气污染治理攻坚成效，现需对国控站点进行重新选址。本次采购高压开关厂国控站点重新选址服务，服务内容主要包括现场勘测、设备租赁、站房租赁、专家论证、数据监测、运维服务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735,000.00</w:t>
      </w:r>
    </w:p>
    <w:p>
      <w:pPr>
        <w:pStyle w:val="null3"/>
      </w:pPr>
      <w:r>
        <w:rPr/>
        <w:t>采购包最高限价（元）: 735,000.00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高压开关厂国控站点选址服务</w:t>
            </w:r>
          </w:p>
        </w:tc>
        <w:tc>
          <w:tcPr>
            <w:tcW w:type="dxa" w:w="831"/>
          </w:tcPr>
          <w:p>
            <w:pPr>
              <w:pStyle w:val="null3"/>
              <w:jc w:val="right"/>
            </w:pPr>
            <w:r>
              <w:rPr/>
              <w:t>1.00</w:t>
            </w:r>
          </w:p>
        </w:tc>
        <w:tc>
          <w:tcPr>
            <w:tcW w:type="dxa" w:w="831"/>
          </w:tcPr>
          <w:p>
            <w:pPr>
              <w:pStyle w:val="null3"/>
              <w:jc w:val="right"/>
            </w:pPr>
            <w:r>
              <w:rPr/>
              <w:t>735,000.00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标的名称：高压开关厂国控站点选址服务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b/>
              </w:rPr>
              <w:t>一、项目要求</w:t>
            </w:r>
          </w:p>
          <w:p>
            <w:pPr>
              <w:pStyle w:val="null3"/>
            </w:pPr>
            <w:r>
              <w:rPr/>
              <w:t>1.服务地点：采购人指定地点。</w:t>
            </w:r>
          </w:p>
          <w:p>
            <w:pPr>
              <w:pStyle w:val="null3"/>
            </w:pPr>
            <w:r>
              <w:rPr/>
              <w:t>2.服务期限：自合同签订之日起6个月。</w:t>
            </w:r>
          </w:p>
          <w:p>
            <w:pPr>
              <w:pStyle w:val="null3"/>
            </w:pPr>
            <w:r>
              <w:rPr/>
              <w:t>3.成交供应商不得将项目转包或分包给第三方。</w:t>
            </w:r>
          </w:p>
          <w:p>
            <w:pPr>
              <w:pStyle w:val="null3"/>
            </w:pPr>
            <w:r>
              <w:rPr/>
              <w:t>4.付款方式：（1）合同签订后，支付合同总金额的50%作为预付款；</w:t>
            </w:r>
          </w:p>
          <w:p>
            <w:pPr>
              <w:pStyle w:val="null3"/>
            </w:pPr>
            <w:r>
              <w:rPr/>
              <w:t>（2）服务期满且本合同约定服务内容经甲方验收合格后一个月内，支付本合同剩余价款。</w:t>
            </w:r>
          </w:p>
          <w:p>
            <w:pPr>
              <w:pStyle w:val="null3"/>
            </w:pPr>
            <w:r>
              <w:rPr/>
              <w:t>（3）由甲方负责结算，乙方开具合同总价数的全额发票交采购人，由乙方按照磋商文件中约定的付款方式向甲方提出申请，征得西安市莲湖区财政局同意后，待财政拨付到位后按磋商文件中规定的付款方式进行结算。</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b/>
              </w:rPr>
              <w:t>二、服务内容</w:t>
            </w:r>
          </w:p>
          <w:p>
            <w:pPr>
              <w:pStyle w:val="null3"/>
            </w:pPr>
            <w:r>
              <w:rPr/>
              <w:t>（一）无人机以及人工现场勘测</w:t>
            </w:r>
          </w:p>
          <w:p>
            <w:pPr>
              <w:pStyle w:val="null3"/>
            </w:pPr>
            <w:r>
              <w:rPr/>
              <w:t>在莲湖区辖区范围内，通过无人机勘测、城市高空影像分析，确定初步意向点，对符合空气站建设点位进行人工现场勘测；</w:t>
            </w:r>
          </w:p>
          <w:p>
            <w:pPr>
              <w:pStyle w:val="null3"/>
            </w:pPr>
            <w:r>
              <w:rPr/>
              <w:t>（二）设备租赁技术服务</w:t>
            </w:r>
          </w:p>
          <w:p>
            <w:pPr>
              <w:pStyle w:val="null3"/>
            </w:pPr>
            <w:r>
              <w:rPr/>
              <w:t>供应商需提供3套标准6参数空气监测设备，监测因子包含PM10、PM2.5、O3、SO2、NOX、CO、气象五参数等。其中两套设备租赁期限为30天，一套设备租赁期限为60天。设备要求同国控站点有可比性，供应商负责站点的建设安装，仪器提供，日常运行维护并承担监测期所需耗材、电费、网费等相关费用；</w:t>
            </w:r>
          </w:p>
          <w:p>
            <w:pPr>
              <w:pStyle w:val="null3"/>
            </w:pPr>
            <w:r>
              <w:rPr/>
              <w:t>（三）站房租赁</w:t>
            </w:r>
          </w:p>
          <w:p>
            <w:pPr>
              <w:pStyle w:val="null3"/>
            </w:pPr>
            <w:r>
              <w:rPr/>
              <w:t>供应商需提供空气站小型机柜式站房3个，其中两套租赁期限30天，一套租赁期限60天；</w:t>
            </w:r>
          </w:p>
          <w:p>
            <w:pPr>
              <w:pStyle w:val="null3"/>
            </w:pPr>
            <w:r>
              <w:rPr/>
              <w:t>（四）监测数据比对分析</w:t>
            </w:r>
          </w:p>
          <w:p>
            <w:pPr>
              <w:pStyle w:val="null3"/>
            </w:pPr>
            <w:r>
              <w:rPr/>
              <w:t>对3个待选点位数据与国控站点数据进行比对分析，并形成分析报告；</w:t>
            </w:r>
          </w:p>
          <w:p>
            <w:pPr>
              <w:pStyle w:val="null3"/>
            </w:pPr>
            <w:r>
              <w:rPr/>
              <w:t>（五）技术报告及专家论证</w:t>
            </w:r>
          </w:p>
          <w:p>
            <w:pPr>
              <w:pStyle w:val="null3"/>
            </w:pPr>
            <w:r>
              <w:rPr/>
              <w:t>根据拟选点位的周边情况，拟选点位数据比对报告，编制国控站点选址技术总体报告，并组织专家进行论证，生成最终报告。</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b/>
              </w:rPr>
              <w:t>三、技术要求</w:t>
            </w:r>
          </w:p>
          <w:p>
            <w:pPr>
              <w:pStyle w:val="null3"/>
            </w:pPr>
            <w:r>
              <w:rPr/>
              <w:t>选址服务过程中点位的确定、现场设备安装调试及运行维护、相关报告编制需遵循以下国家标准及文件：</w:t>
            </w:r>
          </w:p>
          <w:p>
            <w:pPr>
              <w:pStyle w:val="null3"/>
            </w:pPr>
            <w:r>
              <w:rPr/>
              <w:t>1.《国务院办公厅关于印发生态环境监测网络建设方案的通知》（国办发〔2015〕56号）；</w:t>
            </w:r>
          </w:p>
          <w:p>
            <w:pPr>
              <w:pStyle w:val="null3"/>
            </w:pPr>
            <w:r>
              <w:rPr/>
              <w:t>2.《环境空气质量标准》（GB3095-2012）及其修改单；</w:t>
            </w:r>
          </w:p>
          <w:p>
            <w:pPr>
              <w:pStyle w:val="null3"/>
            </w:pPr>
            <w:r>
              <w:rPr/>
              <w:t>3.《环境空气质量监测点位布设技术规范（试行）》（HJ664-2013 ）；</w:t>
            </w:r>
          </w:p>
          <w:p>
            <w:pPr>
              <w:pStyle w:val="null3"/>
            </w:pPr>
            <w:r>
              <w:rPr/>
              <w:t>4.《环境空气质量评价技术规范（试行）》（HJ663-2013）；</w:t>
            </w:r>
          </w:p>
          <w:p>
            <w:pPr>
              <w:pStyle w:val="null3"/>
            </w:pPr>
            <w:r>
              <w:rPr/>
              <w:t>5.《环境质量监测点位管理办法》（环办〔2011〕107号）；</w:t>
            </w:r>
          </w:p>
          <w:p>
            <w:pPr>
              <w:pStyle w:val="null3"/>
            </w:pPr>
            <w:r>
              <w:rPr/>
              <w:t>6.《国家环境空气质量监测网城市站运行管理实施细则（试行）》（环办监测函〔2017〕290号）；</w:t>
            </w:r>
          </w:p>
          <w:p>
            <w:pPr>
              <w:pStyle w:val="null3"/>
            </w:pPr>
            <w:r>
              <w:rPr/>
              <w:t>7.《环境空气颗粒物（PM10和PM2.5）连续自动监测系统技术要求和检测方法》（HJ653-2013）；</w:t>
            </w:r>
          </w:p>
          <w:p>
            <w:pPr>
              <w:pStyle w:val="null3"/>
            </w:pPr>
            <w:r>
              <w:rPr/>
              <w:t>8.《环境空气颗粒物（PM10和PM2.5）连续自动监测系统安装和验收技术规范》（HJ655-2013）；</w:t>
            </w:r>
          </w:p>
          <w:p>
            <w:pPr>
              <w:pStyle w:val="null3"/>
            </w:pPr>
            <w:r>
              <w:rPr/>
              <w:t>9.《环境空气气态污染物（SO2、NO2、03、CO）连续自动监测系统技术要求和检测方法》（HJ654-2013）；</w:t>
            </w:r>
          </w:p>
          <w:p>
            <w:pPr>
              <w:pStyle w:val="null3"/>
            </w:pPr>
            <w:r>
              <w:rPr/>
              <w:t>10.《环境空气气态污染物（SO2、NO2、03、CO）连续自动监测系统安装验收技术规范》（HJ193-2013）；</w:t>
            </w:r>
          </w:p>
          <w:p>
            <w:pPr>
              <w:pStyle w:val="null3"/>
            </w:pPr>
            <w:r>
              <w:rPr/>
              <w:t>11.《环境空气颗粒物（PM10和PM2.5）连续自动监测系统运行和质控技术规范》（HJ817-2018）；</w:t>
            </w:r>
          </w:p>
          <w:p>
            <w:pPr>
              <w:pStyle w:val="null3"/>
            </w:pPr>
            <w:r>
              <w:rPr/>
              <w:t>12.《环境空气气态污染物（SO2、NO2、03、CO）连续自动监测系统运行和质控技术规范》（HJ818-2018）。</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b/>
              </w:rPr>
              <w:t>四、服务要求</w:t>
            </w:r>
          </w:p>
          <w:p>
            <w:pPr>
              <w:pStyle w:val="null3"/>
            </w:pPr>
            <w:r>
              <w:rPr/>
              <w:t>1.本项目要求提供至少2名专业技术服务人员，进行空气站设备比对调试，数据运维保障服务。</w:t>
            </w:r>
          </w:p>
          <w:p>
            <w:pPr>
              <w:pStyle w:val="null3"/>
            </w:pPr>
            <w:r>
              <w:rPr/>
              <w:t>2.在辖区内选取2-3个符合国家站点建设要求的站址，并在选取站址上采取国标六参数(PM10、PM2.5、S02、N02、CO、03 )监测方式，开展数据监测，通过数据比对分析并咨询专家意见，确定一处扩散条件好，数据具有较好代表性的新站址，并提供相关技术报告。</w:t>
            </w:r>
          </w:p>
        </w:tc>
      </w:tr>
    </w:tbl>
    <w:p>
      <w:pPr>
        <w:pStyle w:val="null3"/>
        <w:outlineLvl w:val="2"/>
      </w:pPr>
      <w:r>
        <w:rPr>
          <w:sz w:val="28"/>
          <w:b/>
        </w:rPr>
        <w:t>3.2.3人员配置要求</w:t>
      </w:r>
    </w:p>
    <w:p>
      <w:pPr>
        <w:pStyle w:val="null3"/>
      </w:pPr>
      <w:r>
        <w:rPr/>
        <w:t>采购包1：</w:t>
      </w:r>
    </w:p>
    <w:p>
      <w:pPr>
        <w:pStyle w:val="null3"/>
      </w:pPr>
      <w:r>
        <w:rPr/>
        <w:t>供应商须提供至少2名专业技术服务人员，其余人员根据服务要求自行响应</w:t>
      </w:r>
    </w:p>
    <w:p>
      <w:pPr>
        <w:pStyle w:val="null3"/>
        <w:outlineLvl w:val="2"/>
      </w:pPr>
      <w:r>
        <w:rPr>
          <w:sz w:val="28"/>
          <w:b/>
        </w:rPr>
        <w:t>3.2.4设施设备要求</w:t>
      </w:r>
    </w:p>
    <w:p>
      <w:pPr>
        <w:pStyle w:val="null3"/>
      </w:pPr>
      <w:r>
        <w:rPr/>
        <w:t>采购包1：</w:t>
      </w:r>
    </w:p>
    <w:p>
      <w:pPr>
        <w:pStyle w:val="null3"/>
      </w:pPr>
      <w:r>
        <w:rPr/>
        <w:t>供应商根据服务要求自行响应</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自合同签订之日起6个月。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1.按国家现行项目实施规范的验收评定标准等要求进行验收。 2.采购人进行验收，若认为验收不合格，供应商应重新调整且进行重新验收。 3.验收依据： ①本项目磋商文件、磋商响应文件； ②本合同及附件文本； ③合同签订时国家及行业现行的标准和技术规范。 ④供应商应向采购人提交项目实施过程中的所有资料，以便采购人日后管理和维护。</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合同签订后，支付合同总金额的50%作为预付款；</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服务期满且本合同约定服务内容经甲方验收合格后一个月内，支付本合同剩余价款。</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违约责任：1.按《中华人民共和国民法典》中的相关条款执行。 2.如乙方所提供的服务内容出现瑕疵及质量问题，或乙方未按合同要求提供服务或服务不能满足合同要求，甲方有权依据《中华人民共和国民法典》有关条款及合同约定终止合同，并要求服务商承担违约责任。 3.甲乙双方应遵守合同并执行合同中的各项规定，保证合同的正常履行。 4.如碰到不可抗力因素造成无法按照原计划提供服务的，由甲乙双方协商解决。 解决争议的方法：合同执行中发生争议的，当事人双方应协商解决，协商达不成一致时，可向西安仲裁委员会申请仲裁。</w:t>
      </w:r>
    </w:p>
    <w:p>
      <w:pPr>
        <w:pStyle w:val="null3"/>
        <w:outlineLvl w:val="2"/>
      </w:pPr>
      <w:r>
        <w:rPr>
          <w:sz w:val="28"/>
          <w:b/>
        </w:rPr>
        <w:t>3.4其他要求</w:t>
      </w:r>
    </w:p>
    <w:p>
      <w:pPr>
        <w:pStyle w:val="null3"/>
      </w:pPr>
      <w:r>
        <w:rPr/>
        <w:t>1.本项目专门面向中小企业采购。 2.本项目属性为服务。 3.本项目合同包1采购标的所属行业为：其他未列明行业； 4.本项目是否属于信用担保试点范围：否。 5.本项目为固定总价合同。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法人、其他组织或自然人，并出具合法有效的营业执照或事业单位法人证书等国家规定的相关证明，自然人参与的提供其身份证明；2.提供2024年至今已缴纳的至少一个月的纳税证明或完税证明（任意税种），依法免税的单位应提供相关证明材料；3.提供2024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资格证明文件 其它说明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t>资格证明文件 其它说明</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t>资格证明文件 其它说明</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提供2024年至今已缴纳的至少一个月的纳税证明或完税证明（任意税种），依法免税的单位应提供相关证明材料；</w:t>
            </w:r>
          </w:p>
        </w:tc>
        <w:tc>
          <w:tcPr>
            <w:tcW w:type="dxa" w:w="1661"/>
          </w:tcPr>
          <w:p>
            <w:pPr>
              <w:pStyle w:val="null3"/>
            </w:pPr>
            <w:r>
              <w:rPr/>
              <w:t>资格证明文件 其它说明</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 其它说明</w:t>
            </w:r>
          </w:p>
        </w:tc>
      </w:tr>
      <w:tr>
        <w:tc>
          <w:tcPr>
            <w:tcW w:type="dxa" w:w="831"/>
          </w:tcPr>
          <w:p>
            <w:pPr>
              <w:pStyle w:val="null3"/>
            </w:pPr>
            <w:r>
              <w:rPr/>
              <w:t>5</w:t>
            </w:r>
          </w:p>
        </w:tc>
        <w:tc>
          <w:tcPr>
            <w:tcW w:type="dxa" w:w="2492"/>
          </w:tcPr>
          <w:p>
            <w:pPr>
              <w:pStyle w:val="null3"/>
            </w:pPr>
            <w:r>
              <w:rPr/>
              <w:t>承诺</w:t>
            </w:r>
          </w:p>
        </w:tc>
        <w:tc>
          <w:tcPr>
            <w:tcW w:type="dxa" w:w="3322"/>
          </w:tcPr>
          <w:p>
            <w:pPr>
              <w:pStyle w:val="null3"/>
            </w:pPr>
            <w:r>
              <w:rPr/>
              <w:t>提供具有履行合同所必需的设备和专业技术能力的承诺；</w:t>
            </w:r>
          </w:p>
        </w:tc>
        <w:tc>
          <w:tcPr>
            <w:tcW w:type="dxa" w:w="1661"/>
          </w:tcPr>
          <w:p>
            <w:pPr>
              <w:pStyle w:val="null3"/>
            </w:pPr>
            <w:r>
              <w:rPr/>
              <w:t>资格证明文件 其它说明</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资格证明文件 其它说明</w:t>
            </w:r>
          </w:p>
        </w:tc>
      </w:tr>
      <w:tr>
        <w:tc>
          <w:tcPr>
            <w:tcW w:type="dxa" w:w="831"/>
          </w:tcPr>
          <w:p>
            <w:pPr>
              <w:pStyle w:val="null3"/>
            </w:pPr>
            <w:r>
              <w:rPr/>
              <w:t>7</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资格证明文件 其它说明</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t>资格证明文件 其它说明</w:t>
            </w:r>
          </w:p>
        </w:tc>
      </w:tr>
      <w:tr>
        <w:tc>
          <w:tcPr>
            <w:tcW w:type="dxa" w:w="831"/>
          </w:tcPr>
          <w:p>
            <w:pPr>
              <w:pStyle w:val="null3"/>
            </w:pPr>
            <w:r>
              <w:rPr/>
              <w:t>9</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资格证明文件 其它说明</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w:t>
            </w:r>
          </w:p>
        </w:tc>
        <w:tc>
          <w:tcPr>
            <w:tcW w:type="dxa" w:w="1661"/>
          </w:tcPr>
          <w:p>
            <w:pPr>
              <w:pStyle w:val="null3"/>
            </w:pPr>
            <w:r>
              <w:rPr/>
              <w:t>响应文件封面 资格证明文件 供应商参加政府采购活动承诺书 中小企业声明函 残疾人福利性单位声明函 业绩 标的清单 报价表 响应函 商务条款偏离表 监狱企业的证明文件 磋商方案说明书</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供应商参加政府采购活动承诺书 中小企业声明函 业绩 报价表 商务条款偏离表 磋商方案说明书 响应文件封面 资格证明文件 残疾人福利性单位声明函 其它说明 标的清单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标的清单 报价表 响应函</w:t>
            </w:r>
          </w:p>
        </w:tc>
      </w:tr>
      <w:tr>
        <w:tc>
          <w:tcPr>
            <w:tcW w:type="dxa" w:w="831"/>
          </w:tcPr>
          <w:p>
            <w:pPr>
              <w:pStyle w:val="null3"/>
            </w:pPr>
            <w:r>
              <w:rPr/>
              <w:t>5</w:t>
            </w:r>
          </w:p>
        </w:tc>
        <w:tc>
          <w:tcPr>
            <w:tcW w:type="dxa" w:w="2492"/>
          </w:tcPr>
          <w:p>
            <w:pPr>
              <w:pStyle w:val="null3"/>
            </w:pPr>
            <w:r>
              <w:rPr/>
              <w:t>是否专门面向中小企业</w:t>
            </w:r>
          </w:p>
        </w:tc>
        <w:tc>
          <w:tcPr>
            <w:tcW w:type="dxa" w:w="3322"/>
          </w:tcPr>
          <w:p>
            <w:pPr>
              <w:pStyle w:val="null3"/>
            </w:pPr>
            <w:r>
              <w:rPr/>
              <w:t>本项目专门面向中小企业。</w:t>
            </w:r>
          </w:p>
        </w:tc>
        <w:tc>
          <w:tcPr>
            <w:tcW w:type="dxa" w:w="1661"/>
          </w:tcPr>
          <w:p>
            <w:pPr>
              <w:pStyle w:val="null3"/>
            </w:pPr>
            <w:r>
              <w:rPr/>
              <w:t>中小企业声明函 残疾人福利性单位声明函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其它说明 响应函 商务条款偏离表 磋商方案说明书</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应满足磋商文件中要求的服务期</w:t>
            </w:r>
          </w:p>
        </w:tc>
        <w:tc>
          <w:tcPr>
            <w:tcW w:type="dxa" w:w="1661"/>
          </w:tcPr>
          <w:p>
            <w:pPr>
              <w:pStyle w:val="null3"/>
            </w:pPr>
            <w:r>
              <w:rPr/>
              <w:t>其它说明 响应函 商务条款偏离表 磋商方案说明书</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其它说明 响应函 商务条款偏离表 磋商方案说明书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项目分析</w:t>
            </w:r>
          </w:p>
        </w:tc>
        <w:tc>
          <w:tcPr>
            <w:tcW w:type="dxa" w:w="2492"/>
          </w:tcPr>
          <w:p>
            <w:pPr>
              <w:pStyle w:val="null3"/>
            </w:pPr>
            <w:r>
              <w:rPr/>
              <w:t>对本项目背景了解、现状理解透彻、项目目标、任务理解及对项目内容情况理解有详细分析得7-10分； 对本项目背景了解基本正确、现状理解较为简单、项目目标、任务理解及对项目内容情况分析不够详细得4-7分（含7分）； 对本项目背景了解较为简单、现状不够理解、项目目标、任务理解及对项目内容情况分析欠缺得1-4分（含4分）。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整体服务方案</w:t>
            </w:r>
          </w:p>
        </w:tc>
        <w:tc>
          <w:tcPr>
            <w:tcW w:type="dxa" w:w="2492"/>
          </w:tcPr>
          <w:p>
            <w:pPr>
              <w:pStyle w:val="null3"/>
            </w:pPr>
            <w:r>
              <w:rPr/>
              <w:t>根据本项目的服务特点、服务目标、服务要求、服务方式等内容，磋商小组对响应文件中提供的以上内容的完整性、科学性、合理性、计划性进行综合评审。 针对本项目所提供的整体服务方案全面具体规范，合理可行；得7-10分 针对本项目所提供的整体服务方案基本规范，可行性一般；得4-7分（含7分）； 针对本项目所提供的整体服务方案不够全面具体，得1-4分（含4分）。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组织计划和人员构成</w:t>
            </w:r>
          </w:p>
        </w:tc>
        <w:tc>
          <w:tcPr>
            <w:tcW w:type="dxa" w:w="2492"/>
          </w:tcPr>
          <w:p>
            <w:pPr>
              <w:pStyle w:val="null3"/>
            </w:pPr>
            <w:r>
              <w:rPr/>
              <w:t>组织机构设置合理，管理人员及技术人员配备数量充足、人员职责明确、分工清晰合理、相关项目实施经验丰富，得7-10分； 组织机构设置较为合理，管理人员及技术人员配备数量较充足、职责较明确、分工较清晰合理、相关项目实施经验较丰富，得4-7分（含7分）； 组织机构设置一般，管理人员及技术人员配备数量不够充足、职责不够明确、分工不够清晰合理，不具备相关项目实施经验，得1-4分（含4分）；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工作进度</w:t>
            </w:r>
          </w:p>
        </w:tc>
        <w:tc>
          <w:tcPr>
            <w:tcW w:type="dxa" w:w="2492"/>
          </w:tcPr>
          <w:p>
            <w:pPr>
              <w:pStyle w:val="null3"/>
            </w:pPr>
            <w:r>
              <w:rPr/>
              <w:t>工作进度计划全面详细、合理，符合实际对完成本项目有详细、合理的时间计划、进度安排和保障措施，针对性很强，保证措施有力，能够很好地满足项目需求，违约措施及承诺具体可行，可操作性高得7-10分；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工作进度计划详细、合理，符合实际，有明确，较为合理的时间安排，工作计划针对性强，保证措施一般，能够满足项目需求，违约措施及承诺较好，可操作性较好4-7分（含7分）； 工作进度计划基本完整、有合理性，有一定的针对性，有保证措施，基本能够满足项目要求，违约措施及承诺一般，可操作性一般得1-4分（含4分）。 工作进度计划不完整不合理，无针对性，保证措施差或无进度计划及保证措施的不得分0分。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服务质量保证措施</w:t>
            </w:r>
          </w:p>
        </w:tc>
        <w:tc>
          <w:tcPr>
            <w:tcW w:type="dxa" w:w="2492"/>
          </w:tcPr>
          <w:p>
            <w:pPr>
              <w:pStyle w:val="null3"/>
            </w:pPr>
            <w:r>
              <w:rPr/>
              <w:t>针对本项目质量保证措施（含服务期内出现安全隐患及满意度下降等情况时的处罚办法）。有具体可行的质量保证措施，方案具体、完整、可操作性强的得7-10分； 质量保证措施较完整、可操作性一般的得4-7分（含7分）； 质量保证措施较完整、可操作性差的得1-4分（含4分）。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拟投入设备</w:t>
            </w:r>
          </w:p>
        </w:tc>
        <w:tc>
          <w:tcPr>
            <w:tcW w:type="dxa" w:w="2492"/>
          </w:tcPr>
          <w:p>
            <w:pPr>
              <w:pStyle w:val="null3"/>
            </w:pPr>
            <w:r>
              <w:rPr/>
              <w:t>为完成本项目拟投入的专业设备，有详细的设备清单，设备配置完全满足项目需求得3-6分；拟投入专业设备较少，不能较好满足项目使用需求得1-3分（含3分）。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应急预案</w:t>
            </w:r>
          </w:p>
        </w:tc>
        <w:tc>
          <w:tcPr>
            <w:tcW w:type="dxa" w:w="2492"/>
          </w:tcPr>
          <w:p>
            <w:pPr>
              <w:pStyle w:val="null3"/>
            </w:pPr>
            <w:r>
              <w:rPr/>
              <w:t>突发事件应急方案、安全保障方案和人员调配能力方案合理详细，实用，科学性、可操作性高得4-7分； 突发事件应急方案、安全保障方案和人员调配能力方案较合理详细，科学性、可操作性较强得1-4分（含4分）。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保密方案</w:t>
            </w:r>
          </w:p>
        </w:tc>
        <w:tc>
          <w:tcPr>
            <w:tcW w:type="dxa" w:w="2492"/>
          </w:tcPr>
          <w:p>
            <w:pPr>
              <w:pStyle w:val="null3"/>
            </w:pPr>
            <w:r>
              <w:rPr/>
              <w:t>具有完善的保密措施和保密方案，从管理、人员、技术等各个方面，全面保证采购人数据及相关信息不泄密，保密承诺详细可行得4-7分； 保密方案简略，可行性较差得1-4分（含4分）。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合理化建议</w:t>
            </w:r>
          </w:p>
        </w:tc>
        <w:tc>
          <w:tcPr>
            <w:tcW w:type="dxa" w:w="2492"/>
          </w:tcPr>
          <w:p>
            <w:pPr>
              <w:pStyle w:val="null3"/>
            </w:pPr>
            <w:r>
              <w:rPr/>
              <w:t>针对本项目实际情况提出合理化建议。 合理化建议详细可行，得3-6分； 合理化建议基本合理，得1-3分（含3分）；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内部管理</w:t>
            </w:r>
          </w:p>
        </w:tc>
        <w:tc>
          <w:tcPr>
            <w:tcW w:type="dxa" w:w="2492"/>
          </w:tcPr>
          <w:p>
            <w:pPr>
              <w:pStyle w:val="null3"/>
            </w:pPr>
            <w:r>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p>
            <w:pPr>
              <w:pStyle w:val="null3"/>
            </w:pPr>
            <w:r>
              <w:rPr/>
              <w:t>其它说明</w:t>
            </w:r>
          </w:p>
        </w:tc>
      </w:tr>
      <w:tr>
        <w:tc>
          <w:tcPr>
            <w:tcW w:type="dxa" w:w="831"/>
            <w:vMerge/>
          </w:tcPr>
          <w:p/>
        </w:tc>
        <w:tc>
          <w:tcPr>
            <w:tcW w:type="dxa" w:w="1661"/>
          </w:tcPr>
          <w:p>
            <w:pPr>
              <w:pStyle w:val="null3"/>
            </w:pPr>
            <w:r>
              <w:rPr/>
              <w:t>业绩</w:t>
            </w:r>
          </w:p>
        </w:tc>
        <w:tc>
          <w:tcPr>
            <w:tcW w:type="dxa" w:w="2492"/>
          </w:tcPr>
          <w:p>
            <w:pPr>
              <w:pStyle w:val="null3"/>
            </w:pPr>
            <w:r>
              <w:rPr/>
              <w:t>供应商2021年01月01日至今类似项目业绩，每提供1份得2分，最高得8分； 业绩证明（以合同/协议或中标/成交通知书为准，须在磋商响应文件中附合同/协议或中标/成交通知书的扫描件加盖单位公章。）弄虚作假者，取消其中标资格。</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详见附件：资格证明文件</w:t>
      </w:r>
    </w:p>
    <w:p>
      <w:pPr>
        <w:pStyle w:val="null3"/>
        <w:ind w:firstLine="960"/>
      </w:pPr>
      <w:r>
        <w:rPr/>
        <w:t>详见附件：磋商方案说明书</w:t>
      </w:r>
    </w:p>
    <w:p>
      <w:pPr>
        <w:pStyle w:val="null3"/>
        <w:ind w:firstLine="960"/>
      </w:pPr>
      <w:r>
        <w:rPr/>
        <w:t>详见附件：供应商参加政府采购活动承诺书</w:t>
      </w:r>
    </w:p>
    <w:p>
      <w:pPr>
        <w:pStyle w:val="null3"/>
        <w:ind w:firstLine="960"/>
      </w:pPr>
      <w:r>
        <w:rPr/>
        <w:t>详见附件：商务条款偏离表</w:t>
      </w:r>
    </w:p>
    <w:p>
      <w:pPr>
        <w:pStyle w:val="null3"/>
        <w:ind w:firstLine="960"/>
      </w:pPr>
      <w:r>
        <w:rPr/>
        <w:t>详见附件：其它说明</w:t>
      </w:r>
    </w:p>
    <w:p>
      <w:pPr>
        <w:pStyle w:val="null3"/>
        <w:ind w:firstLine="960"/>
      </w:pPr>
      <w:r>
        <w:rPr/>
        <w:t>详见附件：业绩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详见附件：高压开关厂国控站点选址服务项目合同.docx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