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版本号：240723001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莲湖区郝家巷小学校园改造项目</w:t>
      </w:r>
    </w:p>
    <w:p>
      <w:pPr>
        <w:pStyle w:val="null3"/>
        <w:jc w:val="center"/>
        <w:outlineLvl w:val="2"/>
      </w:pPr>
      <w:r>
        <w:rPr>
          <w:sz w:val="28"/>
          <w:b/>
        </w:rPr>
        <w:t>采购项目编号：</w:t>
      </w:r>
      <w:r>
        <w:rPr>
          <w:sz w:val="28"/>
          <w:b/>
        </w:rPr>
        <w:t>SXBH2024-ZCCS-024</w:t>
      </w:r>
      <w:r>
        <w:br/>
      </w:r>
      <w:r>
        <w:br/>
      </w:r>
      <w:r>
        <w:br/>
      </w:r>
    </w:p>
    <w:p>
      <w:pPr>
        <w:pStyle w:val="null3"/>
        <w:jc w:val="center"/>
        <w:outlineLvl w:val="2"/>
      </w:pPr>
      <w:r>
        <w:rPr>
          <w:sz w:val="28"/>
          <w:b/>
        </w:rPr>
        <w:t>西安市莲湖区郝家巷小学</w:t>
      </w:r>
    </w:p>
    <w:p>
      <w:pPr>
        <w:pStyle w:val="null3"/>
        <w:jc w:val="center"/>
        <w:outlineLvl w:val="2"/>
      </w:pPr>
      <w:r>
        <w:rPr>
          <w:sz w:val="28"/>
          <w:b/>
        </w:rPr>
        <w:t>陕西博虹项目管理有限公司</w:t>
      </w:r>
      <w:r>
        <w:rPr>
          <w:sz w:val="28"/>
          <w:b/>
        </w:rPr>
        <w:t>共同编制</w:t>
      </w:r>
    </w:p>
    <w:p>
      <w:pPr>
        <w:pStyle w:val="null3"/>
        <w:jc w:val="center"/>
        <w:outlineLvl w:val="2"/>
      </w:pPr>
      <w:r>
        <w:rPr>
          <w:sz w:val="28"/>
          <w:b/>
        </w:rPr>
        <w:t>2024年07月23日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陕西博虹项目管理有限公司</w:t>
      </w:r>
      <w:r>
        <w:rPr/>
        <w:t>（以下简称“代理机构”）受</w:t>
      </w:r>
      <w:r>
        <w:rPr/>
        <w:t>西安市莲湖区郝家巷小学</w:t>
      </w:r>
      <w:r>
        <w:rPr/>
        <w:t>委托，拟对</w:t>
      </w:r>
      <w:r>
        <w:rPr/>
        <w:t>莲湖区郝家巷小学校园改造项目</w:t>
      </w:r>
      <w:r>
        <w:rPr/>
        <w:t>采用竞争性磋商采购方式进行采购，兹邀请供应商参加本项目的竞争性磋商。</w:t>
      </w:r>
    </w:p>
    <w:p>
      <w:pPr>
        <w:pStyle w:val="null3"/>
        <w:outlineLvl w:val="2"/>
      </w:pPr>
      <w:r>
        <w:rPr>
          <w:sz w:val="28"/>
          <w:b/>
        </w:rPr>
        <w:t>一、采购项目编号：</w:t>
      </w:r>
      <w:r>
        <w:rPr>
          <w:sz w:val="28"/>
          <w:b/>
        </w:rPr>
        <w:t>SXBH2024-ZCCS-024</w:t>
      </w:r>
    </w:p>
    <w:p>
      <w:pPr>
        <w:pStyle w:val="null3"/>
        <w:outlineLvl w:val="2"/>
      </w:pPr>
      <w:r>
        <w:rPr>
          <w:sz w:val="28"/>
          <w:b/>
        </w:rPr>
        <w:t>二、采购项目名称：</w:t>
      </w:r>
      <w:r>
        <w:rPr>
          <w:sz w:val="28"/>
          <w:b/>
        </w:rPr>
        <w:t>莲湖区郝家巷小学校园改造项目</w:t>
      </w:r>
    </w:p>
    <w:p>
      <w:pPr>
        <w:pStyle w:val="null3"/>
        <w:outlineLvl w:val="2"/>
      </w:pPr>
      <w:r>
        <w:rPr>
          <w:sz w:val="28"/>
          <w:b/>
        </w:rPr>
        <w:t>三、磋商项目简介</w:t>
      </w:r>
    </w:p>
    <w:p>
      <w:pPr>
        <w:pStyle w:val="null3"/>
        <w:ind w:firstLine="480"/>
      </w:pPr>
      <w:r>
        <w:rPr/>
        <w:t>西安市莲湖区郝家巷小学办公楼为和教学楼，框架结构。改造内容分为五部分：办公楼外立面改造和看台台阶面层改造，办公楼为地上四层，面积约2770m2，建筑高度16.7m 。教学楼外立面改造、花坛改造、教学楼四周地面铺透水砖改造。教学楼为地上五层，总建筑面积6890m2，建筑高度20.7m,总建筑面积：6890m2。现拟对校园进行整体提升。</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采购包1（郝家巷小学校园改造项目）：属于专门面向中小企业采购。</w:t>
      </w:r>
    </w:p>
    <w:p>
      <w:pPr>
        <w:pStyle w:val="null3"/>
        <w:ind w:firstLine="480"/>
      </w:pPr>
      <w:r>
        <w:rPr/>
        <w:t>（三）本项目的特定资格要求：</w:t>
      </w:r>
    </w:p>
    <w:p>
      <w:pPr>
        <w:pStyle w:val="null3"/>
      </w:pPr>
      <w:r>
        <w:rPr/>
        <w:t>采购包1：</w:t>
      </w:r>
    </w:p>
    <w:p>
      <w:pPr>
        <w:pStyle w:val="null3"/>
      </w:pPr>
      <w:r>
        <w:rPr/>
        <w:t>1、法定代表人身份证明或法定代表人授权书：法定代表人直接参加投标的，须出具法定代表人身份证明。授权代表参加投标的，须出具法定代表人授权书并附法定代表人身份证明。</w:t>
      </w:r>
    </w:p>
    <w:p>
      <w:pPr>
        <w:pStyle w:val="null3"/>
      </w:pPr>
      <w:r>
        <w:rPr/>
        <w:t>2、拟派项目经理：供应商拟派项目经理具有建筑工程专业贰级及以上注册建造师证书和安全生产考核合格证（B证）及无在建工程承诺书，提供复印件。</w:t>
      </w:r>
    </w:p>
    <w:p>
      <w:pPr>
        <w:pStyle w:val="null3"/>
      </w:pPr>
      <w:r>
        <w:rPr/>
        <w:t>3、企业资质：供应商具有建设部门颁发的建筑工程施工总承包三级及以上资质，具备有效的安全生产许可证，提供复印件；省外企业需在陕西建设网“陕西建筑市场监管与诚信信息一体化平台”可查询到企业基本信息（需附网站查询截图）。</w:t>
      </w:r>
    </w:p>
    <w:p>
      <w:pPr>
        <w:pStyle w:val="null3"/>
      </w:pPr>
      <w:r>
        <w:rPr/>
        <w:t>4、信用查询：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pPr>
        <w:pStyle w:val="null3"/>
      </w:pPr>
      <w:r>
        <w:rPr/>
        <w:t>5、联合体：本项目（合同包）不接受联合体磋商。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西安市莲湖区郝家巷小学</w:t>
      </w:r>
    </w:p>
    <w:p>
      <w:pPr>
        <w:pStyle w:val="null3"/>
      </w:pPr>
      <w:r>
        <w:rPr/>
        <w:t xml:space="preserve"> 地址： </w:t>
      </w:r>
      <w:r>
        <w:rPr/>
        <w:t>西安市莲湖区自强西路23号</w:t>
      </w:r>
    </w:p>
    <w:p>
      <w:pPr>
        <w:pStyle w:val="null3"/>
      </w:pPr>
      <w:r>
        <w:rPr/>
        <w:t xml:space="preserve"> 邮编： </w:t>
      </w:r>
      <w:r>
        <w:rPr/>
        <w:t>710014</w:t>
      </w:r>
    </w:p>
    <w:p>
      <w:pPr>
        <w:pStyle w:val="null3"/>
      </w:pPr>
      <w:r>
        <w:rPr/>
        <w:t xml:space="preserve"> 联系人： </w:t>
      </w:r>
      <w:r>
        <w:rPr/>
        <w:t>卢老师</w:t>
      </w:r>
    </w:p>
    <w:p>
      <w:pPr>
        <w:pStyle w:val="null3"/>
      </w:pPr>
      <w:r>
        <w:rPr/>
        <w:t xml:space="preserve"> 联系电话： </w:t>
      </w:r>
      <w:r>
        <w:rPr/>
        <w:t>18991163918</w:t>
      </w:r>
    </w:p>
    <w:p>
      <w:pPr>
        <w:pStyle w:val="null3"/>
        <w:outlineLvl w:val="3"/>
      </w:pPr>
      <w:r>
        <w:rPr>
          <w:sz w:val="24"/>
          <w:b/>
        </w:rPr>
        <w:t>代理机构：</w:t>
      </w:r>
      <w:r>
        <w:rPr>
          <w:sz w:val="24"/>
          <w:b/>
        </w:rPr>
        <w:t>陕西博虹项目管理有限公司</w:t>
      </w:r>
    </w:p>
    <w:p>
      <w:pPr>
        <w:pStyle w:val="null3"/>
      </w:pPr>
      <w:r>
        <w:rPr/>
        <w:t xml:space="preserve"> 地址： </w:t>
      </w:r>
      <w:r>
        <w:rPr/>
        <w:t>西安市雁翔路3269号旺座曲江C座1505室</w:t>
      </w:r>
    </w:p>
    <w:p>
      <w:pPr>
        <w:pStyle w:val="null3"/>
      </w:pPr>
      <w:r>
        <w:rPr/>
        <w:t xml:space="preserve"> 邮编： </w:t>
      </w:r>
      <w:r>
        <w:rPr/>
        <w:t>710054</w:t>
      </w:r>
    </w:p>
    <w:p>
      <w:pPr>
        <w:pStyle w:val="null3"/>
      </w:pPr>
      <w:r>
        <w:rPr/>
        <w:t xml:space="preserve"> 联系人： </w:t>
      </w:r>
      <w:r>
        <w:rPr/>
        <w:t>马工</w:t>
      </w:r>
    </w:p>
    <w:p>
      <w:pPr>
        <w:pStyle w:val="null3"/>
      </w:pPr>
      <w:r>
        <w:rPr/>
        <w:t xml:space="preserve"> 联系电话： </w:t>
      </w:r>
      <w:r>
        <w:rPr/>
        <w:t>17791158032</w:t>
      </w:r>
    </w:p>
    <w:p>
      <w:pPr>
        <w:pStyle w:val="null3"/>
        <w:outlineLvl w:val="3"/>
      </w:pPr>
      <w:r>
        <w:rPr>
          <w:sz w:val="24"/>
          <w:b/>
        </w:rPr>
        <w:t>采购监督机构：</w:t>
      </w:r>
      <w:r>
        <w:rPr>
          <w:sz w:val="24"/>
          <w:b/>
        </w:rPr>
        <w:t>西安市莲湖区政府采购管理股</w:t>
      </w:r>
    </w:p>
    <w:p>
      <w:pPr>
        <w:pStyle w:val="null3"/>
        <w:ind w:firstLine="480"/>
      </w:pPr>
      <w:r>
        <w:rPr/>
        <w:t>联系人：</w:t>
      </w:r>
      <w:r>
        <w:rPr/>
        <w:t>高莎莎</w:t>
      </w:r>
    </w:p>
    <w:p>
      <w:pPr>
        <w:pStyle w:val="null3"/>
        <w:ind w:firstLine="480"/>
      </w:pPr>
      <w:r>
        <w:rPr/>
        <w:t>联系电话：</w:t>
      </w:r>
      <w:r>
        <w:rPr/>
        <w:t>87614013</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采购包1：1,100,000.00元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60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2002年颁发的《招标代理服务收费管理暂行办法》(计价格〔2002〕1980号)、国家发展改革委员会办公厅颁发的《关于招标代理服务费收费有关问题的通知》（发改办价格〔2003〕857号）及《调整后的招标代理服务收费标准》(发改价格〔2011〕534号)的规定标准收取。</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西安市莲湖区郝家巷小学</w:t>
      </w:r>
      <w:r>
        <w:rPr/>
        <w:t>和</w:t>
      </w:r>
      <w:r>
        <w:rPr/>
        <w:t>陕西博虹项目管理有限公司</w:t>
      </w:r>
      <w:r>
        <w:rPr/>
        <w:t>享有。对磋商文件中供应商参加本次政府采购活动应当具备的条件，磋商项目技术、服务、商务及其他要求，评审细则及标准由</w:t>
      </w:r>
      <w:r>
        <w:rPr/>
        <w:t>西安市莲湖区郝家巷小学</w:t>
      </w:r>
      <w:r>
        <w:rPr/>
        <w:t>负责解释。除上述磋商文件内容，其他内容由</w:t>
      </w:r>
      <w:r>
        <w:rPr/>
        <w:t>陕西博虹项目管理有限公司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西安市莲湖区郝家巷小学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陕西博虹项目管理有限公司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（一）质量验收标准或规范 1、所选材料必须保证质量可靠、进货渠道正常，符合国家环保等相关标准， 满足施工要求。 2、工程质量符合国家有关规范，确保达到合格。 3、该工程项目质量保修期按有关文件规定执行。 4、执行国家（行业）强制性标准。</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陕西博虹项目管理有限公司</w:t>
      </w:r>
      <w:r>
        <w:rPr/>
        <w:t xml:space="preserve"> 负责答复；供应商对采购过程的询问、质疑由</w:t>
      </w:r>
      <w:r>
        <w:rPr/>
        <w:t>陕西博虹项目管理有限公司</w:t>
      </w:r>
      <w:r>
        <w:rPr/>
        <w:t xml:space="preserve"> 负责答复；供应商对采购结果的询问、质疑由 </w:t>
      </w:r>
      <w:r>
        <w:rPr/>
        <w:t>陕西博虹项目管理有限公司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联系人：马工</w:t>
      </w:r>
    </w:p>
    <w:p>
      <w:pPr>
        <w:pStyle w:val="null3"/>
      </w:pPr>
      <w:r>
        <w:rPr/>
        <w:t>联系电话：17791158032</w:t>
      </w:r>
    </w:p>
    <w:p>
      <w:pPr>
        <w:pStyle w:val="null3"/>
      </w:pPr>
      <w:r>
        <w:rPr/>
        <w:t>地址：西安市雁翔路3269号旺座曲江C座1505室</w:t>
      </w:r>
    </w:p>
    <w:p>
      <w:pPr>
        <w:pStyle w:val="null3"/>
      </w:pPr>
      <w:r>
        <w:rPr/>
        <w:t>邮编：710054</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1,100,000.00</w:t>
      </w:r>
    </w:p>
    <w:p>
      <w:pPr>
        <w:pStyle w:val="null3"/>
      </w:pPr>
      <w:r>
        <w:rPr/>
        <w:t>采购包最高限价（元）: 989,212.03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校园改造</w:t>
            </w:r>
          </w:p>
        </w:tc>
        <w:tc>
          <w:tcPr>
            <w:tcW w:type="dxa" w:w="1384"/>
          </w:tcPr>
          <w:p>
            <w:pPr>
              <w:pStyle w:val="null3"/>
              <w:jc w:val="right"/>
            </w:pPr>
            <w:r>
              <w:rPr/>
              <w:t>1.00</w:t>
            </w:r>
          </w:p>
        </w:tc>
        <w:tc>
          <w:tcPr>
            <w:tcW w:type="dxa" w:w="1384"/>
          </w:tcPr>
          <w:p>
            <w:pPr>
              <w:pStyle w:val="null3"/>
              <w:jc w:val="right"/>
            </w:pPr>
            <w:r>
              <w:rPr/>
              <w:t>1,100,000.00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标的名称：校园改造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一、工程目的</w:t>
            </w:r>
          </w:p>
          <w:p>
            <w:pPr>
              <w:pStyle w:val="null3"/>
            </w:pPr>
            <w:r>
              <w:rPr/>
              <w:t>1、校园教学楼外立面改造不仅仅是为了提升建筑的美观和功能性，更是对学校历史文化的传承和对学生学习生活环境的改善。在进行外立面改造时，应综合考虑技术、经济、文化等多方面因素，力求达到最佳的改造效果。</w:t>
            </w:r>
          </w:p>
          <w:p>
            <w:pPr>
              <w:pStyle w:val="null3"/>
            </w:pPr>
            <w:r>
              <w:rPr/>
              <w:t>二、工程性质</w:t>
            </w:r>
          </w:p>
          <w:p>
            <w:pPr>
              <w:pStyle w:val="null3"/>
            </w:pPr>
            <w:r>
              <w:rPr/>
              <w:t>1、依据《工程管理办法》及立项报告的批复，本项目属修缮工程。</w:t>
            </w:r>
          </w:p>
          <w:p>
            <w:pPr>
              <w:pStyle w:val="null3"/>
            </w:pPr>
            <w:r>
              <w:rPr/>
              <w:t>三、工程量计价依据</w:t>
            </w:r>
          </w:p>
          <w:p>
            <w:pPr>
              <w:pStyle w:val="null3"/>
            </w:pPr>
            <w:r>
              <w:rPr/>
              <w:t>1、计价依据：计价依据《陕西省建设工程工程量清单计价规则》（2009 年）、《陕西省建筑装饰工程消耗量定额》（2004年）、《陕西省建筑装饰工 程2009年价目表》、《全国修缮定额土建工程陕西省价目表》（2001年）及配 套费用定额、相关取费文件，报价以给定的工程量清单及现场情况自主编报。</w:t>
            </w:r>
          </w:p>
          <w:p>
            <w:pPr>
              <w:pStyle w:val="null3"/>
            </w:pPr>
            <w:r>
              <w:rPr/>
              <w:t>2、工程量清单及图纸另册；</w:t>
            </w:r>
          </w:p>
          <w:p>
            <w:pPr>
              <w:pStyle w:val="null3"/>
            </w:pPr>
            <w:r>
              <w:rPr/>
              <w:t>3、采购包最高限价（元）: 989,212.03，供应商报价超过该最高限价的按照无效处理；</w:t>
            </w:r>
          </w:p>
          <w:p>
            <w:pPr>
              <w:pStyle w:val="null3"/>
            </w:pPr>
            <w:r>
              <w:rPr/>
              <w:t>4、其中，暂列金为人民币66108.84元。</w:t>
            </w:r>
          </w:p>
          <w:p>
            <w:pPr>
              <w:pStyle w:val="null3"/>
            </w:pPr>
            <w:r>
              <w:rPr/>
              <w:t>四、工程内容：</w:t>
            </w:r>
          </w:p>
          <w:p>
            <w:pPr>
              <w:pStyle w:val="null3"/>
            </w:pPr>
            <w:r>
              <w:rPr/>
              <w:t>1、墙面空鼓处铲除抹平按10%计入，新作真石漆墙面。</w:t>
            </w:r>
          </w:p>
          <w:p>
            <w:pPr>
              <w:pStyle w:val="null3"/>
            </w:pPr>
            <w:r>
              <w:rPr/>
              <w:t>2、台阶面层铲除，空鼓处抹平重新粉刷。</w:t>
            </w:r>
          </w:p>
          <w:p>
            <w:pPr>
              <w:pStyle w:val="null3"/>
            </w:pPr>
            <w:r>
              <w:rPr/>
              <w:t>3、不锈钢防盗网拆除后保护，重新安装防护网。</w:t>
            </w:r>
          </w:p>
          <w:p>
            <w:pPr>
              <w:pStyle w:val="null3"/>
            </w:pPr>
            <w:r>
              <w:rPr/>
              <w:t>4、外立面摄像头拆除后保护，施工完成后原位置回复调试。</w:t>
            </w:r>
          </w:p>
          <w:p>
            <w:pPr>
              <w:pStyle w:val="null3"/>
            </w:pPr>
            <w:r>
              <w:rPr/>
              <w:t>5、外立面线路拆除后保护，套管全部更换，做桥架规整。</w:t>
            </w:r>
          </w:p>
          <w:p>
            <w:pPr>
              <w:pStyle w:val="null3"/>
            </w:pPr>
            <w:r>
              <w:rPr/>
              <w:t>6、雨水管拆除更换6根。</w:t>
            </w:r>
          </w:p>
          <w:p>
            <w:pPr>
              <w:pStyle w:val="null3"/>
            </w:pPr>
            <w:r>
              <w:rPr/>
              <w:t>7、空调外机70个拆除后保护，外立面施工完成后恢复调试，空调板处更换冷凝水管。</w:t>
            </w:r>
          </w:p>
          <w:p>
            <w:pPr>
              <w:pStyle w:val="null3"/>
            </w:pPr>
            <w:r>
              <w:rPr/>
              <w:t>①工程地点：西安市莲湖区郝家巷小学校内。</w:t>
            </w:r>
          </w:p>
          <w:p>
            <w:pPr>
              <w:pStyle w:val="null3"/>
            </w:pPr>
            <w:r>
              <w:rPr/>
              <w:t>②计划工期：自进场之日起30个日历日内竣工。</w:t>
            </w:r>
          </w:p>
          <w:p>
            <w:pPr>
              <w:pStyle w:val="null3"/>
            </w:pPr>
            <w:r>
              <w:rPr/>
              <w:t>③质量保修期：2年。</w:t>
            </w:r>
          </w:p>
          <w:p>
            <w:pPr>
              <w:pStyle w:val="null3"/>
            </w:pPr>
            <w:r>
              <w:rPr/>
              <w:t>五、施工要求</w:t>
            </w:r>
          </w:p>
          <w:p>
            <w:pPr>
              <w:pStyle w:val="null3"/>
            </w:pPr>
            <w:r>
              <w:rPr/>
              <w:t>1、在施工期间，中标供应商必须注意院内人员安全，加强安全措施，并对施工人员进行安全教育。施工人员必须持证上岗。因采购人工作的特殊性，要求中标供应商在施工中做到封闭性施工。供应商应遵守工程建设安全生产有关管理规定，严格按现行安全标准组织施工，并随时接受行业安全检查人员依法实施的监督检查，采取必要的安全防护措施，消除事故隐患。</w:t>
            </w:r>
          </w:p>
          <w:p>
            <w:pPr>
              <w:pStyle w:val="null3"/>
            </w:pPr>
            <w:r>
              <w:rPr/>
              <w:t xml:space="preserve"> </w:t>
            </w:r>
          </w:p>
          <w:p>
            <w:pPr>
              <w:pStyle w:val="null3"/>
            </w:pPr>
            <w:r>
              <w:rPr/>
              <w:t>注：供应商须在首次响应截止时间前（上传电子响应文件截止时间前），将纸质版响应文件密封一份线下递交于陕西博虹项目管理有限公司（地址：西安市雁翔路3269号旺座曲江C座1505室、联系人：马工、联系电话：17791158032）；该纸质版响应文件须与所上传的电子响应文件一致，并要求加盖企业公章、装定成册密封送达。</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1、所选材料必须保证质量可靠、进货渠道正常，符合国家环保等相关标准， 满足施工要求； 2、工程质量符合国家有关规范，确保达到合格； 3、该工程项目质量保修期按有关文件规定执行； 4、执行国家（行业）强制性标准； 5、本项目严格按照《民法典》中对于违约责任的规定执行；</w:t>
      </w:r>
    </w:p>
    <w:p>
      <w:pPr>
        <w:pStyle w:val="null3"/>
        <w:ind w:firstLine="480"/>
      </w:pPr>
      <w:r>
        <w:rPr/>
        <w:t>三、针对本项目的其他技术服务要求：</w:t>
      </w:r>
    </w:p>
    <w:p>
      <w:pPr>
        <w:pStyle w:val="null3"/>
      </w:pPr>
      <w:r>
        <w:rPr/>
        <w:t>/</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注：供应商须在首次响应截止时间前（上传电子响应文件截止时间前），将纸质版响应文件密封一份线下递交于陕西博虹项目管理有限公司（地址：西安市雁翔路3269号旺座曲江C座1505室、联系人：马工、联系电话：17791158032）；该纸质版响应文件须与所上传的电子响应文件一致，并要求加盖企业公章、装定成册密封送达。</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能力的法人、其他组织或自然人，并出具合法有效的营业执照或事业单位法人证书等国家规定的相关证明，自然人参与的提供其身份证明；(副本复印件)。（2）依法缴纳税收证明资料:2024年1月至今任意一个月依法缴纳税收的证明（纳税凭证复印件），或者委托他人缴纳的委托代办协议和2024年1月至今任意一个月的缴纳证明（收据复印件），依法免税的应提供相关证明文件。（3）依法缴纳社会保险证明资料：《社会保险登记证》复印件，或者2024年1月至今任意一个月依法缴纳社会保险的证明（缴费凭证复印件），或者委托他人缴纳的委托代办协议和2024年1月至今任意一个月的缴纳证明（收据复印件），依法不需要缴纳社会保障资金的应提供相关证明文件。（4）提供2022年度或2023年度的经会计师事务所审计的财务报告复印件，或提供基本存款账户信息及开标日期前六个月内其基本存款账户开户银行出具的资信证明复印件。（5）供应商须提供具有履行合同所必需的设备和专业技术能力的承诺；（6）参加采购活动前三年内在经营活动中没有重大违法记录的书面声明原件。</w:t>
            </w:r>
          </w:p>
        </w:tc>
        <w:tc>
          <w:tcPr>
            <w:tcW w:type="dxa" w:w="1661"/>
          </w:tcPr>
          <w:p>
            <w:pPr>
              <w:pStyle w:val="null3"/>
            </w:pPr>
            <w:r>
              <w:rPr/>
              <w:t>响应文件封面 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提供2022年度或2023年度的经会计师事务所审计的财务报告复印件，或提供基本存款账户信息及开标日期前六个月内其基本存款账户开户银行出具的资信证明复印件。</w:t>
            </w:r>
          </w:p>
        </w:tc>
        <w:tc>
          <w:tcPr>
            <w:tcW w:type="dxa" w:w="1661"/>
          </w:tcPr>
          <w:p>
            <w:pPr>
              <w:pStyle w:val="null3"/>
            </w:pPr>
            <w:r>
              <w:rPr/>
              <w:t>响应文件封面 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法定代表人身份证明或法定代表人授权书</w:t>
            </w:r>
          </w:p>
        </w:tc>
        <w:tc>
          <w:tcPr>
            <w:tcW w:type="dxa" w:w="3322"/>
          </w:tcPr>
          <w:p>
            <w:pPr>
              <w:pStyle w:val="null3"/>
            </w:pPr>
            <w:r>
              <w:rPr/>
              <w:t>法定代表人直接参加投标的，须出具法定代表人身份证明。授权代表参加投标的，须出具法定代表人授权书并附法定代表人身份证明。</w:t>
            </w:r>
          </w:p>
        </w:tc>
        <w:tc>
          <w:tcPr>
            <w:tcW w:type="dxa" w:w="1661"/>
          </w:tcPr>
          <w:p>
            <w:pPr>
              <w:pStyle w:val="null3"/>
            </w:pPr>
            <w:r>
              <w:rPr/>
              <w:t>响应文件封面 资格证明文件 项目管理机构组成表 技术服务合同条款及其他商务要求应答表 主要人员简历表</w:t>
            </w:r>
          </w:p>
        </w:tc>
      </w:tr>
      <w:tr>
        <w:tc>
          <w:tcPr>
            <w:tcW w:type="dxa" w:w="831"/>
          </w:tcPr>
          <w:p>
            <w:pPr>
              <w:pStyle w:val="null3"/>
            </w:pPr>
            <w:r>
              <w:rPr/>
              <w:t>2</w:t>
            </w:r>
          </w:p>
        </w:tc>
        <w:tc>
          <w:tcPr>
            <w:tcW w:type="dxa" w:w="2492"/>
          </w:tcPr>
          <w:p>
            <w:pPr>
              <w:pStyle w:val="null3"/>
            </w:pPr>
            <w:r>
              <w:rPr/>
              <w:t>拟派项目经理</w:t>
            </w:r>
          </w:p>
        </w:tc>
        <w:tc>
          <w:tcPr>
            <w:tcW w:type="dxa" w:w="3322"/>
          </w:tcPr>
          <w:p>
            <w:pPr>
              <w:pStyle w:val="null3"/>
            </w:pPr>
            <w:r>
              <w:rPr/>
              <w:t>供应商拟派项目经理具有建筑工程专业贰级及以上注册建造师证书和安全生产考核合格证（B证）及无在建工程承诺书，提供复印件。</w:t>
            </w:r>
          </w:p>
        </w:tc>
        <w:tc>
          <w:tcPr>
            <w:tcW w:type="dxa" w:w="1661"/>
          </w:tcPr>
          <w:p>
            <w:pPr>
              <w:pStyle w:val="null3"/>
            </w:pPr>
            <w:r>
              <w:rPr/>
              <w:t>资格证明文件 项目管理机构组成表 主要人员简历表</w:t>
            </w:r>
          </w:p>
        </w:tc>
      </w:tr>
      <w:tr>
        <w:tc>
          <w:tcPr>
            <w:tcW w:type="dxa" w:w="831"/>
          </w:tcPr>
          <w:p>
            <w:pPr>
              <w:pStyle w:val="null3"/>
            </w:pPr>
            <w:r>
              <w:rPr/>
              <w:t>3</w:t>
            </w:r>
          </w:p>
        </w:tc>
        <w:tc>
          <w:tcPr>
            <w:tcW w:type="dxa" w:w="2492"/>
          </w:tcPr>
          <w:p>
            <w:pPr>
              <w:pStyle w:val="null3"/>
            </w:pPr>
            <w:r>
              <w:rPr/>
              <w:t>企业资质</w:t>
            </w:r>
          </w:p>
        </w:tc>
        <w:tc>
          <w:tcPr>
            <w:tcW w:type="dxa" w:w="3322"/>
          </w:tcPr>
          <w:p>
            <w:pPr>
              <w:pStyle w:val="null3"/>
            </w:pPr>
            <w:r>
              <w:rPr/>
              <w:t>供应商具有建设部门颁发的建筑工程施工总承包三级及以上资质，具备有效的安全生产许可证，提供复印件；省外企业需在陕西建设网“陕西建筑市场监管与诚信信息一体化平台”可查询到企业基本信息（需附网站查询截图）。</w:t>
            </w:r>
          </w:p>
        </w:tc>
        <w:tc>
          <w:tcPr>
            <w:tcW w:type="dxa" w:w="1661"/>
          </w:tcPr>
          <w:p>
            <w:pPr>
              <w:pStyle w:val="null3"/>
            </w:pPr>
            <w:r>
              <w:rPr/>
              <w:t>响应文件封面 资格证明文件 项目管理机构组成表 响应函</w:t>
            </w:r>
          </w:p>
        </w:tc>
      </w:tr>
      <w:tr>
        <w:tc>
          <w:tcPr>
            <w:tcW w:type="dxa" w:w="831"/>
          </w:tcPr>
          <w:p>
            <w:pPr>
              <w:pStyle w:val="null3"/>
            </w:pPr>
            <w:r>
              <w:rPr/>
              <w:t>4</w:t>
            </w:r>
          </w:p>
        </w:tc>
        <w:tc>
          <w:tcPr>
            <w:tcW w:type="dxa" w:w="2492"/>
          </w:tcPr>
          <w:p>
            <w:pPr>
              <w:pStyle w:val="null3"/>
            </w:pPr>
            <w:r>
              <w:rPr/>
              <w:t>信用查询</w:t>
            </w:r>
          </w:p>
        </w:tc>
        <w:tc>
          <w:tcPr>
            <w:tcW w:type="dxa" w:w="3322"/>
          </w:tcPr>
          <w:p>
            <w:pPr>
              <w:pStyle w:val="null3"/>
            </w:pPr>
            <w:r>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tc>
        <w:tc>
          <w:tcPr>
            <w:tcW w:type="dxa" w:w="1661"/>
          </w:tcPr>
          <w:p>
            <w:pPr>
              <w:pStyle w:val="null3"/>
            </w:pPr>
            <w:r>
              <w:rPr/>
              <w:t>响应文件封面 资格证明文件</w:t>
            </w:r>
          </w:p>
        </w:tc>
      </w:tr>
      <w:tr>
        <w:tc>
          <w:tcPr>
            <w:tcW w:type="dxa" w:w="831"/>
          </w:tcPr>
          <w:p>
            <w:pPr>
              <w:pStyle w:val="null3"/>
            </w:pPr>
            <w:r>
              <w:rPr/>
              <w:t>5</w:t>
            </w:r>
          </w:p>
        </w:tc>
        <w:tc>
          <w:tcPr>
            <w:tcW w:type="dxa" w:w="2492"/>
          </w:tcPr>
          <w:p>
            <w:pPr>
              <w:pStyle w:val="null3"/>
            </w:pPr>
            <w:r>
              <w:rPr/>
              <w:t>联合体</w:t>
            </w:r>
          </w:p>
        </w:tc>
        <w:tc>
          <w:tcPr>
            <w:tcW w:type="dxa" w:w="3322"/>
          </w:tcPr>
          <w:p>
            <w:pPr>
              <w:pStyle w:val="null3"/>
            </w:pPr>
            <w:r>
              <w:rPr/>
              <w:t>本项目（合同包）不接受联合体磋商。</w:t>
            </w:r>
          </w:p>
        </w:tc>
        <w:tc>
          <w:tcPr>
            <w:tcW w:type="dxa" w:w="1661"/>
          </w:tcPr>
          <w:p>
            <w:pPr>
              <w:pStyle w:val="null3"/>
            </w:pPr>
            <w:r>
              <w:rPr/>
              <w:t>响应文件封面 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报价函 标的清单</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w:t>
            </w:r>
          </w:p>
        </w:tc>
        <w:tc>
          <w:tcPr>
            <w:tcW w:type="dxa" w:w="2492"/>
          </w:tcPr>
          <w:p>
            <w:pPr>
              <w:pStyle w:val="null3"/>
            </w:pPr>
            <w:r>
              <w:rPr/>
              <w:t>对本项目特性了解透彻，施工组织设计方案先进可行，与项目实际结合紧密，对施工具有高度指导性，得5.1-7.0分；对项目特性了解较好，施工组织设计方案基本可行，得3.1-5.0分；对项目特性了解一般，施工组织设计方案较差，得1.0-3.0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工程质量管理体系及保证措施</w:t>
            </w:r>
          </w:p>
        </w:tc>
        <w:tc>
          <w:tcPr>
            <w:tcW w:type="dxa" w:w="2492"/>
          </w:tcPr>
          <w:p>
            <w:pPr>
              <w:pStyle w:val="null3"/>
            </w:pPr>
            <w:r>
              <w:rPr/>
              <w:t>质量目标明确，管理体系健全，预防和动态控制措施全面，得5.1-7.0分；质量目标基本明确，管理体系较全，保证措施较全面，得3.1-5.0分；质量目标不明确，管理体系不全，保证措施不利，得1.0-3.0分；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安全文明施工保证体系及保证措施</w:t>
            </w:r>
          </w:p>
        </w:tc>
        <w:tc>
          <w:tcPr>
            <w:tcW w:type="dxa" w:w="2492"/>
          </w:tcPr>
          <w:p>
            <w:pPr>
              <w:pStyle w:val="null3"/>
            </w:pPr>
            <w:r>
              <w:rPr/>
              <w:t>安全文明施工保证体系健全，预防和动态控制措施全面，得5.1-7.0分；安全文明施工保证体系较全，保证措施较全面，得3.1-5.0分；安全文明施工保证体系不全，保证措施不利，得1.0-3.0分；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施工进度及工期目标保障措施（提供施工计划网络图或横道图</w:t>
            </w:r>
          </w:p>
        </w:tc>
        <w:tc>
          <w:tcPr>
            <w:tcW w:type="dxa" w:w="2492"/>
          </w:tcPr>
          <w:p>
            <w:pPr>
              <w:pStyle w:val="null3"/>
            </w:pPr>
            <w:r>
              <w:rPr/>
              <w:t>保障措施全面，施工计划网络图或横道图合理，得5.1-7.0分；保障措施较全面，施工计划网络图或横道图较合理，得3.1-5.0分；保障措施不利，施工计划网络图或横道图不合理，得1.0-3.0分；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项目管理机构组成</w:t>
            </w:r>
          </w:p>
        </w:tc>
        <w:tc>
          <w:tcPr>
            <w:tcW w:type="dxa" w:w="2492"/>
          </w:tcPr>
          <w:p>
            <w:pPr>
              <w:pStyle w:val="null3"/>
            </w:pPr>
            <w:r>
              <w:rPr/>
              <w:t>人员专业配备齐全、数量合理，得5.1-7.0分；人员专业配备较齐全、数量较合理，得3.1-5.0分；人员专业配备不全、数量不合理，得1.0-3.0分；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拟投入本项目的主要机具设备及检测仪器</w:t>
            </w:r>
          </w:p>
        </w:tc>
        <w:tc>
          <w:tcPr>
            <w:tcW w:type="dxa" w:w="2492"/>
          </w:tcPr>
          <w:p>
            <w:pPr>
              <w:pStyle w:val="null3"/>
            </w:pPr>
            <w:r>
              <w:rPr/>
              <w:t>机具设备仪器类型全面、数量合理，得5.1-7.0分；机具设备仪器类型较全面、数量较合理，得3.1-5.0分；机具设备仪器类型不全、数量不合理，得1.0-3.0分；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针对本项目突发事件的应急预案</w:t>
            </w:r>
          </w:p>
        </w:tc>
        <w:tc>
          <w:tcPr>
            <w:tcW w:type="dxa" w:w="2492"/>
          </w:tcPr>
          <w:p>
            <w:pPr>
              <w:pStyle w:val="null3"/>
            </w:pPr>
            <w:r>
              <w:rPr/>
              <w:t>突发事件应急预案考虑全面，切实可行，操作性强，得5.1-7.0分；突发事件应急预案考虑较全面，操作性一般，得3.1-5.0分；突发事件应急预案考虑不全，操作性差，得1.0-3.0分；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环境保护体系及保证措施</w:t>
            </w:r>
          </w:p>
        </w:tc>
        <w:tc>
          <w:tcPr>
            <w:tcW w:type="dxa" w:w="2492"/>
          </w:tcPr>
          <w:p>
            <w:pPr>
              <w:pStyle w:val="null3"/>
            </w:pPr>
            <w:r>
              <w:rPr/>
              <w:t>环境保护体系健全，预防和动态控制措施全面，得5.1-7.0分；环境保护体系较全，保证措施较全面，得3.1-5.0分；环境保护体系不全，保证措施不利，得1.0-3.0分；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类似业绩</w:t>
            </w:r>
          </w:p>
        </w:tc>
        <w:tc>
          <w:tcPr>
            <w:tcW w:type="dxa" w:w="2492"/>
          </w:tcPr>
          <w:p>
            <w:pPr>
              <w:pStyle w:val="null3"/>
            </w:pPr>
            <w:r>
              <w:rPr/>
              <w:t>2021年1月1日起至本项目响应文件递交截止时间止，每提供一份已完成的类似项目业绩得2分，最多得6分。以响应文件中所附合同或中标通知书扫描件加盖公章为准；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商务条款偏离</w:t>
            </w:r>
          </w:p>
        </w:tc>
        <w:tc>
          <w:tcPr>
            <w:tcW w:type="dxa" w:w="2492"/>
          </w:tcPr>
          <w:p>
            <w:pPr>
              <w:pStyle w:val="null3"/>
            </w:pPr>
            <w:r>
              <w:rPr/>
              <w:t>磋商小组根据供应商提供的《商务条款偏离表》对商务响应情况进行评审，完全满足（等于或者优于）磋商文件要求得8分，每出现一项负偏离（低于磋商文件要求）扣1分，扣完为止。</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满足磋商文件要求且最终磋商报价价格最低的磋商报价为评标基准价，其价格分为满分。其他供应商的价格分统一按照下列公式计算：报价得分=（评标基准价/磋商报价）×价格权值×100 本项目为专门面向中小企业采购的采购项目。因此，不再执行价格评审优惠扶持政策。</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详见附件：标的清单</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