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rPr>
          <w:rFonts w:ascii="宋体" w:hAnsi="宋体" w:cs="宋体"/>
          <w:b/>
          <w:bCs/>
          <w:color w:val="000000"/>
          <w:kern w:val="2"/>
          <w:sz w:val="44"/>
          <w:szCs w:val="44"/>
        </w:rPr>
      </w:pPr>
    </w:p>
    <w:p>
      <w:pPr>
        <w:spacing w:line="360" w:lineRule="auto"/>
        <w:jc w:val="center"/>
        <w:rPr>
          <w:rFonts w:ascii="宋体" w:hAnsi="宋体" w:cs="仿宋_GB2312"/>
          <w:b/>
          <w:bCs/>
          <w:sz w:val="48"/>
          <w:szCs w:val="48"/>
        </w:rPr>
      </w:pPr>
      <w:r>
        <w:rPr>
          <w:rFonts w:hint="eastAsia" w:ascii="宋体" w:hAnsi="宋体" w:cs="仿宋_GB2312"/>
          <w:b/>
          <w:bCs/>
          <w:sz w:val="48"/>
          <w:szCs w:val="48"/>
        </w:rPr>
        <w:t>庆安小学南教学楼改造提升</w:t>
      </w:r>
    </w:p>
    <w:p>
      <w:pPr>
        <w:spacing w:line="360" w:lineRule="auto"/>
        <w:jc w:val="center"/>
        <w:rPr>
          <w:rFonts w:ascii="宋体" w:hAnsi="宋体" w:cs="仿宋_GB2312"/>
          <w:b/>
          <w:bCs/>
          <w:sz w:val="48"/>
          <w:szCs w:val="48"/>
        </w:rPr>
      </w:pPr>
    </w:p>
    <w:p>
      <w:pPr>
        <w:spacing w:line="360" w:lineRule="auto"/>
        <w:jc w:val="center"/>
        <w:rPr>
          <w:rFonts w:ascii="宋体" w:hAnsi="宋体" w:cs="仿宋_GB2312"/>
          <w:b/>
          <w:bCs/>
          <w:sz w:val="72"/>
          <w:szCs w:val="72"/>
        </w:rPr>
      </w:pPr>
    </w:p>
    <w:p>
      <w:pPr>
        <w:spacing w:line="360" w:lineRule="auto"/>
        <w:jc w:val="center"/>
        <w:rPr>
          <w:rFonts w:ascii="宋体" w:hAnsi="宋体" w:cs="仿宋_GB2312"/>
          <w:b/>
          <w:bCs/>
          <w:sz w:val="72"/>
          <w:szCs w:val="72"/>
        </w:rPr>
      </w:pPr>
    </w:p>
    <w:p>
      <w:pPr>
        <w:spacing w:line="360" w:lineRule="auto"/>
        <w:jc w:val="center"/>
        <w:rPr>
          <w:rFonts w:ascii="宋体" w:hAnsi="宋体" w:cs="仿宋_GB2312"/>
          <w:b/>
          <w:bCs/>
          <w:sz w:val="72"/>
          <w:szCs w:val="72"/>
        </w:rPr>
      </w:pPr>
      <w:r>
        <w:rPr>
          <w:rFonts w:hint="eastAsia" w:ascii="宋体" w:hAnsi="宋体" w:cs="仿宋_GB2312"/>
          <w:b/>
          <w:bCs/>
          <w:sz w:val="72"/>
          <w:szCs w:val="72"/>
        </w:rPr>
        <w:t>施 工 合 同</w:t>
      </w:r>
    </w:p>
    <w:p>
      <w:pPr>
        <w:spacing w:line="360" w:lineRule="auto"/>
        <w:rPr>
          <w:rFonts w:ascii="宋体" w:hAnsi="宋体" w:cs="仿宋_GB2312"/>
          <w:b/>
          <w:bCs/>
          <w:sz w:val="28"/>
          <w:szCs w:val="28"/>
        </w:rPr>
      </w:pPr>
    </w:p>
    <w:p>
      <w:pPr>
        <w:spacing w:line="360" w:lineRule="auto"/>
        <w:rPr>
          <w:rFonts w:ascii="宋体" w:hAnsi="宋体" w:cs="仿宋_GB2312"/>
          <w:b/>
          <w:bCs/>
          <w:sz w:val="28"/>
          <w:szCs w:val="28"/>
        </w:rPr>
      </w:pPr>
    </w:p>
    <w:p>
      <w:pPr>
        <w:spacing w:line="360" w:lineRule="auto"/>
        <w:rPr>
          <w:rFonts w:ascii="宋体" w:hAnsi="宋体" w:cs="仿宋_GB2312"/>
          <w:b/>
          <w:bCs/>
          <w:sz w:val="28"/>
          <w:szCs w:val="28"/>
        </w:rPr>
      </w:pPr>
    </w:p>
    <w:p>
      <w:pPr>
        <w:spacing w:line="360" w:lineRule="auto"/>
        <w:rPr>
          <w:rFonts w:ascii="宋体" w:hAnsi="宋体" w:cs="仿宋_GB2312"/>
          <w:b/>
          <w:bCs/>
          <w:sz w:val="28"/>
          <w:szCs w:val="28"/>
        </w:rPr>
      </w:pPr>
    </w:p>
    <w:p>
      <w:pPr>
        <w:pStyle w:val="9"/>
      </w:pPr>
    </w:p>
    <w:p>
      <w:pPr>
        <w:pStyle w:val="9"/>
      </w:pPr>
    </w:p>
    <w:p>
      <w:pPr>
        <w:pStyle w:val="9"/>
      </w:pPr>
    </w:p>
    <w:p>
      <w:pPr>
        <w:pStyle w:val="9"/>
      </w:pPr>
    </w:p>
    <w:p>
      <w:pPr>
        <w:spacing w:line="360" w:lineRule="auto"/>
        <w:ind w:firstLine="1405" w:firstLineChars="500"/>
        <w:rPr>
          <w:rFonts w:ascii="宋体" w:hAnsi="宋体" w:cs="仿宋_GB2312"/>
          <w:b/>
          <w:bCs/>
          <w:sz w:val="28"/>
          <w:szCs w:val="28"/>
        </w:rPr>
      </w:pPr>
    </w:p>
    <w:p>
      <w:pPr>
        <w:spacing w:line="360" w:lineRule="auto"/>
        <w:ind w:firstLine="1405" w:firstLineChars="500"/>
        <w:rPr>
          <w:rFonts w:ascii="宋体" w:hAnsi="宋体" w:cs="仿宋_GB2312"/>
          <w:b/>
          <w:bCs/>
          <w:sz w:val="28"/>
          <w:szCs w:val="28"/>
        </w:rPr>
      </w:pPr>
    </w:p>
    <w:p>
      <w:pPr>
        <w:spacing w:line="360" w:lineRule="auto"/>
        <w:rPr>
          <w:rFonts w:ascii="宋体" w:hAnsi="宋体" w:cs="仿宋_GB2312"/>
          <w:b/>
          <w:bCs/>
          <w:sz w:val="28"/>
          <w:szCs w:val="28"/>
        </w:rPr>
      </w:pPr>
    </w:p>
    <w:p>
      <w:pPr>
        <w:spacing w:line="360" w:lineRule="auto"/>
        <w:ind w:firstLine="281" w:firstLineChars="100"/>
        <w:rPr>
          <w:rFonts w:ascii="宋体" w:hAnsi="宋体" w:cs="仿宋_GB2312"/>
          <w:b/>
          <w:bCs/>
          <w:sz w:val="28"/>
          <w:szCs w:val="28"/>
        </w:rPr>
      </w:pPr>
      <w:r>
        <w:rPr>
          <w:rFonts w:hint="eastAsia" w:ascii="宋体" w:hAnsi="宋体" w:cs="仿宋_GB2312"/>
          <w:b/>
          <w:bCs/>
          <w:sz w:val="28"/>
          <w:szCs w:val="28"/>
        </w:rPr>
        <w:t>发包方：</w:t>
      </w:r>
      <w:r>
        <w:rPr>
          <w:rFonts w:hint="eastAsia" w:ascii="宋体" w:hAnsi="宋体" w:cs="仿宋_GB2312"/>
          <w:b/>
          <w:bCs/>
          <w:sz w:val="28"/>
          <w:szCs w:val="28"/>
          <w:u w:val="single"/>
        </w:rPr>
        <w:t xml:space="preserve">                                          </w:t>
      </w:r>
    </w:p>
    <w:p>
      <w:pPr>
        <w:spacing w:line="360" w:lineRule="auto"/>
        <w:ind w:firstLine="281" w:firstLineChars="100"/>
      </w:pPr>
      <w:r>
        <w:rPr>
          <w:rFonts w:hint="eastAsia" w:ascii="宋体" w:hAnsi="宋体" w:cs="仿宋_GB2312"/>
          <w:b/>
          <w:bCs/>
          <w:sz w:val="28"/>
          <w:szCs w:val="28"/>
        </w:rPr>
        <w:t>承包方：</w:t>
      </w:r>
      <w:r>
        <w:rPr>
          <w:rFonts w:hint="eastAsia" w:ascii="宋体" w:hAnsi="宋体" w:cs="仿宋_GB2312"/>
          <w:b/>
          <w:bCs/>
          <w:sz w:val="28"/>
          <w:szCs w:val="28"/>
          <w:u w:val="single"/>
        </w:rPr>
        <w:t xml:space="preserve">                                          </w:t>
      </w:r>
    </w:p>
    <w:p>
      <w:pPr>
        <w:spacing w:line="360" w:lineRule="auto"/>
        <w:ind w:firstLine="281" w:firstLineChars="100"/>
        <w:rPr>
          <w:rFonts w:ascii="宋体" w:hAnsi="宋体" w:cs="仿宋_GB2312"/>
          <w:b/>
          <w:bCs/>
          <w:sz w:val="28"/>
          <w:szCs w:val="28"/>
        </w:rPr>
      </w:pPr>
      <w:r>
        <w:rPr>
          <w:rFonts w:hint="eastAsia" w:ascii="宋体" w:hAnsi="宋体" w:cs="仿宋_GB2312"/>
          <w:b/>
          <w:bCs/>
          <w:sz w:val="28"/>
          <w:szCs w:val="28"/>
        </w:rPr>
        <w:t>签订日期：</w:t>
      </w:r>
      <w:r>
        <w:rPr>
          <w:rFonts w:hint="eastAsia" w:ascii="宋体" w:hAnsi="宋体" w:cs="仿宋_GB2312"/>
          <w:b/>
          <w:bCs/>
          <w:sz w:val="28"/>
          <w:szCs w:val="28"/>
          <w:u w:val="single"/>
        </w:rPr>
        <w:t xml:space="preserve">                                        </w:t>
      </w:r>
    </w:p>
    <w:p>
      <w:pPr>
        <w:keepNext/>
        <w:keepLines/>
        <w:spacing w:line="360" w:lineRule="auto"/>
        <w:rPr>
          <w:rFonts w:ascii="宋体" w:hAnsi="宋体" w:cs="宋体"/>
          <w:b/>
          <w:bCs/>
          <w:szCs w:val="21"/>
        </w:rPr>
      </w:pPr>
      <w:r>
        <w:rPr>
          <w:rFonts w:ascii="宋体" w:hAnsi="宋体" w:cs="宋体"/>
          <w:b/>
          <w:bCs/>
          <w:szCs w:val="21"/>
        </w:rPr>
        <w:br w:type="page"/>
      </w:r>
      <w:r>
        <w:rPr>
          <w:rFonts w:hint="eastAsia" w:ascii="宋体" w:hAnsi="宋体" w:cs="宋体"/>
          <w:b/>
          <w:bCs/>
          <w:szCs w:val="21"/>
        </w:rPr>
        <w:t>发包方：</w:t>
      </w:r>
      <w:r>
        <w:rPr>
          <w:rFonts w:hint="eastAsia" w:ascii="宋体" w:hAnsi="宋体" w:cs="宋体"/>
          <w:b/>
          <w:bCs/>
          <w:szCs w:val="21"/>
          <w:u w:val="single"/>
        </w:rPr>
        <w:t xml:space="preserve">                                        </w:t>
      </w:r>
    </w:p>
    <w:p>
      <w:pPr>
        <w:keepNext/>
        <w:keepLines/>
        <w:spacing w:line="360" w:lineRule="auto"/>
        <w:rPr>
          <w:rFonts w:ascii="宋体" w:hAnsi="宋体" w:cs="宋体"/>
          <w:b/>
          <w:bCs/>
          <w:szCs w:val="21"/>
          <w:u w:val="single"/>
        </w:rPr>
      </w:pPr>
      <w:r>
        <w:rPr>
          <w:rFonts w:hint="eastAsia" w:ascii="宋体" w:hAnsi="宋体" w:cs="宋体"/>
          <w:b/>
          <w:bCs/>
          <w:szCs w:val="21"/>
        </w:rPr>
        <w:t>承包方：</w:t>
      </w:r>
      <w:r>
        <w:rPr>
          <w:rFonts w:hint="eastAsia" w:ascii="宋体" w:hAnsi="宋体" w:cs="宋体"/>
          <w:b/>
          <w:bCs/>
          <w:szCs w:val="21"/>
          <w:u w:val="single"/>
        </w:rPr>
        <w:t xml:space="preserve">                                        </w:t>
      </w:r>
    </w:p>
    <w:p>
      <w:pPr>
        <w:keepNext/>
        <w:keepLines/>
        <w:autoSpaceDE w:val="0"/>
        <w:autoSpaceDN w:val="0"/>
        <w:spacing w:line="360" w:lineRule="auto"/>
        <w:ind w:firstLine="404" w:firstLineChars="200"/>
        <w:rPr>
          <w:rFonts w:ascii="宋体" w:hAnsi="宋体" w:cs="宋体"/>
          <w:szCs w:val="21"/>
        </w:rPr>
      </w:pPr>
      <w:bookmarkStart w:id="0" w:name="_Toc445821147"/>
      <w:r>
        <w:rPr>
          <w:rFonts w:hint="eastAsia" w:ascii="宋体" w:hAnsi="宋体" w:cs="宋体"/>
          <w:color w:val="000000"/>
          <w:spacing w:val="-4"/>
          <w:szCs w:val="21"/>
        </w:rPr>
        <w:t>根据《中华人民共和国民法典</w:t>
      </w:r>
      <w:r>
        <w:rPr>
          <w:rFonts w:hint="eastAsia" w:ascii="宋体" w:hAnsi="宋体" w:cs="宋体"/>
          <w:color w:val="000000"/>
          <w:spacing w:val="-7"/>
          <w:szCs w:val="21"/>
        </w:rPr>
        <w:t>》</w:t>
      </w:r>
      <w:r>
        <w:rPr>
          <w:rFonts w:hint="eastAsia" w:ascii="宋体" w:hAnsi="宋体" w:cs="宋体"/>
          <w:color w:val="000000"/>
          <w:spacing w:val="-4"/>
          <w:szCs w:val="21"/>
        </w:rPr>
        <w:t>、</w:t>
      </w:r>
      <w:r>
        <w:rPr>
          <w:rFonts w:hint="eastAsia" w:ascii="宋体" w:hAnsi="宋体" w:cs="宋体"/>
          <w:color w:val="000000"/>
          <w:spacing w:val="-5"/>
          <w:szCs w:val="21"/>
        </w:rPr>
        <w:t>《中华人</w:t>
      </w:r>
      <w:r>
        <w:rPr>
          <w:rFonts w:hint="eastAsia" w:ascii="宋体" w:hAnsi="宋体" w:cs="宋体"/>
          <w:color w:val="000000"/>
          <w:spacing w:val="-4"/>
          <w:szCs w:val="21"/>
        </w:rPr>
        <w:t>民共和国政府采购法》等法律法规，本着平</w:t>
      </w:r>
      <w:r>
        <w:rPr>
          <w:rFonts w:hint="eastAsia" w:ascii="宋体" w:hAnsi="宋体" w:cs="宋体"/>
          <w:color w:val="000000"/>
          <w:szCs w:val="21"/>
        </w:rPr>
        <w:t>等、自愿、公平、互利和诚实信用的原则，经双方协商一致，同意签订本合同</w:t>
      </w:r>
      <w:r>
        <w:rPr>
          <w:rFonts w:hint="eastAsia" w:ascii="宋体" w:hAnsi="宋体" w:cs="宋体"/>
          <w:color w:val="000000"/>
          <w:spacing w:val="-4"/>
          <w:szCs w:val="21"/>
        </w:rPr>
        <w:t>。</w:t>
      </w:r>
    </w:p>
    <w:p>
      <w:pPr>
        <w:keepNext/>
        <w:keepLines/>
        <w:spacing w:line="360" w:lineRule="auto"/>
        <w:rPr>
          <w:rFonts w:ascii="宋体" w:hAnsi="宋体" w:cs="宋体"/>
          <w:b/>
          <w:bCs/>
          <w:szCs w:val="21"/>
        </w:rPr>
      </w:pPr>
      <w:r>
        <w:rPr>
          <w:rFonts w:hint="eastAsia" w:ascii="宋体" w:hAnsi="宋体" w:cs="宋体"/>
          <w:b/>
          <w:bCs/>
          <w:szCs w:val="21"/>
        </w:rPr>
        <w:t>一、</w:t>
      </w:r>
      <w:bookmarkEnd w:id="0"/>
      <w:r>
        <w:rPr>
          <w:rFonts w:hint="eastAsia" w:ascii="宋体" w:hAnsi="宋体" w:cs="宋体"/>
          <w:b/>
          <w:bCs/>
          <w:szCs w:val="21"/>
        </w:rPr>
        <w:t>项目基本信息</w:t>
      </w:r>
    </w:p>
    <w:p>
      <w:pPr>
        <w:keepNext/>
        <w:keepLines/>
        <w:spacing w:line="360" w:lineRule="auto"/>
        <w:ind w:firstLine="420" w:firstLineChars="200"/>
        <w:rPr>
          <w:rFonts w:ascii="宋体" w:hAnsi="宋体" w:cs="宋体"/>
          <w:szCs w:val="21"/>
          <w:u w:val="single"/>
        </w:rPr>
      </w:pPr>
      <w:r>
        <w:rPr>
          <w:rFonts w:hint="eastAsia" w:ascii="宋体" w:hAnsi="宋体" w:cs="宋体"/>
          <w:szCs w:val="21"/>
        </w:rPr>
        <w:t>1.项目名称：</w:t>
      </w:r>
      <w:r>
        <w:rPr>
          <w:rFonts w:hint="eastAsia" w:ascii="宋体" w:hAnsi="宋体" w:cs="宋体"/>
          <w:szCs w:val="21"/>
          <w:u w:val="single"/>
        </w:rPr>
        <w:t>庆安小学南教学楼改造提升</w:t>
      </w:r>
    </w:p>
    <w:p>
      <w:pPr>
        <w:keepNext/>
        <w:keepLines/>
        <w:spacing w:line="360" w:lineRule="auto"/>
        <w:ind w:firstLine="420" w:firstLineChars="200"/>
        <w:rPr>
          <w:rFonts w:ascii="宋体" w:hAnsi="宋体" w:cs="宋体"/>
          <w:szCs w:val="21"/>
        </w:rPr>
      </w:pPr>
      <w:r>
        <w:rPr>
          <w:rFonts w:hint="eastAsia" w:ascii="宋体" w:hAnsi="宋体" w:cs="宋体"/>
          <w:szCs w:val="21"/>
        </w:rPr>
        <w:t>2.建设地点：</w:t>
      </w:r>
      <w:r>
        <w:rPr>
          <w:rFonts w:hint="eastAsia" w:ascii="宋体" w:hAnsi="宋体" w:cs="宋体"/>
          <w:color w:val="000000"/>
          <w:kern w:val="0"/>
          <w:szCs w:val="21"/>
          <w:u w:val="single"/>
        </w:rPr>
        <w:t>西安市莲湖区</w:t>
      </w:r>
    </w:p>
    <w:p>
      <w:pPr>
        <w:keepNext/>
        <w:keepLines/>
        <w:spacing w:line="360" w:lineRule="auto"/>
        <w:ind w:firstLine="420" w:firstLineChars="200"/>
        <w:rPr>
          <w:rFonts w:ascii="宋体" w:hAnsi="宋体" w:cs="宋体"/>
          <w:szCs w:val="21"/>
        </w:rPr>
      </w:pPr>
      <w:r>
        <w:rPr>
          <w:rFonts w:hint="eastAsia" w:ascii="宋体" w:hAnsi="宋体" w:cs="宋体"/>
          <w:szCs w:val="21"/>
        </w:rPr>
        <w:t>3.项目概况：</w:t>
      </w:r>
      <w:r>
        <w:rPr>
          <w:rFonts w:hint="eastAsia" w:ascii="宋体" w:hAnsi="宋体" w:cs="宋体"/>
          <w:b/>
          <w:bCs/>
          <w:szCs w:val="21"/>
          <w:u w:val="single"/>
        </w:rPr>
        <w:t xml:space="preserve">                                          </w:t>
      </w:r>
    </w:p>
    <w:p>
      <w:pPr>
        <w:keepNext/>
        <w:keepLines/>
        <w:spacing w:line="360" w:lineRule="auto"/>
        <w:ind w:firstLine="420" w:firstLineChars="200"/>
        <w:rPr>
          <w:rFonts w:ascii="宋体" w:hAnsi="宋体" w:cs="宋体"/>
          <w:szCs w:val="21"/>
          <w:u w:val="single"/>
        </w:rPr>
      </w:pPr>
      <w:r>
        <w:rPr>
          <w:rFonts w:hint="eastAsia" w:ascii="宋体" w:hAnsi="宋体" w:cs="宋体"/>
          <w:szCs w:val="21"/>
        </w:rPr>
        <w:t>4.承包范围：</w:t>
      </w:r>
      <w:r>
        <w:rPr>
          <w:rFonts w:hint="eastAsia" w:ascii="宋体" w:hAnsi="宋体" w:cs="宋体"/>
          <w:szCs w:val="21"/>
          <w:u w:val="single"/>
        </w:rPr>
        <w:t xml:space="preserve">西安市莲湖区庆安小学南教学楼改造提升项目，具体内容为南教学楼室内粉刷、地胶、更换教室门（防盗门）、校园文化装饰等装修改造，具体施工内容详见分部分项工程量清单。 </w:t>
      </w:r>
      <w:r>
        <w:rPr>
          <w:rFonts w:hint="eastAsia" w:ascii="宋体" w:hAnsi="宋体" w:cs="宋体"/>
          <w:szCs w:val="21"/>
        </w:rPr>
        <w:t xml:space="preserve">             </w:t>
      </w:r>
    </w:p>
    <w:p>
      <w:pPr>
        <w:keepNext/>
        <w:keepLines/>
        <w:spacing w:line="360" w:lineRule="auto"/>
        <w:ind w:firstLine="420" w:firstLineChars="200"/>
        <w:rPr>
          <w:rFonts w:ascii="宋体" w:hAnsi="宋体" w:cs="宋体"/>
          <w:szCs w:val="21"/>
        </w:rPr>
      </w:pPr>
      <w:r>
        <w:rPr>
          <w:rFonts w:hint="eastAsia" w:ascii="宋体" w:hAnsi="宋体" w:cs="宋体"/>
          <w:szCs w:val="21"/>
        </w:rPr>
        <w:t>5.</w:t>
      </w:r>
      <w:r>
        <w:rPr>
          <w:rFonts w:hint="eastAsia" w:ascii="宋体" w:hAnsi="宋体" w:cs="宋体"/>
          <w:kern w:val="0"/>
          <w:szCs w:val="21"/>
        </w:rPr>
        <w:t>工期</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 xml:space="preserve">                   </w:t>
      </w:r>
    </w:p>
    <w:p>
      <w:pPr>
        <w:keepNext/>
        <w:keepLines/>
        <w:spacing w:line="360" w:lineRule="auto"/>
        <w:rPr>
          <w:rFonts w:ascii="宋体" w:hAnsi="宋体" w:cs="宋体"/>
          <w:b/>
          <w:bCs/>
          <w:szCs w:val="21"/>
        </w:rPr>
      </w:pPr>
      <w:bookmarkStart w:id="1" w:name="_Toc445821148"/>
      <w:r>
        <w:rPr>
          <w:rFonts w:hint="eastAsia" w:ascii="宋体" w:hAnsi="宋体" w:cs="宋体"/>
          <w:b/>
          <w:bCs/>
          <w:szCs w:val="21"/>
        </w:rPr>
        <w:t>二、合同价款及支付</w:t>
      </w:r>
      <w:bookmarkEnd w:id="1"/>
    </w:p>
    <w:p>
      <w:pPr>
        <w:keepNext/>
        <w:keepLines/>
        <w:spacing w:line="360" w:lineRule="auto"/>
        <w:ind w:firstLine="420" w:firstLineChars="200"/>
        <w:rPr>
          <w:rFonts w:ascii="宋体" w:hAnsi="宋体" w:cs="宋体"/>
          <w:szCs w:val="21"/>
        </w:rPr>
      </w:pPr>
      <w:bookmarkStart w:id="2" w:name="_Toc445821149"/>
      <w:r>
        <w:rPr>
          <w:rFonts w:hint="eastAsia" w:ascii="宋体" w:hAnsi="宋体" w:cs="宋体"/>
          <w:szCs w:val="21"/>
        </w:rPr>
        <w:t>1.合同价款确定</w:t>
      </w:r>
    </w:p>
    <w:p>
      <w:pPr>
        <w:keepNext/>
        <w:keepLines/>
        <w:spacing w:line="360" w:lineRule="auto"/>
        <w:ind w:firstLine="420" w:firstLineChars="200"/>
        <w:rPr>
          <w:rFonts w:ascii="宋体" w:hAnsi="宋体" w:cs="宋体"/>
          <w:szCs w:val="21"/>
        </w:rPr>
      </w:pPr>
      <w:r>
        <w:rPr>
          <w:rFonts w:hint="eastAsia" w:ascii="宋体" w:hAnsi="宋体" w:cs="宋体"/>
          <w:szCs w:val="21"/>
        </w:rPr>
        <w:t>本项目的中标金额￥：</w:t>
      </w:r>
      <w:r>
        <w:rPr>
          <w:rFonts w:hint="eastAsia" w:ascii="宋体" w:hAnsi="宋体" w:cs="宋体"/>
          <w:szCs w:val="21"/>
          <w:u w:val="single"/>
        </w:rPr>
        <w:t xml:space="preserve">        </w:t>
      </w:r>
      <w:r>
        <w:rPr>
          <w:rFonts w:hint="eastAsia" w:ascii="宋体" w:hAnsi="宋体" w:cs="宋体"/>
          <w:szCs w:val="21"/>
        </w:rPr>
        <w:t>元，大写：</w:t>
      </w:r>
      <w:r>
        <w:rPr>
          <w:rFonts w:hint="eastAsia" w:ascii="宋体" w:hAnsi="宋体" w:cs="宋体"/>
          <w:szCs w:val="21"/>
          <w:u w:val="single"/>
        </w:rPr>
        <w:t xml:space="preserve">        </w:t>
      </w:r>
      <w:r>
        <w:rPr>
          <w:rFonts w:hint="eastAsia" w:ascii="宋体" w:hAnsi="宋体" w:cs="宋体"/>
          <w:szCs w:val="21"/>
        </w:rPr>
        <w:t>元。</w:t>
      </w:r>
    </w:p>
    <w:p>
      <w:pPr>
        <w:keepNext/>
        <w:keepLines/>
        <w:spacing w:line="360" w:lineRule="auto"/>
        <w:ind w:firstLine="420" w:firstLineChars="200"/>
        <w:rPr>
          <w:rFonts w:ascii="宋体" w:hAnsi="宋体" w:cs="宋体"/>
          <w:szCs w:val="21"/>
        </w:rPr>
      </w:pPr>
      <w:r>
        <w:rPr>
          <w:rFonts w:hint="eastAsia" w:ascii="宋体" w:hAnsi="宋体" w:cs="宋体"/>
          <w:szCs w:val="21"/>
        </w:rPr>
        <w:t>2.合同价款支付</w:t>
      </w:r>
    </w:p>
    <w:p>
      <w:pPr>
        <w:keepNext/>
        <w:keepLines/>
        <w:spacing w:line="360" w:lineRule="auto"/>
        <w:ind w:firstLine="420" w:firstLineChars="200"/>
        <w:rPr>
          <w:rFonts w:ascii="宋体" w:hAnsi="宋体" w:cs="宋体"/>
          <w:szCs w:val="21"/>
        </w:rPr>
      </w:pPr>
      <w:r>
        <w:rPr>
          <w:rFonts w:hint="eastAsia" w:ascii="宋体" w:hAnsi="宋体" w:cs="宋体"/>
          <w:szCs w:val="21"/>
        </w:rPr>
        <w:t>2.1本项目为交钥匙工程。</w:t>
      </w:r>
    </w:p>
    <w:p>
      <w:pPr>
        <w:keepNext/>
        <w:keepLines/>
        <w:spacing w:line="360" w:lineRule="auto"/>
        <w:ind w:firstLine="420" w:firstLineChars="200"/>
        <w:rPr>
          <w:rFonts w:ascii="宋体" w:hAnsi="宋体" w:cs="宋体"/>
          <w:szCs w:val="21"/>
        </w:rPr>
      </w:pPr>
      <w:r>
        <w:rPr>
          <w:rFonts w:hint="eastAsia" w:ascii="宋体" w:hAnsi="宋体" w:cs="宋体"/>
          <w:szCs w:val="21"/>
        </w:rPr>
        <w:t>2.2付款方式：</w:t>
      </w:r>
    </w:p>
    <w:p>
      <w:pPr>
        <w:keepNext/>
        <w:keepLines/>
        <w:spacing w:line="360" w:lineRule="auto"/>
        <w:ind w:firstLine="420" w:firstLineChars="200"/>
        <w:rPr>
          <w:rFonts w:ascii="宋体" w:hAnsi="宋体" w:cs="宋体"/>
          <w:szCs w:val="21"/>
          <w:highlight w:val="none"/>
        </w:rPr>
      </w:pPr>
      <w:r>
        <w:rPr>
          <w:rFonts w:hint="eastAsia" w:ascii="宋体" w:hAnsi="宋体" w:cs="宋体"/>
          <w:szCs w:val="21"/>
        </w:rPr>
        <w:t>2.2.1.本工程无预</w:t>
      </w:r>
      <w:r>
        <w:rPr>
          <w:rFonts w:hint="eastAsia" w:ascii="宋体" w:hAnsi="宋体" w:cs="宋体"/>
          <w:szCs w:val="21"/>
          <w:highlight w:val="none"/>
        </w:rPr>
        <w:t>付款，工程竣工验收合格后支付至合同价的80%(不含预留金)；</w:t>
      </w:r>
    </w:p>
    <w:p>
      <w:pPr>
        <w:keepNext/>
        <w:keepLines/>
        <w:spacing w:line="360" w:lineRule="auto"/>
        <w:ind w:firstLine="420" w:firstLineChars="200"/>
        <w:rPr>
          <w:rFonts w:ascii="宋体" w:hAnsi="宋体" w:cs="宋体"/>
          <w:szCs w:val="21"/>
        </w:rPr>
      </w:pPr>
      <w:r>
        <w:rPr>
          <w:rFonts w:hint="eastAsia" w:ascii="宋体" w:hAnsi="宋体" w:cs="宋体"/>
          <w:szCs w:val="21"/>
          <w:highlight w:val="none"/>
        </w:rPr>
        <w:t>2.2.2.结算审核完成后支付至审定价的97%，剩余3%作为</w:t>
      </w:r>
      <w:r>
        <w:rPr>
          <w:rFonts w:hint="eastAsia" w:ascii="宋体" w:hAnsi="宋体" w:cs="宋体"/>
          <w:szCs w:val="21"/>
        </w:rPr>
        <w:t>质量保证金；</w:t>
      </w:r>
    </w:p>
    <w:p>
      <w:pPr>
        <w:keepNext/>
        <w:keepLines/>
        <w:spacing w:line="360" w:lineRule="auto"/>
        <w:ind w:firstLine="420" w:firstLineChars="200"/>
        <w:rPr>
          <w:rFonts w:ascii="宋体" w:hAnsi="宋体" w:cs="宋体"/>
          <w:color w:val="000000"/>
          <w:szCs w:val="21"/>
        </w:rPr>
      </w:pPr>
      <w:r>
        <w:rPr>
          <w:rFonts w:hint="eastAsia" w:ascii="宋体" w:hAnsi="宋体" w:cs="宋体"/>
          <w:szCs w:val="21"/>
        </w:rPr>
        <w:t>3.质保期:</w:t>
      </w:r>
      <w:r>
        <w:rPr>
          <w:rFonts w:hint="eastAsia" w:ascii="宋体" w:hAnsi="宋体" w:cs="宋体"/>
          <w:kern w:val="0"/>
          <w:szCs w:val="21"/>
        </w:rPr>
        <w:t>本工程整体保修期为2年，分部分项工程质量保修期按《建设工程质量管理条例》及国家有关规定执行。</w:t>
      </w:r>
    </w:p>
    <w:p>
      <w:pPr>
        <w:keepNext/>
        <w:keepLines/>
        <w:spacing w:line="360" w:lineRule="auto"/>
        <w:rPr>
          <w:rFonts w:ascii="宋体" w:hAnsi="宋体" w:cs="宋体"/>
          <w:b/>
          <w:bCs/>
          <w:szCs w:val="21"/>
        </w:rPr>
      </w:pPr>
      <w:r>
        <w:rPr>
          <w:rFonts w:hint="eastAsia" w:ascii="宋体" w:hAnsi="宋体" w:cs="宋体"/>
          <w:b/>
          <w:bCs/>
          <w:szCs w:val="21"/>
        </w:rPr>
        <w:t>三、发包方责任</w:t>
      </w:r>
    </w:p>
    <w:p>
      <w:pPr>
        <w:keepNext/>
        <w:keepLines/>
        <w:spacing w:line="360" w:lineRule="auto"/>
        <w:ind w:firstLine="420" w:firstLineChars="200"/>
        <w:rPr>
          <w:rFonts w:ascii="宋体" w:hAnsi="宋体" w:cs="宋体"/>
          <w:kern w:val="22"/>
          <w:szCs w:val="21"/>
        </w:rPr>
      </w:pPr>
      <w:r>
        <w:rPr>
          <w:rFonts w:hint="eastAsia" w:ascii="宋体" w:hAnsi="宋体" w:cs="宋体"/>
          <w:kern w:val="22"/>
          <w:szCs w:val="21"/>
        </w:rPr>
        <w:t>开工前发包方负责向承包方提供必要的施工条件。</w:t>
      </w:r>
    </w:p>
    <w:p>
      <w:pPr>
        <w:keepNext/>
        <w:keepLines/>
        <w:spacing w:line="360" w:lineRule="auto"/>
        <w:rPr>
          <w:rFonts w:ascii="宋体" w:hAnsi="宋体" w:cs="宋体"/>
          <w:b/>
          <w:bCs/>
          <w:szCs w:val="21"/>
        </w:rPr>
      </w:pPr>
      <w:r>
        <w:rPr>
          <w:rFonts w:hint="eastAsia" w:ascii="宋体" w:hAnsi="宋体" w:cs="宋体"/>
          <w:b/>
          <w:bCs/>
          <w:szCs w:val="21"/>
        </w:rPr>
        <w:t>四、承包方责任</w:t>
      </w:r>
    </w:p>
    <w:p>
      <w:pPr>
        <w:keepNext/>
        <w:keepLines/>
        <w:spacing w:line="360" w:lineRule="auto"/>
        <w:ind w:firstLine="420" w:firstLineChars="200"/>
        <w:rPr>
          <w:rFonts w:ascii="宋体" w:hAnsi="宋体" w:cs="宋体"/>
          <w:kern w:val="22"/>
          <w:szCs w:val="21"/>
        </w:rPr>
      </w:pPr>
      <w:r>
        <w:rPr>
          <w:rFonts w:hint="eastAsia" w:ascii="宋体" w:hAnsi="宋体" w:cs="宋体"/>
          <w:kern w:val="22"/>
          <w:szCs w:val="21"/>
        </w:rPr>
        <w:t>1、承包方施工过程中造成的工程、财产和人身伤害，由承包方承担全部法律责任。</w:t>
      </w:r>
    </w:p>
    <w:p>
      <w:pPr>
        <w:keepNext/>
        <w:keepLines/>
        <w:spacing w:line="360" w:lineRule="auto"/>
        <w:ind w:firstLine="420" w:firstLineChars="200"/>
        <w:rPr>
          <w:rFonts w:ascii="宋体" w:hAnsi="宋体" w:cs="宋体"/>
          <w:kern w:val="22"/>
          <w:szCs w:val="21"/>
        </w:rPr>
      </w:pPr>
      <w:r>
        <w:rPr>
          <w:rFonts w:hint="eastAsia" w:ascii="宋体" w:hAnsi="宋体" w:cs="宋体"/>
          <w:kern w:val="22"/>
          <w:szCs w:val="21"/>
        </w:rPr>
        <w:t>2、遵守地方政府和有关部门对施工场地交通管理规定，经发包方同意后办理有关手续，甲、承包方按规定承担相应的费用，因承包方责任造成的罚款，由承包方承担。</w:t>
      </w:r>
    </w:p>
    <w:p>
      <w:pPr>
        <w:keepNext/>
        <w:keepLines/>
        <w:spacing w:line="360" w:lineRule="auto"/>
        <w:ind w:firstLine="420" w:firstLineChars="200"/>
        <w:rPr>
          <w:rFonts w:ascii="宋体" w:hAnsi="宋体" w:cs="宋体"/>
          <w:kern w:val="22"/>
          <w:szCs w:val="21"/>
        </w:rPr>
      </w:pPr>
      <w:r>
        <w:rPr>
          <w:rFonts w:hint="eastAsia" w:ascii="宋体" w:hAnsi="宋体" w:cs="宋体"/>
          <w:kern w:val="22"/>
          <w:szCs w:val="21"/>
        </w:rPr>
        <w:t>3、保证施工现场清洁符合有关规定，现场无建筑垃圾，垃圾必须及时清理，日产日清，所产生垃圾渣土堆放不得超过2日。承担因违反有关规定造成的损失和罚款（非承包方造成的损失和罚款除外）。</w:t>
      </w:r>
    </w:p>
    <w:p>
      <w:pPr>
        <w:keepNext/>
        <w:keepLines/>
        <w:spacing w:line="360" w:lineRule="auto"/>
        <w:ind w:firstLine="420" w:firstLineChars="200"/>
        <w:rPr>
          <w:rFonts w:ascii="宋体" w:hAnsi="宋体" w:cs="宋体"/>
          <w:kern w:val="22"/>
          <w:szCs w:val="21"/>
        </w:rPr>
      </w:pPr>
      <w:r>
        <w:rPr>
          <w:rFonts w:hint="eastAsia" w:ascii="宋体" w:hAnsi="宋体" w:cs="宋体"/>
          <w:kern w:val="22"/>
          <w:szCs w:val="21"/>
        </w:rPr>
        <w:t>4、承包方施工及管理期间用电自行解决，费用自付。</w:t>
      </w:r>
    </w:p>
    <w:p>
      <w:pPr>
        <w:keepNext/>
        <w:keepLines/>
        <w:spacing w:line="360" w:lineRule="auto"/>
        <w:ind w:firstLine="420" w:firstLineChars="200"/>
        <w:rPr>
          <w:rFonts w:ascii="宋体" w:hAnsi="宋体" w:cs="宋体"/>
          <w:szCs w:val="21"/>
        </w:rPr>
      </w:pPr>
      <w:r>
        <w:rPr>
          <w:rFonts w:hint="eastAsia" w:ascii="宋体" w:hAnsi="宋体" w:cs="宋体"/>
          <w:kern w:val="22"/>
          <w:szCs w:val="21"/>
        </w:rPr>
        <w:t>5、</w:t>
      </w:r>
      <w:r>
        <w:rPr>
          <w:rFonts w:hint="eastAsia" w:ascii="宋体" w:hAnsi="宋体" w:cs="宋体"/>
          <w:szCs w:val="21"/>
        </w:rPr>
        <w:t>承包方负责自行协调各种关系，不得产生任何矛盾。</w:t>
      </w:r>
    </w:p>
    <w:p>
      <w:pPr>
        <w:keepNext/>
        <w:keepLines/>
        <w:spacing w:line="360" w:lineRule="auto"/>
        <w:ind w:firstLine="420" w:firstLineChars="200"/>
        <w:rPr>
          <w:rFonts w:ascii="宋体" w:hAnsi="宋体" w:cs="宋体"/>
          <w:szCs w:val="21"/>
        </w:rPr>
      </w:pPr>
      <w:r>
        <w:rPr>
          <w:rFonts w:hint="eastAsia" w:ascii="宋体" w:hAnsi="宋体" w:cs="宋体"/>
          <w:szCs w:val="21"/>
        </w:rPr>
        <w:t>6、承包方要在合同签订后3日内制定完成本项目施工方案和施工组织设计，施工方案内须包含详细的施工图,8日内完成施工方案和施工组织设计全部报审工作。</w:t>
      </w:r>
    </w:p>
    <w:p>
      <w:pPr>
        <w:keepNext/>
        <w:keepLines/>
        <w:spacing w:line="360" w:lineRule="auto"/>
        <w:ind w:firstLine="420" w:firstLineChars="200"/>
        <w:rPr>
          <w:rFonts w:ascii="宋体" w:hAnsi="宋体" w:cs="宋体"/>
          <w:szCs w:val="21"/>
        </w:rPr>
      </w:pPr>
      <w:r>
        <w:rPr>
          <w:rFonts w:hint="eastAsia" w:ascii="宋体" w:hAnsi="宋体" w:cs="宋体"/>
          <w:szCs w:val="21"/>
        </w:rPr>
        <w:t>7、承包方不履行上述各项义务，造成工期延误和工程损失，应对发包方的损失给予赔偿。</w:t>
      </w:r>
    </w:p>
    <w:bookmarkEnd w:id="2"/>
    <w:p>
      <w:pPr>
        <w:keepNext/>
        <w:keepLines/>
        <w:spacing w:line="360" w:lineRule="auto"/>
        <w:rPr>
          <w:rFonts w:ascii="宋体" w:hAnsi="宋体" w:cs="宋体"/>
          <w:b/>
          <w:bCs/>
          <w:szCs w:val="21"/>
        </w:rPr>
      </w:pPr>
      <w:bookmarkStart w:id="3" w:name="_Toc445821153"/>
      <w:r>
        <w:rPr>
          <w:rFonts w:hint="eastAsia" w:ascii="宋体" w:hAnsi="宋体" w:cs="宋体"/>
          <w:b/>
          <w:bCs/>
          <w:szCs w:val="21"/>
        </w:rPr>
        <w:t>五、施工要求：</w:t>
      </w:r>
    </w:p>
    <w:p>
      <w:pPr>
        <w:pStyle w:val="29"/>
        <w:keepNext/>
        <w:keepLines/>
        <w:spacing w:line="360" w:lineRule="auto"/>
        <w:rPr>
          <w:rFonts w:ascii="宋体" w:hAnsi="宋体" w:cs="宋体"/>
          <w:bCs/>
          <w:color w:val="000000"/>
          <w:sz w:val="21"/>
          <w:szCs w:val="21"/>
        </w:rPr>
      </w:pPr>
      <w:r>
        <w:rPr>
          <w:rFonts w:hint="eastAsia" w:ascii="宋体" w:hAnsi="宋体" w:cs="宋体"/>
          <w:bCs/>
          <w:color w:val="000000"/>
          <w:sz w:val="21"/>
          <w:szCs w:val="21"/>
        </w:rPr>
        <w:t>1.施工注意事项：</w:t>
      </w:r>
    </w:p>
    <w:p>
      <w:pPr>
        <w:pStyle w:val="29"/>
        <w:keepNext/>
        <w:keepLines/>
        <w:spacing w:line="360" w:lineRule="auto"/>
        <w:rPr>
          <w:rFonts w:ascii="宋体" w:hAnsi="宋体" w:cs="宋体"/>
          <w:color w:val="000000"/>
          <w:sz w:val="21"/>
          <w:szCs w:val="21"/>
        </w:rPr>
      </w:pPr>
      <w:r>
        <w:rPr>
          <w:rFonts w:hint="eastAsia" w:ascii="宋体" w:hAnsi="宋体" w:cs="宋体"/>
          <w:color w:val="000000"/>
          <w:sz w:val="21"/>
          <w:szCs w:val="21"/>
        </w:rPr>
        <w:t>（1）在施工期间，成交供应商必须注意院内人员安全，加强安全措施，并对施工人员进行安全教育。特种施工人员必须持证上岗。因采购人工作的特殊性，要求成交供应商在施工中做到封闭性施工。发包人应遵守安全防护和文明施工的规定，督促承包人落实安全防护、文明施工措施。</w:t>
      </w:r>
    </w:p>
    <w:p>
      <w:pPr>
        <w:pStyle w:val="29"/>
        <w:keepNext/>
        <w:keepLines/>
        <w:spacing w:line="360" w:lineRule="auto"/>
        <w:rPr>
          <w:rFonts w:ascii="宋体" w:hAnsi="宋体" w:cs="宋体"/>
          <w:color w:val="000000"/>
          <w:sz w:val="21"/>
          <w:szCs w:val="21"/>
        </w:rPr>
      </w:pPr>
      <w:r>
        <w:rPr>
          <w:rFonts w:hint="eastAsia" w:ascii="宋体" w:hAnsi="宋体" w:cs="宋体"/>
          <w:color w:val="000000"/>
          <w:sz w:val="21"/>
          <w:szCs w:val="21"/>
        </w:rPr>
        <w:t>（2）装修设计要充分考虑建筑结构体系和承载能力，不得影响结构安全。</w:t>
      </w:r>
    </w:p>
    <w:p>
      <w:pPr>
        <w:pStyle w:val="29"/>
        <w:keepNext/>
        <w:keepLines/>
        <w:spacing w:line="360" w:lineRule="auto"/>
        <w:rPr>
          <w:rFonts w:ascii="宋体" w:hAnsi="宋体" w:cs="宋体"/>
          <w:color w:val="000000"/>
          <w:sz w:val="21"/>
          <w:szCs w:val="21"/>
        </w:rPr>
      </w:pPr>
      <w:r>
        <w:rPr>
          <w:rFonts w:hint="eastAsia" w:ascii="宋体" w:hAnsi="宋体" w:cs="宋体"/>
          <w:color w:val="000000"/>
          <w:sz w:val="21"/>
          <w:szCs w:val="21"/>
        </w:rPr>
        <w:t>（3）室内装修设计要严格执行防火规范，不得以造型需要为由大面积使用木材，推广不燃材料在装饰工程的应用。</w:t>
      </w:r>
    </w:p>
    <w:p>
      <w:pPr>
        <w:pStyle w:val="29"/>
        <w:keepNext/>
        <w:keepLines/>
        <w:spacing w:line="360" w:lineRule="auto"/>
        <w:rPr>
          <w:rFonts w:ascii="宋体" w:hAnsi="宋体" w:cs="宋体"/>
          <w:color w:val="000000"/>
          <w:sz w:val="21"/>
          <w:szCs w:val="21"/>
        </w:rPr>
      </w:pPr>
      <w:r>
        <w:rPr>
          <w:rFonts w:hint="eastAsia" w:ascii="宋体" w:hAnsi="宋体" w:cs="宋体"/>
          <w:color w:val="000000"/>
          <w:sz w:val="21"/>
          <w:szCs w:val="21"/>
        </w:rPr>
        <w:t>（4）凡涉及建筑主体或承重结构变动或在主体结构上吊挂检修马道、过渡钢结构等问题，须经原设计单位或具有和原设计单位相同资质的设计单位认可后方可施工。</w:t>
      </w:r>
    </w:p>
    <w:p>
      <w:pPr>
        <w:pStyle w:val="29"/>
        <w:keepNext/>
        <w:keepLines/>
        <w:spacing w:line="360" w:lineRule="auto"/>
        <w:rPr>
          <w:rFonts w:ascii="宋体" w:hAnsi="宋体" w:cs="宋体"/>
          <w:color w:val="000000"/>
          <w:sz w:val="21"/>
          <w:szCs w:val="21"/>
        </w:rPr>
      </w:pPr>
      <w:r>
        <w:rPr>
          <w:rFonts w:hint="eastAsia" w:ascii="宋体" w:hAnsi="宋体" w:cs="宋体"/>
          <w:color w:val="000000"/>
          <w:sz w:val="21"/>
          <w:szCs w:val="21"/>
        </w:rPr>
        <w:t>（5）室内装修材料需编制“装修材料选用表”，交代装修材料名称、规格、使用地点、燃烧性能等、为预算报价、工程备料、消防审批提供方便。</w:t>
      </w:r>
    </w:p>
    <w:p>
      <w:pPr>
        <w:pStyle w:val="29"/>
        <w:keepNext/>
        <w:keepLines/>
        <w:spacing w:line="360" w:lineRule="auto"/>
        <w:rPr>
          <w:rFonts w:ascii="宋体" w:hAnsi="宋体" w:cs="宋体"/>
          <w:bCs/>
          <w:color w:val="000000"/>
          <w:sz w:val="21"/>
          <w:szCs w:val="21"/>
        </w:rPr>
      </w:pPr>
      <w:r>
        <w:rPr>
          <w:rFonts w:hint="eastAsia" w:ascii="宋体" w:hAnsi="宋体" w:cs="宋体"/>
          <w:bCs/>
          <w:color w:val="000000"/>
          <w:sz w:val="21"/>
          <w:szCs w:val="21"/>
        </w:rPr>
        <w:t>2.施工技术要求：</w:t>
      </w:r>
    </w:p>
    <w:p>
      <w:pPr>
        <w:keepNext/>
        <w:keepLines/>
        <w:spacing w:line="360" w:lineRule="auto"/>
        <w:ind w:firstLine="420" w:firstLineChars="200"/>
        <w:jc w:val="left"/>
        <w:rPr>
          <w:rFonts w:ascii="宋体" w:hAnsi="宋体" w:cs="宋体"/>
          <w:szCs w:val="21"/>
        </w:rPr>
      </w:pPr>
      <w:r>
        <w:rPr>
          <w:rFonts w:hint="eastAsia" w:ascii="宋体" w:hAnsi="宋体" w:cs="宋体"/>
          <w:szCs w:val="21"/>
        </w:rPr>
        <w:t>（1）施工前应对施工现场进行核查。</w:t>
      </w:r>
    </w:p>
    <w:p>
      <w:pPr>
        <w:keepNext/>
        <w:keepLines/>
        <w:spacing w:line="360" w:lineRule="auto"/>
        <w:ind w:firstLine="420" w:firstLineChars="200"/>
        <w:jc w:val="left"/>
        <w:rPr>
          <w:rFonts w:ascii="宋体" w:hAnsi="宋体" w:cs="宋体"/>
          <w:szCs w:val="21"/>
        </w:rPr>
      </w:pPr>
      <w:r>
        <w:rPr>
          <w:rFonts w:hint="eastAsia" w:ascii="宋体" w:hAnsi="宋体" w:cs="宋体"/>
          <w:szCs w:val="21"/>
        </w:rPr>
        <w:t>（2）建筑物轴线、标高线和内外装修出位线以及各层楼面地面面层以上50cm水平线准确无误。</w:t>
      </w:r>
    </w:p>
    <w:p>
      <w:pPr>
        <w:keepNext/>
        <w:keepLines/>
        <w:spacing w:line="360" w:lineRule="auto"/>
        <w:ind w:firstLine="420" w:firstLineChars="200"/>
        <w:jc w:val="left"/>
        <w:outlineLvl w:val="0"/>
        <w:rPr>
          <w:rFonts w:ascii="宋体" w:hAnsi="宋体" w:cs="宋体"/>
          <w:szCs w:val="21"/>
        </w:rPr>
      </w:pPr>
      <w:bookmarkStart w:id="4" w:name="_Toc28184"/>
      <w:bookmarkStart w:id="5" w:name="_Toc24369"/>
      <w:bookmarkStart w:id="6" w:name="_Toc16665"/>
      <w:r>
        <w:rPr>
          <w:rFonts w:hint="eastAsia" w:ascii="宋体" w:hAnsi="宋体" w:cs="宋体"/>
          <w:szCs w:val="21"/>
        </w:rPr>
        <w:t>（3）墙体位置与设计图纸是否相符；</w:t>
      </w:r>
      <w:bookmarkEnd w:id="4"/>
      <w:bookmarkEnd w:id="5"/>
      <w:bookmarkEnd w:id="6"/>
    </w:p>
    <w:p>
      <w:pPr>
        <w:keepNext/>
        <w:keepLines/>
        <w:spacing w:line="360" w:lineRule="auto"/>
        <w:ind w:firstLine="420" w:firstLineChars="200"/>
        <w:jc w:val="left"/>
        <w:rPr>
          <w:rFonts w:ascii="宋体" w:hAnsi="宋体" w:cs="宋体"/>
          <w:szCs w:val="21"/>
        </w:rPr>
      </w:pPr>
      <w:r>
        <w:rPr>
          <w:rFonts w:hint="eastAsia" w:ascii="宋体" w:hAnsi="宋体" w:cs="宋体"/>
          <w:szCs w:val="21"/>
        </w:rPr>
        <w:t>（4）吊顶标高与已经施工完成的水管，风管等隐蔽工程及建筑净空高度是否有矛盾。</w:t>
      </w:r>
    </w:p>
    <w:p>
      <w:pPr>
        <w:keepNext/>
        <w:keepLines/>
        <w:spacing w:line="360" w:lineRule="auto"/>
        <w:ind w:firstLine="420" w:firstLineChars="200"/>
        <w:jc w:val="left"/>
        <w:rPr>
          <w:rFonts w:ascii="宋体" w:hAnsi="宋体" w:cs="宋体"/>
          <w:szCs w:val="21"/>
        </w:rPr>
      </w:pPr>
      <w:r>
        <w:rPr>
          <w:rFonts w:hint="eastAsia" w:ascii="宋体" w:hAnsi="宋体" w:cs="宋体"/>
          <w:szCs w:val="21"/>
        </w:rPr>
        <w:t>（5）各种饰面工程宜先做样板件，样板件经业主、设计单位和监理公司验收认可后，方可大面积施工。</w:t>
      </w:r>
    </w:p>
    <w:p>
      <w:pPr>
        <w:pStyle w:val="29"/>
        <w:keepNext/>
        <w:keepLines/>
        <w:spacing w:line="360" w:lineRule="auto"/>
        <w:rPr>
          <w:rFonts w:ascii="宋体" w:hAnsi="宋体" w:cs="宋体"/>
          <w:bCs/>
          <w:color w:val="000000"/>
          <w:sz w:val="21"/>
          <w:szCs w:val="21"/>
        </w:rPr>
      </w:pPr>
      <w:r>
        <w:rPr>
          <w:rFonts w:hint="eastAsia" w:ascii="宋体" w:hAnsi="宋体" w:cs="宋体"/>
          <w:bCs/>
          <w:color w:val="000000"/>
          <w:sz w:val="21"/>
          <w:szCs w:val="21"/>
        </w:rPr>
        <w:t>3.成品保护：</w:t>
      </w:r>
    </w:p>
    <w:p>
      <w:pPr>
        <w:keepNext/>
        <w:keepLines/>
        <w:spacing w:line="360" w:lineRule="auto"/>
        <w:ind w:firstLine="420" w:firstLineChars="200"/>
        <w:rPr>
          <w:rFonts w:ascii="宋体" w:hAnsi="宋体" w:cs="宋体"/>
          <w:szCs w:val="21"/>
        </w:rPr>
      </w:pPr>
      <w:r>
        <w:rPr>
          <w:rFonts w:hint="eastAsia" w:ascii="宋体" w:hAnsi="宋体" w:cs="宋体"/>
          <w:szCs w:val="21"/>
        </w:rPr>
        <w:t>（1）各工种在施工中不得污染、损坏其它工种的半成品和成品。</w:t>
      </w:r>
    </w:p>
    <w:p>
      <w:pPr>
        <w:keepNext/>
        <w:keepLines/>
        <w:spacing w:line="360" w:lineRule="auto"/>
        <w:ind w:firstLine="420" w:firstLineChars="200"/>
        <w:rPr>
          <w:rFonts w:ascii="宋体" w:hAnsi="宋体" w:cs="宋体"/>
          <w:szCs w:val="21"/>
        </w:rPr>
      </w:pPr>
      <w:r>
        <w:rPr>
          <w:rFonts w:hint="eastAsia" w:ascii="宋体" w:hAnsi="宋体" w:cs="宋体"/>
          <w:szCs w:val="21"/>
        </w:rPr>
        <w:t>（2）材料表面保护膜应在工程竣工时拆除。</w:t>
      </w:r>
    </w:p>
    <w:p>
      <w:pPr>
        <w:keepNext/>
        <w:keepLines/>
        <w:spacing w:line="360" w:lineRule="auto"/>
        <w:ind w:firstLine="420" w:firstLineChars="200"/>
        <w:rPr>
          <w:rFonts w:ascii="宋体" w:hAnsi="宋体" w:cs="宋体"/>
          <w:szCs w:val="21"/>
        </w:rPr>
      </w:pPr>
      <w:r>
        <w:rPr>
          <w:rFonts w:hint="eastAsia" w:ascii="宋体" w:hAnsi="宋体" w:cs="宋体"/>
          <w:szCs w:val="21"/>
        </w:rPr>
        <w:t>（3）乙方在竣工交付前对成品负有完全的保护责任，应按如下要求做好成品保护工作；</w:t>
      </w:r>
    </w:p>
    <w:p>
      <w:pPr>
        <w:keepNext/>
        <w:keepLines/>
        <w:spacing w:line="360" w:lineRule="auto"/>
        <w:ind w:firstLine="420" w:firstLineChars="200"/>
        <w:rPr>
          <w:rFonts w:ascii="宋体" w:hAnsi="宋体" w:cs="宋体"/>
          <w:szCs w:val="21"/>
        </w:rPr>
      </w:pPr>
      <w:r>
        <w:rPr>
          <w:rFonts w:hint="eastAsia" w:ascii="宋体" w:hAnsi="宋体" w:cs="宋体"/>
          <w:szCs w:val="21"/>
        </w:rPr>
        <w:t>（4）乙方应合理安排施工工序，避免倒工序施工，影响成品保护、破坏成品。成品与半成品必须有专门的场所放置，并派专人管理。</w:t>
      </w:r>
    </w:p>
    <w:p>
      <w:pPr>
        <w:keepNext/>
        <w:keepLines/>
        <w:spacing w:line="360" w:lineRule="auto"/>
        <w:ind w:firstLine="420" w:firstLineChars="200"/>
        <w:rPr>
          <w:rFonts w:ascii="宋体" w:hAnsi="宋体" w:cs="宋体"/>
          <w:szCs w:val="21"/>
        </w:rPr>
      </w:pPr>
      <w:r>
        <w:rPr>
          <w:rFonts w:hint="eastAsia" w:ascii="宋体" w:hAnsi="宋体" w:cs="宋体"/>
          <w:szCs w:val="21"/>
        </w:rPr>
        <w:t>（5）乙方必须提供产品安装后详细的保护措施和方案，并派专人负责，常住现场配合甲方进行监督和保护，直至本项工程验收通过为止。</w:t>
      </w:r>
    </w:p>
    <w:p>
      <w:pPr>
        <w:pStyle w:val="29"/>
        <w:keepNext/>
        <w:keepLines/>
        <w:spacing w:line="360" w:lineRule="auto"/>
        <w:rPr>
          <w:rFonts w:ascii="宋体" w:hAnsi="宋体" w:cs="宋体"/>
          <w:bCs/>
          <w:color w:val="000000"/>
          <w:sz w:val="21"/>
          <w:szCs w:val="21"/>
        </w:rPr>
      </w:pPr>
      <w:r>
        <w:rPr>
          <w:rFonts w:hint="eastAsia" w:ascii="宋体" w:hAnsi="宋体" w:cs="宋体"/>
          <w:bCs/>
          <w:color w:val="000000"/>
          <w:sz w:val="21"/>
          <w:szCs w:val="21"/>
        </w:rPr>
        <w:t xml:space="preserve"> 4.材料技术要求：</w:t>
      </w:r>
    </w:p>
    <w:p>
      <w:pPr>
        <w:pStyle w:val="29"/>
        <w:keepNext/>
        <w:keepLines/>
        <w:spacing w:line="360" w:lineRule="auto"/>
        <w:ind w:left="-420" w:firstLine="840" w:firstLineChars="400"/>
        <w:rPr>
          <w:rFonts w:ascii="宋体" w:hAnsi="宋体" w:cs="宋体"/>
          <w:bCs/>
          <w:sz w:val="21"/>
          <w:szCs w:val="21"/>
        </w:rPr>
      </w:pPr>
      <w:r>
        <w:rPr>
          <w:rFonts w:hint="eastAsia" w:ascii="宋体" w:hAnsi="宋体" w:cs="宋体"/>
          <w:bCs/>
          <w:sz w:val="21"/>
          <w:szCs w:val="21"/>
        </w:rPr>
        <w:t>（1）装饰装修材料</w:t>
      </w:r>
    </w:p>
    <w:p>
      <w:pPr>
        <w:keepNext/>
        <w:keepLines/>
        <w:spacing w:line="360" w:lineRule="auto"/>
        <w:ind w:firstLine="420" w:firstLineChars="200"/>
        <w:rPr>
          <w:rFonts w:ascii="宋体" w:hAnsi="宋体" w:cs="宋体"/>
          <w:szCs w:val="21"/>
        </w:rPr>
      </w:pPr>
      <w:r>
        <w:rPr>
          <w:rFonts w:hint="eastAsia" w:ascii="宋体" w:hAnsi="宋体" w:cs="宋体"/>
          <w:szCs w:val="21"/>
        </w:rPr>
        <w:t>1、装饰装修工程所用材料的品种、规格、性能应符合设计要求及国家有关标准的规定</w:t>
      </w:r>
    </w:p>
    <w:p>
      <w:pPr>
        <w:keepNext/>
        <w:keepLines/>
        <w:spacing w:line="360" w:lineRule="auto"/>
        <w:ind w:firstLine="420" w:firstLineChars="200"/>
        <w:rPr>
          <w:rFonts w:ascii="宋体" w:hAnsi="宋体" w:cs="宋体"/>
          <w:szCs w:val="21"/>
        </w:rPr>
      </w:pPr>
      <w:r>
        <w:rPr>
          <w:rFonts w:hint="eastAsia" w:ascii="宋体" w:hAnsi="宋体" w:cs="宋体"/>
          <w:szCs w:val="21"/>
        </w:rPr>
        <w:t>2、室内装饰装修材料的选用应符合室内装饰装修材料有害物质限量10项强制性国家标准：</w:t>
      </w:r>
    </w:p>
    <w:p>
      <w:pPr>
        <w:keepNext/>
        <w:keepLines/>
        <w:spacing w:line="360" w:lineRule="auto"/>
        <w:ind w:firstLine="420" w:firstLineChars="200"/>
        <w:rPr>
          <w:rFonts w:ascii="宋体" w:hAnsi="宋体" w:cs="宋体"/>
          <w:szCs w:val="21"/>
        </w:rPr>
      </w:pPr>
      <w:r>
        <w:rPr>
          <w:rFonts w:hint="eastAsia" w:ascii="宋体" w:hAnsi="宋体" w:cs="宋体"/>
          <w:szCs w:val="21"/>
        </w:rPr>
        <w:t>1）《室内装饰装修材料人造板及其制品中甲醛释放限量》（GB18580-2001）</w:t>
      </w:r>
    </w:p>
    <w:p>
      <w:pPr>
        <w:keepNext/>
        <w:keepLines/>
        <w:spacing w:line="360" w:lineRule="auto"/>
        <w:ind w:firstLine="420" w:firstLineChars="200"/>
        <w:rPr>
          <w:rFonts w:ascii="宋体" w:hAnsi="宋体" w:cs="宋体"/>
          <w:szCs w:val="21"/>
        </w:rPr>
      </w:pPr>
      <w:r>
        <w:rPr>
          <w:rFonts w:hint="eastAsia" w:ascii="宋体" w:hAnsi="宋体" w:cs="宋体"/>
          <w:szCs w:val="21"/>
        </w:rPr>
        <w:t>2)《室内装饰装修材料溶剂型木器涂料中有害物质限量》（GB18581-2009）</w:t>
      </w:r>
    </w:p>
    <w:p>
      <w:pPr>
        <w:keepNext/>
        <w:keepLines/>
        <w:spacing w:line="360" w:lineRule="auto"/>
        <w:ind w:firstLine="420" w:firstLineChars="200"/>
        <w:outlineLvl w:val="0"/>
        <w:rPr>
          <w:rFonts w:ascii="宋体" w:hAnsi="宋体" w:cs="宋体"/>
          <w:szCs w:val="21"/>
        </w:rPr>
      </w:pPr>
      <w:bookmarkStart w:id="7" w:name="_Toc8149"/>
      <w:bookmarkStart w:id="8" w:name="_Toc9125"/>
      <w:bookmarkStart w:id="9" w:name="_Toc1299"/>
      <w:r>
        <w:rPr>
          <w:rFonts w:hint="eastAsia" w:ascii="宋体" w:hAnsi="宋体" w:cs="宋体"/>
          <w:szCs w:val="21"/>
        </w:rPr>
        <w:t>3)《室内装饰装修材料内墙涂料中有害物质限量》（GB18582-2008）</w:t>
      </w:r>
      <w:bookmarkEnd w:id="7"/>
      <w:bookmarkEnd w:id="8"/>
      <w:bookmarkEnd w:id="9"/>
    </w:p>
    <w:p>
      <w:pPr>
        <w:keepNext/>
        <w:keepLines/>
        <w:spacing w:line="360" w:lineRule="auto"/>
        <w:ind w:firstLine="420" w:firstLineChars="200"/>
        <w:rPr>
          <w:rFonts w:ascii="宋体" w:hAnsi="宋体" w:cs="宋体"/>
          <w:szCs w:val="21"/>
        </w:rPr>
      </w:pPr>
      <w:r>
        <w:rPr>
          <w:rFonts w:hint="eastAsia" w:ascii="宋体" w:hAnsi="宋体" w:cs="宋体"/>
          <w:szCs w:val="21"/>
        </w:rPr>
        <w:t>4）《室内装饰装修材料胶粘剂中有害物质限量》（GB18583-2008）</w:t>
      </w:r>
    </w:p>
    <w:p>
      <w:pPr>
        <w:keepNext/>
        <w:keepLines/>
        <w:spacing w:line="360" w:lineRule="auto"/>
        <w:ind w:firstLine="420" w:firstLineChars="200"/>
        <w:outlineLvl w:val="0"/>
        <w:rPr>
          <w:rFonts w:ascii="宋体" w:hAnsi="宋体" w:cs="宋体"/>
          <w:szCs w:val="21"/>
        </w:rPr>
      </w:pPr>
      <w:bookmarkStart w:id="10" w:name="_Toc30126"/>
      <w:bookmarkStart w:id="11" w:name="_Toc27582"/>
      <w:bookmarkStart w:id="12" w:name="_Toc8893"/>
      <w:r>
        <w:rPr>
          <w:rFonts w:hint="eastAsia" w:ascii="宋体" w:hAnsi="宋体" w:cs="宋体"/>
          <w:szCs w:val="21"/>
        </w:rPr>
        <w:t>5）《室内装饰装修材料木家具中有害物质限量》（GB18584-2001）</w:t>
      </w:r>
      <w:bookmarkEnd w:id="10"/>
      <w:bookmarkEnd w:id="11"/>
      <w:bookmarkEnd w:id="12"/>
    </w:p>
    <w:p>
      <w:pPr>
        <w:keepNext/>
        <w:keepLines/>
        <w:spacing w:line="360" w:lineRule="auto"/>
        <w:ind w:firstLine="420" w:firstLineChars="200"/>
        <w:rPr>
          <w:rFonts w:ascii="宋体" w:hAnsi="宋体" w:cs="宋体"/>
          <w:szCs w:val="21"/>
        </w:rPr>
      </w:pPr>
      <w:r>
        <w:rPr>
          <w:rFonts w:hint="eastAsia" w:ascii="宋体" w:hAnsi="宋体" w:cs="宋体"/>
          <w:szCs w:val="21"/>
        </w:rPr>
        <w:t>6）《室内装饰装修材料壁纸中有害物质限量》（GB18585-2001）</w:t>
      </w:r>
    </w:p>
    <w:p>
      <w:pPr>
        <w:keepNext/>
        <w:keepLines/>
        <w:spacing w:line="360" w:lineRule="auto"/>
        <w:ind w:firstLine="420" w:firstLineChars="200"/>
        <w:rPr>
          <w:rFonts w:ascii="宋体" w:hAnsi="宋体" w:cs="宋体"/>
          <w:szCs w:val="21"/>
        </w:rPr>
      </w:pPr>
      <w:r>
        <w:rPr>
          <w:rFonts w:hint="eastAsia" w:ascii="宋体" w:hAnsi="宋体" w:cs="宋体"/>
          <w:szCs w:val="21"/>
        </w:rPr>
        <w:t>7）《室内装饰装修材料聚氯乙烯卷材地板中有害物质限量》（GB18586-2001）</w:t>
      </w:r>
    </w:p>
    <w:p>
      <w:pPr>
        <w:keepNext/>
        <w:keepLines/>
        <w:spacing w:line="360" w:lineRule="auto"/>
        <w:ind w:firstLine="420" w:firstLineChars="200"/>
        <w:rPr>
          <w:rFonts w:ascii="宋体" w:hAnsi="宋体" w:cs="宋体"/>
          <w:szCs w:val="21"/>
        </w:rPr>
      </w:pPr>
      <w:r>
        <w:rPr>
          <w:rFonts w:hint="eastAsia" w:ascii="宋体" w:hAnsi="宋体" w:cs="宋体"/>
          <w:szCs w:val="21"/>
        </w:rPr>
        <w:t>8）《室内装饰装修材料材料地毯、地毯衬垫及地毯胶粘剂有害物质限量》（GB18587-2001）</w:t>
      </w:r>
    </w:p>
    <w:p>
      <w:pPr>
        <w:keepNext/>
        <w:keepLines/>
        <w:spacing w:line="360" w:lineRule="auto"/>
        <w:ind w:firstLine="420" w:firstLineChars="200"/>
        <w:rPr>
          <w:rFonts w:ascii="宋体" w:hAnsi="宋体" w:cs="宋体"/>
          <w:szCs w:val="21"/>
        </w:rPr>
      </w:pPr>
      <w:r>
        <w:rPr>
          <w:rFonts w:hint="eastAsia" w:ascii="宋体" w:hAnsi="宋体" w:cs="宋体"/>
          <w:szCs w:val="21"/>
        </w:rPr>
        <w:t>9）《混凝土外加剂中释放氨的限量》（GB18588-2001）</w:t>
      </w:r>
    </w:p>
    <w:p>
      <w:pPr>
        <w:keepNext/>
        <w:keepLines/>
        <w:spacing w:line="360" w:lineRule="auto"/>
        <w:ind w:firstLine="420" w:firstLineChars="200"/>
        <w:rPr>
          <w:rFonts w:ascii="宋体" w:hAnsi="宋体" w:cs="宋体"/>
          <w:szCs w:val="21"/>
        </w:rPr>
      </w:pPr>
      <w:r>
        <w:rPr>
          <w:rFonts w:hint="eastAsia" w:ascii="宋体" w:hAnsi="宋体" w:cs="宋体"/>
          <w:szCs w:val="21"/>
        </w:rPr>
        <w:t>10)《建筑材料放射性核素限量》（GB6566-2010）</w:t>
      </w:r>
    </w:p>
    <w:p>
      <w:pPr>
        <w:pStyle w:val="29"/>
        <w:keepNext/>
        <w:keepLines/>
        <w:spacing w:line="360" w:lineRule="auto"/>
        <w:ind w:left="-420" w:firstLine="840" w:firstLineChars="400"/>
        <w:rPr>
          <w:rFonts w:ascii="宋体" w:hAnsi="宋体" w:cs="宋体"/>
          <w:szCs w:val="21"/>
        </w:rPr>
      </w:pPr>
      <w:r>
        <w:rPr>
          <w:rFonts w:hint="eastAsia" w:ascii="宋体" w:hAnsi="宋体" w:cs="宋体"/>
          <w:bCs/>
          <w:sz w:val="21"/>
          <w:szCs w:val="21"/>
        </w:rPr>
        <w:t>（2）</w:t>
      </w:r>
      <w:r>
        <w:rPr>
          <w:rFonts w:hint="eastAsia" w:ascii="宋体" w:hAnsi="宋体" w:cs="宋体"/>
          <w:sz w:val="21"/>
          <w:szCs w:val="21"/>
        </w:rPr>
        <w:t>地胶</w:t>
      </w:r>
    </w:p>
    <w:p>
      <w:pPr>
        <w:keepNext/>
        <w:keepLines/>
        <w:spacing w:line="360" w:lineRule="auto"/>
        <w:ind w:firstLine="420" w:firstLineChars="200"/>
        <w:rPr>
          <w:rFonts w:ascii="宋体" w:hAnsi="宋体" w:cs="宋体"/>
          <w:szCs w:val="21"/>
        </w:rPr>
      </w:pPr>
      <w:r>
        <w:rPr>
          <w:rFonts w:ascii="宋体" w:hAnsi="宋体" w:cs="宋体"/>
          <w:szCs w:val="21"/>
        </w:rPr>
        <w:t>1.材质：地胶应采用环保材料，不含有害物质，符合国家相关标准。</w:t>
      </w:r>
    </w:p>
    <w:p>
      <w:pPr>
        <w:keepNext/>
        <w:keepLines/>
        <w:spacing w:line="360" w:lineRule="auto"/>
        <w:ind w:firstLine="420" w:firstLineChars="200"/>
        <w:rPr>
          <w:rFonts w:ascii="宋体" w:hAnsi="宋体" w:cs="宋体"/>
          <w:szCs w:val="21"/>
        </w:rPr>
      </w:pPr>
      <w:r>
        <w:rPr>
          <w:rFonts w:ascii="宋体" w:hAnsi="宋体" w:cs="宋体"/>
          <w:szCs w:val="21"/>
        </w:rPr>
        <w:t>2.耐磨性：地胶需要具备良好的耐磨性，经过一定循环次数的摩擦试验后仍需保持其完好无损的状态。</w:t>
      </w:r>
    </w:p>
    <w:p>
      <w:pPr>
        <w:keepNext/>
        <w:keepLines/>
        <w:spacing w:line="360" w:lineRule="auto"/>
        <w:ind w:firstLine="420" w:firstLineChars="200"/>
        <w:rPr>
          <w:rFonts w:ascii="宋体" w:hAnsi="宋体" w:cs="宋体"/>
          <w:szCs w:val="21"/>
        </w:rPr>
      </w:pPr>
      <w:r>
        <w:rPr>
          <w:rFonts w:ascii="宋体" w:hAnsi="宋体" w:cs="宋体"/>
          <w:szCs w:val="21"/>
        </w:rPr>
        <w:t>3.耐候性：地胶应具有良好的耐候性，防止在高温、低温或潮湿环境下出现老化、开裂等现象。</w:t>
      </w:r>
    </w:p>
    <w:p>
      <w:pPr>
        <w:keepNext/>
        <w:keepLines/>
        <w:spacing w:line="360" w:lineRule="auto"/>
        <w:ind w:firstLine="420" w:firstLineChars="200"/>
        <w:rPr>
          <w:rFonts w:ascii="宋体" w:hAnsi="宋体" w:cs="宋体"/>
          <w:szCs w:val="21"/>
        </w:rPr>
      </w:pPr>
      <w:r>
        <w:rPr>
          <w:rFonts w:ascii="宋体" w:hAnsi="宋体" w:cs="宋体"/>
          <w:szCs w:val="21"/>
        </w:rPr>
        <w:t>4.防滑性：地胶应具有较好的防滑性，避免人员在使用时滑倒，影响行走安全。</w:t>
      </w:r>
    </w:p>
    <w:p>
      <w:pPr>
        <w:keepNext/>
        <w:keepLines/>
        <w:spacing w:line="360" w:lineRule="auto"/>
        <w:ind w:firstLine="420" w:firstLineChars="200"/>
        <w:rPr>
          <w:rFonts w:ascii="宋体" w:hAnsi="宋体" w:cs="宋体"/>
          <w:szCs w:val="21"/>
        </w:rPr>
      </w:pPr>
      <w:r>
        <w:rPr>
          <w:rFonts w:ascii="宋体" w:hAnsi="宋体" w:cs="宋体"/>
          <w:szCs w:val="21"/>
        </w:rPr>
        <w:t>5.减震性：地胶需要具备较好的减震性能，为用户提供良好的环境保护和使用体验。</w:t>
      </w:r>
    </w:p>
    <w:p>
      <w:pPr>
        <w:pStyle w:val="29"/>
        <w:keepNext/>
        <w:keepLines/>
        <w:spacing w:line="360" w:lineRule="auto"/>
        <w:rPr>
          <w:rFonts w:ascii="宋体" w:hAnsi="宋体" w:cs="宋体"/>
          <w:sz w:val="21"/>
          <w:szCs w:val="21"/>
        </w:rPr>
      </w:pPr>
      <w:r>
        <w:rPr>
          <w:rFonts w:hint="eastAsia" w:ascii="宋体" w:hAnsi="宋体" w:cs="宋体"/>
          <w:sz w:val="21"/>
          <w:szCs w:val="21"/>
        </w:rPr>
        <w:t>（3）室内粉刷</w:t>
      </w:r>
    </w:p>
    <w:p>
      <w:pPr>
        <w:keepNext/>
        <w:keepLines/>
        <w:spacing w:line="360" w:lineRule="auto"/>
        <w:ind w:firstLine="420" w:firstLineChars="200"/>
        <w:rPr>
          <w:rFonts w:ascii="宋体" w:hAnsi="宋体" w:cs="宋体"/>
          <w:szCs w:val="21"/>
        </w:rPr>
      </w:pPr>
      <w:r>
        <w:rPr>
          <w:rFonts w:hint="eastAsia" w:ascii="宋体" w:hAnsi="宋体" w:cs="宋体"/>
          <w:szCs w:val="21"/>
        </w:rPr>
        <w:t>1、标准：普通抹灰(至少两次)</w:t>
      </w:r>
    </w:p>
    <w:p>
      <w:pPr>
        <w:keepNext/>
        <w:keepLines/>
        <w:spacing w:line="360" w:lineRule="auto"/>
        <w:ind w:firstLine="420" w:firstLineChars="200"/>
        <w:rPr>
          <w:rFonts w:ascii="宋体" w:hAnsi="宋体" w:cs="宋体"/>
          <w:szCs w:val="21"/>
        </w:rPr>
      </w:pPr>
      <w:r>
        <w:rPr>
          <w:rFonts w:hint="eastAsia" w:ascii="宋体" w:hAnsi="宋体" w:cs="宋体"/>
          <w:szCs w:val="21"/>
        </w:rPr>
        <w:t>2、质量要求：合格，检验和验收标准符合附表1“室内墙面抹灰工程质量验收控制表”的有关要求。</w:t>
      </w:r>
    </w:p>
    <w:p>
      <w:pPr>
        <w:keepNext/>
        <w:keepLines/>
        <w:spacing w:line="360" w:lineRule="auto"/>
        <w:ind w:firstLine="420" w:firstLineChars="200"/>
        <w:rPr>
          <w:rFonts w:ascii="宋体" w:hAnsi="宋体" w:cs="宋体"/>
          <w:szCs w:val="21"/>
        </w:rPr>
      </w:pPr>
      <w:r>
        <w:rPr>
          <w:rFonts w:hint="eastAsia" w:ascii="宋体" w:hAnsi="宋体" w:cs="宋体"/>
          <w:szCs w:val="21"/>
        </w:rPr>
        <w:t>3、工序：挂垂线粘贴灰饼制作冲杆抹底层灰(聚合物砂浆，分层水平)粘贴耐碱纤维网抹灰终压光。</w:t>
      </w:r>
    </w:p>
    <w:p>
      <w:pPr>
        <w:keepNext/>
        <w:keepLines/>
        <w:spacing w:line="360" w:lineRule="auto"/>
        <w:ind w:firstLine="420" w:firstLineChars="200"/>
        <w:rPr>
          <w:rFonts w:ascii="宋体" w:hAnsi="宋体" w:cs="宋体"/>
          <w:szCs w:val="21"/>
        </w:rPr>
      </w:pPr>
      <w:r>
        <w:rPr>
          <w:rFonts w:hint="eastAsia" w:ascii="宋体" w:hAnsi="宋体" w:cs="宋体"/>
          <w:szCs w:val="21"/>
        </w:rPr>
        <w:t>4、抹灰层厚度控制：总厚度≤20 mm，底抹灰厚度5mm/8mm，表层厚度7mm~12 mm。</w:t>
      </w:r>
    </w:p>
    <w:p>
      <w:pPr>
        <w:keepNext/>
        <w:keepLines/>
        <w:spacing w:line="360" w:lineRule="auto"/>
        <w:ind w:firstLine="420" w:firstLineChars="200"/>
        <w:rPr>
          <w:rFonts w:ascii="宋体" w:hAnsi="宋体" w:cs="宋体"/>
          <w:szCs w:val="21"/>
        </w:rPr>
      </w:pPr>
      <w:r>
        <w:rPr>
          <w:rFonts w:hint="eastAsia" w:ascii="宋体" w:hAnsi="宋体" w:cs="宋体"/>
          <w:szCs w:val="21"/>
        </w:rPr>
        <w:t>5、质量控制的一般要求：</w:t>
      </w:r>
    </w:p>
    <w:p>
      <w:pPr>
        <w:keepNext/>
        <w:keepLines/>
        <w:spacing w:line="360" w:lineRule="auto"/>
        <w:ind w:firstLine="420" w:firstLineChars="200"/>
        <w:rPr>
          <w:rFonts w:ascii="宋体" w:hAnsi="宋体" w:cs="宋体"/>
          <w:szCs w:val="21"/>
        </w:rPr>
      </w:pPr>
      <w:r>
        <w:rPr>
          <w:rFonts w:hint="eastAsia" w:ascii="宋体" w:hAnsi="宋体" w:cs="宋体"/>
          <w:szCs w:val="21"/>
        </w:rPr>
        <w:t>(1)在抹灰之前，应清洁基壁表面上的灰尘，污垢和油污，如砖墙和混凝土，并洒上水。</w:t>
      </w:r>
    </w:p>
    <w:p>
      <w:pPr>
        <w:keepNext/>
        <w:keepLines/>
        <w:spacing w:line="360" w:lineRule="auto"/>
        <w:ind w:firstLine="420" w:firstLineChars="200"/>
        <w:rPr>
          <w:rFonts w:ascii="宋体" w:hAnsi="宋体" w:cs="宋体"/>
          <w:szCs w:val="21"/>
        </w:rPr>
      </w:pPr>
      <w:r>
        <w:rPr>
          <w:rFonts w:hint="eastAsia" w:ascii="宋体" w:hAnsi="宋体" w:cs="宋体"/>
          <w:szCs w:val="21"/>
        </w:rPr>
        <w:t>(2)抹灰前，应检查基层表面的平整度，用与底面相同的水泥砂浆粘贴灰饼并做钢筋。</w:t>
      </w:r>
    </w:p>
    <w:p>
      <w:pPr>
        <w:keepNext/>
        <w:keepLines/>
        <w:spacing w:line="360" w:lineRule="auto"/>
        <w:ind w:firstLine="420" w:firstLineChars="200"/>
        <w:rPr>
          <w:rFonts w:ascii="宋体" w:hAnsi="宋体" w:cs="宋体"/>
          <w:szCs w:val="21"/>
        </w:rPr>
      </w:pPr>
      <w:r>
        <w:rPr>
          <w:rFonts w:hint="eastAsia" w:ascii="宋体" w:hAnsi="宋体" w:cs="宋体"/>
          <w:szCs w:val="21"/>
        </w:rPr>
        <w:t>(3)抹灰砂浆应机械搅拌，各砂浆测量准确、均匀、颜色一致。</w:t>
      </w:r>
    </w:p>
    <w:p>
      <w:pPr>
        <w:keepNext/>
        <w:keepLines/>
        <w:spacing w:line="360" w:lineRule="auto"/>
        <w:ind w:firstLine="420" w:firstLineChars="200"/>
        <w:rPr>
          <w:rFonts w:ascii="宋体" w:hAnsi="宋体" w:cs="宋体"/>
          <w:szCs w:val="21"/>
        </w:rPr>
      </w:pPr>
      <w:r>
        <w:rPr>
          <w:rFonts w:hint="eastAsia" w:ascii="宋体" w:hAnsi="宋体" w:cs="宋体"/>
          <w:szCs w:val="21"/>
        </w:rPr>
        <w:t>(4)严格禁止随意调整砂浆配合比，砂浆强度必须满足设计要求。</w:t>
      </w:r>
    </w:p>
    <w:p>
      <w:pPr>
        <w:keepNext/>
        <w:keepLines/>
        <w:spacing w:line="360" w:lineRule="auto"/>
        <w:ind w:firstLine="420" w:firstLineChars="200"/>
        <w:rPr>
          <w:rFonts w:ascii="宋体" w:hAnsi="宋体" w:cs="宋体"/>
          <w:szCs w:val="21"/>
        </w:rPr>
      </w:pPr>
      <w:r>
        <w:rPr>
          <w:rFonts w:hint="eastAsia" w:ascii="宋体" w:hAnsi="宋体" w:cs="宋体"/>
          <w:szCs w:val="21"/>
        </w:rPr>
        <w:t>(5)严禁使用过期和过期的砂浆(放置时间超过3小时)。</w:t>
      </w:r>
    </w:p>
    <w:p>
      <w:pPr>
        <w:keepNext/>
        <w:keepLines/>
        <w:spacing w:line="360" w:lineRule="auto"/>
        <w:ind w:firstLine="420" w:firstLineChars="200"/>
        <w:rPr>
          <w:rFonts w:ascii="宋体" w:hAnsi="宋体" w:cs="宋体"/>
          <w:szCs w:val="21"/>
        </w:rPr>
      </w:pPr>
      <w:r>
        <w:rPr>
          <w:rFonts w:hint="eastAsia" w:ascii="宋体" w:hAnsi="宋体" w:cs="宋体"/>
          <w:szCs w:val="21"/>
        </w:rPr>
        <w:t>(6)对边混凝土柱、梁基础，应先进行“弹纹”处理。</w:t>
      </w:r>
    </w:p>
    <w:p>
      <w:pPr>
        <w:keepNext/>
        <w:keepLines/>
        <w:spacing w:line="360" w:lineRule="auto"/>
        <w:ind w:firstLine="420" w:firstLineChars="200"/>
        <w:rPr>
          <w:rFonts w:ascii="宋体" w:hAnsi="宋体" w:cs="宋体"/>
          <w:szCs w:val="21"/>
        </w:rPr>
      </w:pPr>
      <w:r>
        <w:rPr>
          <w:rFonts w:hint="eastAsia" w:ascii="宋体" w:hAnsi="宋体" w:cs="宋体"/>
          <w:szCs w:val="21"/>
        </w:rPr>
        <w:t>(7)底抹灰表面强度可达60%和70%以上，严禁一次性形成。</w:t>
      </w:r>
    </w:p>
    <w:p>
      <w:pPr>
        <w:keepNext/>
        <w:keepLines/>
        <w:spacing w:line="360" w:lineRule="auto"/>
        <w:ind w:firstLine="420" w:firstLineChars="200"/>
        <w:rPr>
          <w:rFonts w:ascii="宋体" w:hAnsi="宋体" w:cs="宋体"/>
          <w:szCs w:val="21"/>
        </w:rPr>
      </w:pPr>
      <w:r>
        <w:rPr>
          <w:rFonts w:hint="eastAsia" w:ascii="宋体" w:hAnsi="宋体" w:cs="宋体"/>
          <w:szCs w:val="21"/>
        </w:rPr>
        <w:t>(8)模压抹灰层不得开裂、涂抹、接合。在抹灰层和基座之间应牢固地粘合，不要用空桶。</w:t>
      </w:r>
    </w:p>
    <w:p>
      <w:pPr>
        <w:keepNext/>
        <w:keepLines/>
        <w:spacing w:line="360" w:lineRule="auto"/>
        <w:ind w:firstLine="420" w:firstLineChars="200"/>
        <w:rPr>
          <w:rFonts w:ascii="宋体" w:hAnsi="宋体" w:cs="宋体"/>
          <w:szCs w:val="21"/>
        </w:rPr>
      </w:pPr>
      <w:r>
        <w:rPr>
          <w:rFonts w:hint="eastAsia" w:ascii="宋体" w:hAnsi="宋体" w:cs="宋体"/>
          <w:szCs w:val="21"/>
        </w:rPr>
        <w:t>(9)在正式抹灰作业前，按要求在二级部分制作样板，并在正式施工前通过施工，施工，监理等部门通过验收试验。</w:t>
      </w:r>
    </w:p>
    <w:p>
      <w:pPr>
        <w:keepNext/>
        <w:keepLines/>
        <w:spacing w:line="360" w:lineRule="auto"/>
        <w:ind w:firstLine="420" w:firstLineChars="200"/>
        <w:rPr>
          <w:rFonts w:ascii="宋体" w:hAnsi="宋体" w:cs="宋体"/>
          <w:szCs w:val="21"/>
        </w:rPr>
      </w:pPr>
      <w:r>
        <w:rPr>
          <w:rFonts w:hint="eastAsia" w:ascii="宋体" w:hAnsi="宋体" w:cs="宋体"/>
          <w:szCs w:val="21"/>
        </w:rPr>
        <w:t>(10)抹灰面养护应根据气候条件适时进行。</w:t>
      </w:r>
    </w:p>
    <w:p>
      <w:pPr>
        <w:pStyle w:val="29"/>
        <w:keepNext/>
        <w:keepLines/>
        <w:spacing w:line="360" w:lineRule="auto"/>
        <w:rPr>
          <w:rFonts w:ascii="宋体" w:hAnsi="宋体" w:cs="宋体"/>
          <w:sz w:val="21"/>
          <w:szCs w:val="21"/>
        </w:rPr>
      </w:pPr>
      <w:r>
        <w:rPr>
          <w:rFonts w:hint="eastAsia" w:ascii="宋体" w:hAnsi="宋体" w:cs="宋体"/>
          <w:sz w:val="21"/>
          <w:szCs w:val="21"/>
        </w:rPr>
        <w:t>（4）防盗门</w:t>
      </w:r>
    </w:p>
    <w:p>
      <w:pPr>
        <w:keepNext/>
        <w:keepLines/>
        <w:spacing w:line="360" w:lineRule="auto"/>
        <w:ind w:firstLine="420" w:firstLineChars="200"/>
        <w:rPr>
          <w:rFonts w:ascii="宋体" w:hAnsi="宋体" w:cs="宋体"/>
          <w:szCs w:val="21"/>
        </w:rPr>
      </w:pPr>
      <w:r>
        <w:rPr>
          <w:rFonts w:hint="eastAsia" w:ascii="宋体" w:hAnsi="宋体" w:cs="宋体"/>
          <w:szCs w:val="21"/>
        </w:rPr>
        <w:t>1. 防护性能要求</w:t>
      </w:r>
    </w:p>
    <w:p>
      <w:pPr>
        <w:keepNext/>
        <w:keepLines/>
        <w:spacing w:line="360" w:lineRule="auto"/>
        <w:ind w:firstLine="420" w:firstLineChars="200"/>
        <w:rPr>
          <w:rFonts w:ascii="宋体" w:hAnsi="宋体" w:cs="宋体"/>
          <w:szCs w:val="21"/>
        </w:rPr>
      </w:pPr>
      <w:r>
        <w:rPr>
          <w:rFonts w:hint="eastAsia" w:ascii="宋体" w:hAnsi="宋体" w:cs="宋体"/>
          <w:szCs w:val="21"/>
        </w:rPr>
        <w:t>国标防盗门的最基本要求就是防护性能。一般要求门体抗锤打、抗撬、抗剪、抗钻、抗穿刺等多重性能，以确保门体不易被破坏。同时，还需要满足声学、热学、防火等要求。</w:t>
      </w:r>
    </w:p>
    <w:p>
      <w:pPr>
        <w:keepNext/>
        <w:keepLines/>
        <w:spacing w:line="360" w:lineRule="auto"/>
        <w:ind w:firstLine="420" w:firstLineChars="200"/>
        <w:rPr>
          <w:rFonts w:ascii="宋体" w:hAnsi="宋体" w:cs="宋体"/>
          <w:szCs w:val="21"/>
        </w:rPr>
      </w:pPr>
      <w:r>
        <w:rPr>
          <w:rFonts w:hint="eastAsia" w:ascii="宋体" w:hAnsi="宋体" w:cs="宋体"/>
          <w:szCs w:val="21"/>
        </w:rPr>
        <w:t>2. 尺寸要求</w:t>
      </w:r>
    </w:p>
    <w:p>
      <w:pPr>
        <w:keepNext/>
        <w:keepLines/>
        <w:spacing w:line="360" w:lineRule="auto"/>
        <w:ind w:firstLine="420" w:firstLineChars="200"/>
        <w:rPr>
          <w:rFonts w:ascii="宋体" w:hAnsi="宋体" w:cs="宋体"/>
          <w:szCs w:val="21"/>
        </w:rPr>
      </w:pPr>
      <w:r>
        <w:rPr>
          <w:rFonts w:hint="eastAsia" w:ascii="宋体" w:hAnsi="宋体" w:cs="宋体"/>
          <w:szCs w:val="21"/>
        </w:rPr>
        <w:t>国标防盗门需要根据使用场所和需求进行尺寸设计，一般要求门体厚度不小于70mm，门扇宽度不小于800mm。</w:t>
      </w:r>
    </w:p>
    <w:p>
      <w:pPr>
        <w:keepNext/>
        <w:keepLines/>
        <w:spacing w:line="360" w:lineRule="auto"/>
        <w:ind w:firstLine="420" w:firstLineChars="200"/>
        <w:rPr>
          <w:rFonts w:ascii="宋体" w:hAnsi="宋体" w:cs="宋体"/>
          <w:szCs w:val="21"/>
        </w:rPr>
      </w:pPr>
      <w:r>
        <w:rPr>
          <w:rFonts w:hint="eastAsia" w:ascii="宋体" w:hAnsi="宋体" w:cs="宋体"/>
          <w:szCs w:val="21"/>
        </w:rPr>
        <w:t>3. 材料要求</w:t>
      </w:r>
    </w:p>
    <w:p>
      <w:pPr>
        <w:keepNext/>
        <w:keepLines/>
        <w:spacing w:line="360" w:lineRule="auto"/>
        <w:ind w:firstLine="420" w:firstLineChars="200"/>
        <w:rPr>
          <w:rFonts w:ascii="宋体" w:hAnsi="宋体" w:cs="宋体"/>
          <w:szCs w:val="21"/>
        </w:rPr>
      </w:pPr>
      <w:r>
        <w:rPr>
          <w:rFonts w:hint="eastAsia" w:ascii="宋体" w:hAnsi="宋体" w:cs="宋体"/>
          <w:szCs w:val="21"/>
        </w:rPr>
        <w:t>国标防盗门需要使用符合国家安全标准的材料进行制造，如门芯材料、钢板、锁具等。</w:t>
      </w:r>
    </w:p>
    <w:p>
      <w:pPr>
        <w:keepNext/>
        <w:keepLines/>
        <w:spacing w:line="360" w:lineRule="auto"/>
        <w:ind w:firstLine="420" w:firstLineChars="200"/>
        <w:rPr>
          <w:rFonts w:ascii="宋体" w:hAnsi="宋体" w:cs="宋体"/>
          <w:szCs w:val="21"/>
        </w:rPr>
      </w:pPr>
      <w:r>
        <w:rPr>
          <w:rFonts w:hint="eastAsia" w:ascii="宋体" w:hAnsi="宋体" w:cs="宋体"/>
          <w:szCs w:val="21"/>
        </w:rPr>
        <w:t>（5）安全玻璃</w:t>
      </w:r>
    </w:p>
    <w:p>
      <w:pPr>
        <w:keepNext/>
        <w:keepLines/>
        <w:spacing w:line="360" w:lineRule="auto"/>
        <w:ind w:firstLine="420" w:firstLineChars="200"/>
        <w:rPr>
          <w:rFonts w:ascii="宋体" w:hAnsi="宋体" w:cs="宋体"/>
          <w:szCs w:val="21"/>
        </w:rPr>
      </w:pPr>
      <w:r>
        <w:rPr>
          <w:rFonts w:hint="eastAsia" w:ascii="宋体" w:hAnsi="宋体" w:cs="宋体"/>
          <w:szCs w:val="21"/>
        </w:rPr>
        <w:t xml:space="preserve">安全玻璃的使用应符合《建筑用安全玻璃》（GB15763.1-2009、GB15763.2-2005、GB15763.3-2009、GB15763.4-2009）。                                                                                  </w:t>
      </w:r>
    </w:p>
    <w:p>
      <w:pPr>
        <w:keepNext/>
        <w:keepLines/>
        <w:spacing w:line="360" w:lineRule="auto"/>
        <w:rPr>
          <w:rFonts w:ascii="宋体" w:hAnsi="宋体"/>
          <w:b/>
          <w:szCs w:val="21"/>
        </w:rPr>
      </w:pPr>
      <w:r>
        <w:rPr>
          <w:rFonts w:hint="eastAsia" w:ascii="宋体" w:hAnsi="宋体"/>
          <w:b/>
          <w:szCs w:val="21"/>
        </w:rPr>
        <w:t>六、质量验收标准或规范</w:t>
      </w:r>
    </w:p>
    <w:p>
      <w:pPr>
        <w:keepNext/>
        <w:keepLines/>
        <w:spacing w:line="360" w:lineRule="auto"/>
        <w:ind w:firstLine="420" w:firstLineChars="200"/>
        <w:rPr>
          <w:rFonts w:ascii="宋体" w:hAnsi="宋体" w:cs="宋体"/>
          <w:szCs w:val="21"/>
        </w:rPr>
      </w:pPr>
      <w:r>
        <w:rPr>
          <w:rFonts w:hint="eastAsia" w:ascii="宋体" w:hAnsi="宋体" w:cs="宋体"/>
          <w:szCs w:val="21"/>
        </w:rPr>
        <w:t>1、本装饰装修设计施工图、装饰施工图；</w:t>
      </w:r>
    </w:p>
    <w:p>
      <w:pPr>
        <w:keepNext/>
        <w:keepLines/>
        <w:spacing w:line="360" w:lineRule="auto"/>
        <w:ind w:firstLine="420" w:firstLineChars="200"/>
        <w:rPr>
          <w:rFonts w:ascii="宋体" w:hAnsi="宋体" w:cs="宋体"/>
          <w:szCs w:val="21"/>
        </w:rPr>
      </w:pPr>
      <w:r>
        <w:rPr>
          <w:rFonts w:hint="eastAsia" w:ascii="宋体" w:hAnsi="宋体" w:cs="宋体"/>
          <w:szCs w:val="21"/>
        </w:rPr>
        <w:t>2、与本装饰装修工程相关的建筑设计规范；</w:t>
      </w:r>
    </w:p>
    <w:p>
      <w:pPr>
        <w:keepNext/>
        <w:keepLines/>
        <w:spacing w:line="360" w:lineRule="auto"/>
        <w:ind w:firstLine="420" w:firstLineChars="200"/>
        <w:rPr>
          <w:rFonts w:ascii="宋体" w:hAnsi="宋体" w:cs="宋体"/>
          <w:szCs w:val="21"/>
        </w:rPr>
      </w:pPr>
      <w:r>
        <w:rPr>
          <w:rFonts w:hint="eastAsia" w:ascii="宋体" w:hAnsi="宋体" w:cs="宋体"/>
          <w:szCs w:val="21"/>
        </w:rPr>
        <w:t>3、主要规范、标准</w:t>
      </w:r>
    </w:p>
    <w:p>
      <w:pPr>
        <w:keepNext/>
        <w:keepLines/>
        <w:spacing w:line="360" w:lineRule="auto"/>
        <w:ind w:firstLine="420" w:firstLineChars="200"/>
        <w:rPr>
          <w:rFonts w:ascii="宋体" w:hAnsi="宋体" w:cs="宋体"/>
          <w:szCs w:val="21"/>
        </w:rPr>
      </w:pPr>
      <w:r>
        <w:rPr>
          <w:rFonts w:hint="eastAsia" w:ascii="宋体" w:hAnsi="宋体" w:cs="宋体"/>
          <w:szCs w:val="21"/>
        </w:rPr>
        <w:t>1）《政府采购促进中小企业发展管理办法》</w:t>
      </w:r>
    </w:p>
    <w:p>
      <w:pPr>
        <w:keepNext/>
        <w:keepLines/>
        <w:spacing w:line="360" w:lineRule="auto"/>
        <w:ind w:firstLine="420" w:firstLineChars="200"/>
        <w:rPr>
          <w:rFonts w:ascii="宋体" w:hAnsi="宋体" w:cs="宋体"/>
          <w:szCs w:val="21"/>
        </w:rPr>
      </w:pPr>
      <w:r>
        <w:rPr>
          <w:rFonts w:hint="eastAsia" w:ascii="宋体" w:hAnsi="宋体" w:cs="宋体"/>
          <w:szCs w:val="21"/>
        </w:rPr>
        <w:t>2）《工程测量规范》（GB50026—93）</w:t>
      </w:r>
    </w:p>
    <w:p>
      <w:pPr>
        <w:keepNext/>
        <w:keepLines/>
        <w:spacing w:line="360" w:lineRule="auto"/>
        <w:ind w:firstLine="420" w:firstLineChars="200"/>
        <w:rPr>
          <w:rFonts w:ascii="宋体" w:hAnsi="宋体" w:cs="宋体"/>
          <w:szCs w:val="21"/>
        </w:rPr>
      </w:pPr>
      <w:r>
        <w:rPr>
          <w:rFonts w:hint="eastAsia" w:ascii="宋体" w:hAnsi="宋体" w:cs="宋体"/>
          <w:szCs w:val="21"/>
        </w:rPr>
        <w:t>3）《砌体工程施工质量及验收规范》（GB50203—2002）</w:t>
      </w:r>
    </w:p>
    <w:p>
      <w:pPr>
        <w:keepNext/>
        <w:keepLines/>
        <w:spacing w:line="360" w:lineRule="auto"/>
        <w:ind w:firstLine="420" w:firstLineChars="200"/>
        <w:rPr>
          <w:rFonts w:ascii="宋体" w:hAnsi="宋体" w:cs="宋体"/>
          <w:szCs w:val="21"/>
        </w:rPr>
      </w:pPr>
      <w:r>
        <w:rPr>
          <w:rFonts w:hint="eastAsia" w:ascii="宋体" w:hAnsi="宋体" w:cs="宋体"/>
          <w:szCs w:val="21"/>
        </w:rPr>
        <w:t>4）《施工现场临时用电安全技术规范》(JGJ46-88)</w:t>
      </w:r>
    </w:p>
    <w:p>
      <w:pPr>
        <w:keepNext/>
        <w:keepLines/>
        <w:spacing w:line="360" w:lineRule="auto"/>
        <w:ind w:firstLine="420" w:firstLineChars="200"/>
        <w:rPr>
          <w:rFonts w:ascii="宋体" w:hAnsi="宋体" w:cs="宋体"/>
          <w:szCs w:val="21"/>
        </w:rPr>
      </w:pPr>
      <w:r>
        <w:rPr>
          <w:rFonts w:hint="eastAsia" w:ascii="宋体" w:hAnsi="宋体" w:cs="宋体"/>
          <w:szCs w:val="21"/>
        </w:rPr>
        <w:t>5）《建筑施工安全检查标准》(JGJ59-99)</w:t>
      </w:r>
    </w:p>
    <w:p>
      <w:pPr>
        <w:keepNext/>
        <w:keepLines/>
        <w:spacing w:line="360" w:lineRule="auto"/>
        <w:ind w:firstLine="420" w:firstLineChars="200"/>
        <w:rPr>
          <w:rFonts w:ascii="宋体" w:hAnsi="宋体" w:cs="宋体"/>
          <w:szCs w:val="21"/>
        </w:rPr>
      </w:pPr>
      <w:r>
        <w:rPr>
          <w:rFonts w:hint="eastAsia" w:ascii="宋体" w:hAnsi="宋体" w:cs="宋体"/>
          <w:szCs w:val="21"/>
        </w:rPr>
        <w:t>6)《民用建筑工程室内环境污染控制规范（GB50325-2010）(2013版)</w:t>
      </w:r>
    </w:p>
    <w:p>
      <w:pPr>
        <w:keepNext/>
        <w:keepLines/>
        <w:spacing w:line="360" w:lineRule="auto"/>
        <w:ind w:firstLine="420" w:firstLineChars="200"/>
        <w:rPr>
          <w:rFonts w:ascii="宋体" w:hAnsi="宋体" w:cs="宋体"/>
          <w:szCs w:val="21"/>
        </w:rPr>
      </w:pPr>
      <w:r>
        <w:rPr>
          <w:rFonts w:hint="eastAsia" w:ascii="宋体" w:hAnsi="宋体" w:cs="宋体"/>
          <w:szCs w:val="21"/>
        </w:rPr>
        <w:t>7)《公共建筑节能设计标准》（GB50189-2015）</w:t>
      </w:r>
    </w:p>
    <w:p>
      <w:pPr>
        <w:keepNext/>
        <w:keepLines/>
        <w:spacing w:line="360" w:lineRule="auto"/>
        <w:ind w:firstLine="420" w:firstLineChars="200"/>
        <w:rPr>
          <w:rFonts w:ascii="宋体" w:hAnsi="宋体" w:cs="宋体"/>
          <w:szCs w:val="21"/>
        </w:rPr>
      </w:pPr>
      <w:r>
        <w:rPr>
          <w:rFonts w:hint="eastAsia" w:ascii="宋体" w:hAnsi="宋体" w:cs="宋体"/>
          <w:szCs w:val="21"/>
        </w:rPr>
        <w:t>8)《建筑工程施工质量验收统一标准》（GB50300-2013）</w:t>
      </w:r>
    </w:p>
    <w:p>
      <w:pPr>
        <w:keepNext/>
        <w:keepLines/>
        <w:spacing w:line="360" w:lineRule="auto"/>
        <w:ind w:firstLine="420" w:firstLineChars="200"/>
        <w:rPr>
          <w:rFonts w:ascii="宋体" w:hAnsi="宋体" w:cs="宋体"/>
          <w:szCs w:val="21"/>
        </w:rPr>
      </w:pPr>
      <w:r>
        <w:rPr>
          <w:rFonts w:hint="eastAsia" w:ascii="宋体" w:hAnsi="宋体" w:cs="宋体"/>
          <w:szCs w:val="21"/>
        </w:rPr>
        <w:t>9)《建筑装饰装修工程质量验收规范》（GB50210-2001）</w:t>
      </w:r>
    </w:p>
    <w:p>
      <w:pPr>
        <w:keepNext/>
        <w:keepLines/>
        <w:spacing w:line="360" w:lineRule="auto"/>
        <w:ind w:firstLine="420" w:firstLineChars="200"/>
        <w:rPr>
          <w:rFonts w:ascii="宋体" w:hAnsi="宋体" w:cs="宋体"/>
          <w:szCs w:val="21"/>
        </w:rPr>
      </w:pPr>
      <w:r>
        <w:rPr>
          <w:rFonts w:hint="eastAsia" w:ascii="宋体" w:hAnsi="宋体" w:cs="宋体"/>
          <w:szCs w:val="21"/>
        </w:rPr>
        <w:t>10）《建筑电气工程质量验收规范》（GB 50303-2015）</w:t>
      </w:r>
    </w:p>
    <w:p>
      <w:pPr>
        <w:keepNext/>
        <w:keepLines/>
        <w:spacing w:line="360" w:lineRule="auto"/>
        <w:ind w:firstLine="420" w:firstLineChars="200"/>
        <w:rPr>
          <w:rFonts w:ascii="宋体" w:hAnsi="宋体" w:cs="宋体"/>
          <w:szCs w:val="21"/>
        </w:rPr>
      </w:pPr>
      <w:r>
        <w:rPr>
          <w:rFonts w:hint="eastAsia" w:ascii="宋体" w:hAnsi="宋体" w:cs="宋体"/>
          <w:szCs w:val="21"/>
        </w:rPr>
        <w:t>11)《建筑给排水工程施工质量验收规范》（GB50242-2002）</w:t>
      </w:r>
    </w:p>
    <w:p>
      <w:pPr>
        <w:keepNext/>
        <w:keepLines/>
        <w:spacing w:line="360" w:lineRule="auto"/>
        <w:ind w:firstLine="420" w:firstLineChars="200"/>
        <w:rPr>
          <w:rFonts w:ascii="宋体" w:hAnsi="宋体" w:cs="宋体"/>
          <w:szCs w:val="21"/>
        </w:rPr>
      </w:pPr>
      <w:r>
        <w:rPr>
          <w:rFonts w:hint="eastAsia" w:ascii="宋体" w:hAnsi="宋体" w:cs="宋体"/>
          <w:szCs w:val="21"/>
        </w:rPr>
        <w:t>12)《建筑地面工程施工质量验收规范》（GB50209-2010）</w:t>
      </w:r>
    </w:p>
    <w:p>
      <w:pPr>
        <w:keepNext/>
        <w:keepLines/>
        <w:spacing w:line="360" w:lineRule="auto"/>
        <w:ind w:firstLine="420" w:firstLineChars="200"/>
        <w:rPr>
          <w:rFonts w:ascii="宋体" w:hAnsi="宋体" w:cs="宋体"/>
          <w:szCs w:val="21"/>
        </w:rPr>
      </w:pPr>
      <w:r>
        <w:rPr>
          <w:rFonts w:hint="eastAsia" w:ascii="宋体" w:hAnsi="宋体" w:cs="宋体"/>
          <w:szCs w:val="21"/>
        </w:rPr>
        <w:t>13）《建筑内部装修防火施工及验收规范》（GB50354-2005）</w:t>
      </w:r>
    </w:p>
    <w:p>
      <w:pPr>
        <w:keepNext/>
        <w:keepLines/>
        <w:spacing w:line="360" w:lineRule="auto"/>
        <w:ind w:firstLine="420" w:firstLineChars="200"/>
        <w:rPr>
          <w:rFonts w:ascii="宋体" w:hAnsi="宋体" w:cs="宋体"/>
          <w:szCs w:val="21"/>
        </w:rPr>
      </w:pPr>
      <w:r>
        <w:rPr>
          <w:rFonts w:hint="eastAsia" w:ascii="宋体" w:hAnsi="宋体" w:cs="宋体"/>
          <w:szCs w:val="21"/>
        </w:rPr>
        <w:t>14)《通风与空调工程施工质量验收规范》（GB50243-2016）</w:t>
      </w:r>
    </w:p>
    <w:p>
      <w:pPr>
        <w:keepNext/>
        <w:keepLines/>
        <w:spacing w:line="360" w:lineRule="auto"/>
        <w:ind w:firstLine="420" w:firstLineChars="200"/>
        <w:rPr>
          <w:rFonts w:ascii="宋体" w:hAnsi="宋体" w:cs="宋体"/>
          <w:szCs w:val="21"/>
        </w:rPr>
      </w:pPr>
      <w:r>
        <w:rPr>
          <w:rFonts w:hint="eastAsia" w:ascii="宋体" w:hAnsi="宋体" w:cs="宋体"/>
          <w:szCs w:val="21"/>
        </w:rPr>
        <w:t>15）《综合布线系统工程验收规范》（GB50312-2016）</w:t>
      </w:r>
    </w:p>
    <w:p>
      <w:pPr>
        <w:keepNext/>
        <w:keepLines/>
        <w:spacing w:line="360" w:lineRule="auto"/>
        <w:ind w:firstLine="420" w:firstLineChars="200"/>
        <w:rPr>
          <w:rFonts w:ascii="宋体" w:hAnsi="宋体" w:cs="宋体"/>
          <w:szCs w:val="21"/>
        </w:rPr>
      </w:pPr>
      <w:r>
        <w:rPr>
          <w:rFonts w:hint="eastAsia" w:ascii="宋体" w:hAnsi="宋体" w:cs="宋体"/>
          <w:szCs w:val="21"/>
        </w:rPr>
        <w:t>16）《安全防范工程技术标准》（GB 50348-2018）</w:t>
      </w:r>
    </w:p>
    <w:p>
      <w:pPr>
        <w:keepNext/>
        <w:keepLines/>
        <w:spacing w:line="360" w:lineRule="auto"/>
        <w:ind w:firstLine="420" w:firstLineChars="200"/>
        <w:rPr>
          <w:rFonts w:ascii="宋体" w:hAnsi="宋体" w:cs="宋体"/>
          <w:szCs w:val="21"/>
        </w:rPr>
      </w:pPr>
      <w:r>
        <w:rPr>
          <w:rFonts w:hint="eastAsia" w:ascii="宋体" w:hAnsi="宋体" w:cs="宋体"/>
          <w:szCs w:val="21"/>
        </w:rPr>
        <w:t>17)《智能建筑工程质量验收规范》（GB 50339-2013）</w:t>
      </w:r>
    </w:p>
    <w:p>
      <w:pPr>
        <w:keepNext/>
        <w:keepLines/>
        <w:spacing w:line="360" w:lineRule="auto"/>
        <w:ind w:firstLine="420" w:firstLineChars="200"/>
        <w:rPr>
          <w:rFonts w:ascii="宋体" w:hAnsi="宋体" w:cs="宋体"/>
          <w:szCs w:val="21"/>
        </w:rPr>
      </w:pPr>
      <w:r>
        <w:rPr>
          <w:rFonts w:hint="eastAsia" w:ascii="宋体" w:hAnsi="宋体" w:cs="宋体"/>
          <w:szCs w:val="21"/>
        </w:rPr>
        <w:t>18)《视频安防监控系统技术要求》（GA/T367-2001）</w:t>
      </w:r>
    </w:p>
    <w:p>
      <w:pPr>
        <w:keepNext/>
        <w:keepLines/>
        <w:spacing w:line="360" w:lineRule="auto"/>
        <w:ind w:firstLine="420" w:firstLineChars="200"/>
        <w:rPr>
          <w:rFonts w:ascii="宋体" w:hAnsi="宋体" w:cs="宋体"/>
          <w:szCs w:val="21"/>
        </w:rPr>
      </w:pPr>
      <w:r>
        <w:rPr>
          <w:rFonts w:hint="eastAsia" w:ascii="宋体" w:hAnsi="宋体" w:cs="宋体"/>
          <w:szCs w:val="21"/>
        </w:rPr>
        <w:t>19)《信息安全技术网络基础安全技术要求》（GB/T20270-2006）</w:t>
      </w:r>
    </w:p>
    <w:p>
      <w:pPr>
        <w:keepNext/>
        <w:keepLines/>
        <w:spacing w:line="360" w:lineRule="auto"/>
        <w:ind w:firstLine="420" w:firstLineChars="200"/>
        <w:rPr>
          <w:rFonts w:ascii="宋体" w:hAnsi="宋体" w:cs="宋体"/>
          <w:szCs w:val="21"/>
        </w:rPr>
      </w:pPr>
      <w:r>
        <w:rPr>
          <w:rFonts w:hint="eastAsia" w:ascii="宋体" w:hAnsi="宋体" w:cs="宋体"/>
          <w:szCs w:val="21"/>
        </w:rPr>
        <w:t>20)《建筑工程文件归档整理规范》（GB/T50328—2001）</w:t>
      </w:r>
    </w:p>
    <w:p>
      <w:pPr>
        <w:keepNext/>
        <w:keepLines/>
        <w:spacing w:line="360" w:lineRule="auto"/>
        <w:rPr>
          <w:rFonts w:ascii="宋体" w:hAnsi="宋体" w:cs="宋体"/>
          <w:b/>
          <w:bCs/>
          <w:szCs w:val="21"/>
        </w:rPr>
      </w:pPr>
      <w:bookmarkStart w:id="13" w:name="_Toc445821154"/>
      <w:r>
        <w:rPr>
          <w:rFonts w:hint="eastAsia" w:ascii="宋体" w:hAnsi="宋体" w:cs="宋体"/>
          <w:b/>
          <w:bCs/>
          <w:szCs w:val="21"/>
        </w:rPr>
        <w:t>七、违约责任</w:t>
      </w:r>
      <w:bookmarkEnd w:id="13"/>
    </w:p>
    <w:bookmarkEnd w:id="3"/>
    <w:p>
      <w:pPr>
        <w:keepNext/>
        <w:keepLines/>
        <w:spacing w:line="360" w:lineRule="auto"/>
        <w:ind w:firstLine="420" w:firstLineChars="200"/>
        <w:rPr>
          <w:rFonts w:ascii="宋体" w:hAnsi="宋体" w:cs="宋体"/>
          <w:szCs w:val="21"/>
        </w:rPr>
      </w:pPr>
      <w:bookmarkStart w:id="14" w:name="_Toc445821156"/>
      <w:r>
        <w:rPr>
          <w:rFonts w:hint="eastAsia" w:ascii="宋体" w:hAnsi="宋体" w:cs="宋体"/>
          <w:szCs w:val="21"/>
        </w:rPr>
        <w:t xml:space="preserve">1、视为甲方违约： </w:t>
      </w:r>
    </w:p>
    <w:p>
      <w:pPr>
        <w:keepNext/>
        <w:keepLines/>
        <w:spacing w:line="360" w:lineRule="auto"/>
        <w:ind w:firstLine="420" w:firstLineChars="200"/>
        <w:rPr>
          <w:rFonts w:ascii="宋体" w:hAnsi="宋体" w:cs="宋体"/>
          <w:szCs w:val="21"/>
        </w:rPr>
      </w:pPr>
      <w:r>
        <w:rPr>
          <w:rFonts w:hint="eastAsia" w:ascii="宋体" w:hAnsi="宋体" w:cs="宋体"/>
          <w:szCs w:val="21"/>
        </w:rPr>
        <w:t>（1）甲方无合理理由而不配合乙方工作致使工程延误的。</w:t>
      </w:r>
    </w:p>
    <w:p>
      <w:pPr>
        <w:keepNext/>
        <w:keepLines/>
        <w:spacing w:line="360" w:lineRule="auto"/>
        <w:ind w:firstLine="420" w:firstLineChars="200"/>
        <w:rPr>
          <w:rFonts w:ascii="宋体" w:hAnsi="宋体" w:cs="宋体"/>
          <w:szCs w:val="21"/>
        </w:rPr>
      </w:pPr>
      <w:r>
        <w:rPr>
          <w:rFonts w:hint="eastAsia" w:ascii="宋体" w:hAnsi="宋体" w:cs="宋体"/>
          <w:szCs w:val="21"/>
        </w:rPr>
        <w:t xml:space="preserve">（2）甲方不履行合同义务或不按合同约定履行义务的其他情况。 </w:t>
      </w:r>
    </w:p>
    <w:p>
      <w:pPr>
        <w:keepNext/>
        <w:keepLines/>
        <w:spacing w:line="360" w:lineRule="auto"/>
        <w:ind w:firstLine="420" w:firstLineChars="200"/>
        <w:rPr>
          <w:rFonts w:ascii="宋体" w:hAnsi="宋体" w:cs="宋体"/>
          <w:szCs w:val="21"/>
        </w:rPr>
      </w:pPr>
      <w:r>
        <w:rPr>
          <w:rFonts w:hint="eastAsia" w:ascii="宋体" w:hAnsi="宋体" w:cs="宋体"/>
          <w:szCs w:val="21"/>
        </w:rPr>
        <w:t xml:space="preserve">2、当发生下列情况时，视为乙方违约： </w:t>
      </w:r>
    </w:p>
    <w:p>
      <w:pPr>
        <w:keepNext/>
        <w:keepLines/>
        <w:spacing w:line="360" w:lineRule="auto"/>
        <w:ind w:firstLine="420" w:firstLineChars="200"/>
        <w:rPr>
          <w:rFonts w:ascii="宋体" w:hAnsi="宋体" w:cs="宋体"/>
          <w:szCs w:val="21"/>
        </w:rPr>
      </w:pPr>
      <w:r>
        <w:rPr>
          <w:rFonts w:hint="eastAsia" w:ascii="宋体" w:hAnsi="宋体" w:cs="宋体"/>
          <w:szCs w:val="21"/>
        </w:rPr>
        <w:t>（1）乙方原因不能按照协议书约定的工期或甲方、监理同意顺延的工期完工或竣工的，每延误一日，乙方应向甲方支付合同总价款的0.2%作为违约金；</w:t>
      </w:r>
    </w:p>
    <w:p>
      <w:pPr>
        <w:keepNext/>
        <w:keepLines/>
        <w:spacing w:line="360" w:lineRule="auto"/>
        <w:ind w:firstLine="420" w:firstLineChars="200"/>
        <w:rPr>
          <w:rFonts w:ascii="宋体" w:hAnsi="宋体" w:cs="宋体"/>
          <w:szCs w:val="21"/>
        </w:rPr>
      </w:pPr>
      <w:r>
        <w:rPr>
          <w:rFonts w:hint="eastAsia" w:ascii="宋体" w:hAnsi="宋体" w:cs="宋体"/>
          <w:szCs w:val="21"/>
        </w:rPr>
        <w:t>（2） 因乙方原因工程质量达不到合同约定的质量标准；</w:t>
      </w:r>
    </w:p>
    <w:p>
      <w:pPr>
        <w:keepNext/>
        <w:keepLines/>
        <w:spacing w:line="360" w:lineRule="auto"/>
        <w:ind w:firstLine="420" w:firstLineChars="200"/>
        <w:rPr>
          <w:rFonts w:ascii="宋体" w:hAnsi="宋体" w:cs="宋体"/>
          <w:szCs w:val="21"/>
        </w:rPr>
      </w:pPr>
      <w:r>
        <w:rPr>
          <w:rFonts w:hint="eastAsia" w:ascii="宋体" w:hAnsi="宋体" w:cs="宋体"/>
          <w:szCs w:val="21"/>
        </w:rPr>
        <w:t>（3）乙方不履行合同义务或不按合同约定履行义务的其他情况。</w:t>
      </w:r>
    </w:p>
    <w:p>
      <w:pPr>
        <w:keepNext/>
        <w:keepLines/>
        <w:spacing w:line="360" w:lineRule="auto"/>
        <w:ind w:firstLine="420" w:firstLineChars="200"/>
        <w:rPr>
          <w:rFonts w:ascii="宋体" w:hAnsi="宋体" w:cs="宋体"/>
          <w:szCs w:val="21"/>
        </w:rPr>
      </w:pPr>
      <w:r>
        <w:rPr>
          <w:rFonts w:hint="eastAsia" w:ascii="宋体" w:hAnsi="宋体" w:cs="宋体"/>
          <w:szCs w:val="21"/>
        </w:rPr>
        <w:t xml:space="preserve">（4）一方违约后，另一方要求违约方继续履行合同时，违约方承担相应的违约责任后仍应继续履行合同。 </w:t>
      </w:r>
    </w:p>
    <w:p>
      <w:pPr>
        <w:keepNext/>
        <w:keepLines/>
        <w:spacing w:line="360" w:lineRule="auto"/>
        <w:ind w:firstLine="420" w:firstLineChars="200"/>
        <w:rPr>
          <w:rFonts w:ascii="宋体" w:hAnsi="宋体" w:cs="宋体"/>
          <w:szCs w:val="21"/>
        </w:rPr>
      </w:pPr>
      <w:r>
        <w:rPr>
          <w:rFonts w:hint="eastAsia" w:ascii="宋体" w:hAnsi="宋体" w:cs="宋体"/>
          <w:szCs w:val="21"/>
        </w:rPr>
        <w:t>（5）如果乙方履行合同义务行为达不到国家有关规定及合同约定的标准和条件，并经书面要求改正后， 3 日内仍无实质性改进的，甲方有权单方解除合同，并书面通知乙方后收回工程，由此造成的经济损失，甲方有权在支付给乙方的任何款项中扣款补偿，不足抵扣的，乙方应按甲方要求支付给甲方。</w:t>
      </w:r>
    </w:p>
    <w:p>
      <w:pPr>
        <w:keepNext/>
        <w:keepLines/>
        <w:spacing w:line="360" w:lineRule="auto"/>
        <w:ind w:firstLine="420" w:firstLineChars="200"/>
        <w:rPr>
          <w:rFonts w:ascii="宋体" w:hAnsi="宋体" w:cs="宋体"/>
          <w:szCs w:val="21"/>
        </w:rPr>
      </w:pPr>
      <w:r>
        <w:rPr>
          <w:rFonts w:hint="eastAsia" w:ascii="宋体" w:hAnsi="宋体" w:cs="宋体"/>
          <w:szCs w:val="21"/>
        </w:rPr>
        <w:t>（6）因乙方原因解除合同时，甲方将对乙方处以合同价款 3 %的违约金，乙方承担由此给甲方损失的赔偿责任，甲方有权在支付给乙方的任何款项中扣款补偿，不足抵扣的，甲方有权追偿。</w:t>
      </w:r>
    </w:p>
    <w:p>
      <w:pPr>
        <w:keepNext/>
        <w:keepLines/>
        <w:spacing w:line="360" w:lineRule="auto"/>
        <w:ind w:firstLine="420" w:firstLineChars="200"/>
        <w:rPr>
          <w:rFonts w:ascii="宋体" w:hAnsi="宋体" w:cs="宋体"/>
          <w:szCs w:val="21"/>
        </w:rPr>
      </w:pPr>
      <w:r>
        <w:rPr>
          <w:rFonts w:hint="eastAsia" w:ascii="宋体" w:hAnsi="宋体" w:cs="宋体"/>
          <w:szCs w:val="21"/>
        </w:rPr>
        <w:t>（7）因乙方原因或乙方施工内容未在约定工期内通过消防验收合格，即视为乙方违约。因此造成的返工及甲方直接和间接损失等损失，均由乙方承担。</w:t>
      </w:r>
    </w:p>
    <w:p>
      <w:pPr>
        <w:keepNext/>
        <w:keepLines/>
        <w:spacing w:line="360" w:lineRule="auto"/>
        <w:ind w:firstLine="420" w:firstLineChars="200"/>
        <w:rPr>
          <w:rFonts w:ascii="宋体" w:hAnsi="宋体" w:cs="宋体"/>
          <w:szCs w:val="21"/>
        </w:rPr>
      </w:pPr>
      <w:r>
        <w:rPr>
          <w:rFonts w:hint="eastAsia" w:ascii="宋体" w:hAnsi="宋体" w:cs="宋体"/>
          <w:szCs w:val="21"/>
        </w:rPr>
        <w:t>（8）如乙方违约或造成甲方经济损失，甲方有权在任何一笔应付款项中扣除违约金和赔偿金。</w:t>
      </w:r>
    </w:p>
    <w:p>
      <w:pPr>
        <w:keepNext/>
        <w:keepLines/>
        <w:spacing w:line="360" w:lineRule="auto"/>
        <w:rPr>
          <w:rFonts w:ascii="宋体" w:hAnsi="宋体" w:cs="宋体"/>
          <w:b/>
          <w:bCs/>
          <w:szCs w:val="21"/>
        </w:rPr>
      </w:pPr>
      <w:r>
        <w:rPr>
          <w:rFonts w:hint="eastAsia" w:ascii="宋体" w:hAnsi="宋体" w:cs="宋体"/>
          <w:b/>
          <w:bCs/>
          <w:szCs w:val="21"/>
        </w:rPr>
        <w:t>八、争议解决</w:t>
      </w:r>
      <w:bookmarkEnd w:id="14"/>
    </w:p>
    <w:p>
      <w:pPr>
        <w:keepNext/>
        <w:keepLines/>
        <w:autoSpaceDE w:val="0"/>
        <w:autoSpaceDN w:val="0"/>
        <w:spacing w:line="360" w:lineRule="auto"/>
        <w:ind w:firstLine="420" w:firstLineChars="200"/>
        <w:rPr>
          <w:rFonts w:ascii="宋体" w:hAnsi="宋体" w:cs="宋体"/>
          <w:color w:val="000000"/>
          <w:szCs w:val="21"/>
        </w:rPr>
      </w:pPr>
      <w:r>
        <w:rPr>
          <w:rFonts w:hint="eastAsia" w:ascii="宋体" w:hAnsi="宋体" w:cs="宋体"/>
          <w:color w:val="000000"/>
          <w:szCs w:val="21"/>
        </w:rPr>
        <w:t>1、在执行本合同中发生的或与本合同有关的争端，双方应通过友好协商解决，经协商在</w:t>
      </w:r>
      <w:r>
        <w:rPr>
          <w:rFonts w:hint="eastAsia" w:ascii="宋体" w:hAnsi="宋体" w:cs="宋体"/>
          <w:color w:val="000000"/>
          <w:szCs w:val="21"/>
          <w:u w:val="single"/>
        </w:rPr>
        <w:t xml:space="preserve">    </w:t>
      </w:r>
      <w:r>
        <w:rPr>
          <w:rFonts w:hint="eastAsia" w:ascii="宋体" w:hAnsi="宋体" w:cs="宋体"/>
          <w:color w:val="000000"/>
          <w:szCs w:val="21"/>
        </w:rPr>
        <w:t>天内不能达成协议时，则采取以下第</w:t>
      </w:r>
      <w:r>
        <w:rPr>
          <w:rFonts w:hint="eastAsia" w:ascii="宋体" w:hAnsi="宋体" w:cs="宋体"/>
          <w:color w:val="000000"/>
          <w:szCs w:val="21"/>
          <w:u w:val="single"/>
        </w:rPr>
        <w:t xml:space="preserve"> （1） </w:t>
      </w:r>
      <w:r>
        <w:rPr>
          <w:rFonts w:hint="eastAsia" w:ascii="宋体" w:hAnsi="宋体" w:cs="宋体"/>
          <w:color w:val="000000"/>
          <w:szCs w:val="21"/>
        </w:rPr>
        <w:t>种方式解决争议：</w:t>
      </w:r>
    </w:p>
    <w:p>
      <w:pPr>
        <w:keepNext/>
        <w:keepLines/>
        <w:autoSpaceDE w:val="0"/>
        <w:autoSpaceDN w:val="0"/>
        <w:spacing w:line="360" w:lineRule="auto"/>
        <w:ind w:firstLine="210" w:firstLineChars="100"/>
        <w:rPr>
          <w:rFonts w:ascii="宋体" w:hAnsi="宋体" w:cs="宋体"/>
          <w:color w:val="000000"/>
          <w:szCs w:val="21"/>
        </w:rPr>
      </w:pPr>
      <w:r>
        <w:rPr>
          <w:rFonts w:hint="eastAsia" w:ascii="宋体" w:hAnsi="宋体" w:cs="宋体"/>
          <w:color w:val="000000"/>
          <w:szCs w:val="21"/>
        </w:rPr>
        <w:t>（1）向</w:t>
      </w:r>
      <w:r>
        <w:rPr>
          <w:rFonts w:hint="eastAsia" w:ascii="宋体" w:hAnsi="宋体" w:cs="宋体"/>
          <w:color w:val="000000"/>
          <w:szCs w:val="21"/>
          <w:u w:val="single"/>
        </w:rPr>
        <w:t>发包方</w:t>
      </w:r>
      <w:r>
        <w:rPr>
          <w:rFonts w:hint="eastAsia" w:ascii="宋体" w:hAnsi="宋体" w:cs="宋体"/>
          <w:color w:val="000000"/>
          <w:szCs w:val="21"/>
        </w:rPr>
        <w:t>所在地有管辖权的人民法院提起诉讼；</w:t>
      </w:r>
    </w:p>
    <w:p>
      <w:pPr>
        <w:keepNext/>
        <w:keepLines/>
        <w:autoSpaceDE w:val="0"/>
        <w:autoSpaceDN w:val="0"/>
        <w:spacing w:line="360" w:lineRule="auto"/>
        <w:ind w:firstLine="210" w:firstLineChars="100"/>
        <w:rPr>
          <w:rFonts w:ascii="宋体" w:hAnsi="宋体" w:cs="宋体"/>
          <w:color w:val="000000"/>
          <w:szCs w:val="21"/>
        </w:rPr>
      </w:pPr>
      <w:r>
        <w:rPr>
          <w:rFonts w:hint="eastAsia" w:ascii="宋体" w:hAnsi="宋体" w:cs="宋体"/>
          <w:color w:val="000000"/>
          <w:szCs w:val="21"/>
        </w:rPr>
        <w:t>（2）向</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仲裁委员会按其仲裁规则申请仲裁。</w:t>
      </w:r>
    </w:p>
    <w:p>
      <w:pPr>
        <w:keepNext/>
        <w:keepLines/>
        <w:autoSpaceDE w:val="0"/>
        <w:autoSpaceDN w:val="0"/>
        <w:spacing w:line="360" w:lineRule="auto"/>
        <w:ind w:firstLine="210" w:firstLineChars="100"/>
        <w:rPr>
          <w:rFonts w:ascii="宋体" w:hAnsi="宋体" w:cs="宋体"/>
          <w:color w:val="000000"/>
          <w:szCs w:val="21"/>
        </w:rPr>
      </w:pPr>
      <w:r>
        <w:rPr>
          <w:rFonts w:hint="eastAsia" w:ascii="宋体" w:hAnsi="宋体" w:cs="宋体"/>
          <w:color w:val="000000"/>
          <w:szCs w:val="21"/>
        </w:rPr>
        <w:t>2、在仲裁期间，本合同应继续履行。</w:t>
      </w:r>
    </w:p>
    <w:p>
      <w:pPr>
        <w:keepNext/>
        <w:keepLines/>
        <w:autoSpaceDE w:val="0"/>
        <w:autoSpaceDN w:val="0"/>
        <w:spacing w:line="360" w:lineRule="auto"/>
        <w:rPr>
          <w:rFonts w:ascii="宋体" w:hAnsi="宋体" w:cs="宋体"/>
          <w:b/>
          <w:bCs/>
          <w:color w:val="000000"/>
          <w:szCs w:val="21"/>
        </w:rPr>
      </w:pPr>
      <w:r>
        <w:rPr>
          <w:rFonts w:hint="eastAsia" w:ascii="宋体" w:hAnsi="宋体" w:cs="宋体"/>
          <w:b/>
          <w:bCs/>
          <w:szCs w:val="21"/>
        </w:rPr>
        <w:t>九、</w:t>
      </w:r>
      <w:r>
        <w:rPr>
          <w:rFonts w:hint="eastAsia" w:ascii="宋体" w:hAnsi="宋体" w:cs="宋体"/>
          <w:b/>
          <w:bCs/>
          <w:color w:val="000000"/>
          <w:szCs w:val="21"/>
        </w:rPr>
        <w:t>合同生效及其他</w:t>
      </w:r>
    </w:p>
    <w:p>
      <w:pPr>
        <w:keepNext/>
        <w:keepLines/>
        <w:autoSpaceDE w:val="0"/>
        <w:autoSpaceDN w:val="0"/>
        <w:spacing w:line="360" w:lineRule="auto"/>
        <w:ind w:firstLine="420" w:firstLineChars="200"/>
        <w:rPr>
          <w:rFonts w:ascii="宋体" w:hAnsi="宋体" w:cs="宋体"/>
          <w:color w:val="000000"/>
          <w:szCs w:val="21"/>
        </w:rPr>
      </w:pPr>
      <w:r>
        <w:rPr>
          <w:rFonts w:hint="eastAsia" w:ascii="宋体" w:hAnsi="宋体" w:cs="宋体"/>
          <w:color w:val="000000"/>
          <w:szCs w:val="21"/>
        </w:rPr>
        <w:t>1、合同经双方法定代表人或委托代理人签字并加盖单位章后生效。</w:t>
      </w:r>
    </w:p>
    <w:p>
      <w:pPr>
        <w:keepNext/>
        <w:keepLines/>
        <w:autoSpaceDE w:val="0"/>
        <w:autoSpaceDN w:val="0"/>
        <w:spacing w:line="360" w:lineRule="auto"/>
        <w:ind w:firstLine="420" w:firstLineChars="200"/>
        <w:rPr>
          <w:rFonts w:ascii="宋体" w:hAnsi="宋体" w:cs="宋体"/>
          <w:color w:val="000000"/>
          <w:szCs w:val="21"/>
        </w:rPr>
      </w:pPr>
      <w:r>
        <w:rPr>
          <w:rFonts w:hint="eastAsia" w:ascii="宋体" w:hAnsi="宋体" w:cs="宋体"/>
          <w:color w:val="000000"/>
          <w:szCs w:val="21"/>
        </w:rPr>
        <w:t>2、合同执行中涉及采购资金和采购内容修改或补充的，须经政府采购监管部门审批，并签书面补充协议报政府采购监督管理部门备案，方可作为主合同不可分割的一部分。</w:t>
      </w:r>
    </w:p>
    <w:p>
      <w:pPr>
        <w:keepNext/>
        <w:keepLines/>
        <w:spacing w:line="360" w:lineRule="auto"/>
        <w:ind w:firstLine="420" w:firstLineChars="200"/>
        <w:rPr>
          <w:rFonts w:ascii="宋体" w:hAnsi="宋体" w:cs="宋体"/>
          <w:color w:val="000000"/>
          <w:szCs w:val="21"/>
        </w:rPr>
      </w:pPr>
      <w:r>
        <w:rPr>
          <w:rFonts w:hint="eastAsia" w:ascii="宋体" w:hAnsi="宋体" w:cs="宋体"/>
          <w:color w:val="000000"/>
          <w:szCs w:val="21"/>
        </w:rPr>
        <w:t>3、本合同一式</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份，自双方签章之日起起效。甲方</w:t>
      </w:r>
      <w:r>
        <w:rPr>
          <w:rFonts w:hint="eastAsia" w:ascii="宋体" w:hAnsi="宋体" w:cs="宋体"/>
          <w:color w:val="000000"/>
          <w:szCs w:val="21"/>
          <w:u w:val="single"/>
        </w:rPr>
        <w:tab/>
      </w:r>
      <w:r>
        <w:rPr>
          <w:rFonts w:hint="eastAsia" w:ascii="宋体" w:hAnsi="宋体" w:cs="宋体"/>
          <w:color w:val="000000"/>
          <w:szCs w:val="21"/>
        </w:rPr>
        <w:t>份，乙方</w:t>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份，政府采购代理机构</w:t>
      </w:r>
      <w:r>
        <w:rPr>
          <w:rFonts w:hint="eastAsia" w:ascii="宋体" w:hAnsi="宋体" w:cs="宋体"/>
          <w:color w:val="000000"/>
          <w:szCs w:val="21"/>
          <w:u w:val="single"/>
        </w:rPr>
        <w:t>壹</w:t>
      </w:r>
      <w:r>
        <w:rPr>
          <w:rFonts w:hint="eastAsia" w:ascii="宋体" w:hAnsi="宋体" w:cs="宋体"/>
          <w:color w:val="000000"/>
          <w:szCs w:val="21"/>
        </w:rPr>
        <w:t>份，具有同等法律效力。</w:t>
      </w:r>
    </w:p>
    <w:p>
      <w:pPr>
        <w:pStyle w:val="14"/>
        <w:keepNext/>
        <w:keepLines/>
        <w:rPr>
          <w:rFonts w:ascii="宋体" w:hAnsi="宋体" w:cs="宋体"/>
          <w:sz w:val="21"/>
          <w:szCs w:val="21"/>
        </w:rPr>
      </w:pPr>
    </w:p>
    <w:p>
      <w:pPr>
        <w:pStyle w:val="7"/>
        <w:keepNext/>
        <w:keepLines/>
        <w:ind w:firstLine="420"/>
        <w:rPr>
          <w:rFonts w:ascii="宋体" w:hAnsi="宋体" w:cs="宋体"/>
          <w:kern w:val="22"/>
          <w:szCs w:val="21"/>
        </w:rPr>
      </w:pPr>
      <w:r>
        <w:rPr>
          <w:rFonts w:hint="eastAsia" w:ascii="宋体" w:hAnsi="宋体" w:cs="宋体"/>
          <w:kern w:val="22"/>
          <w:szCs w:val="21"/>
        </w:rPr>
        <w:t>发包方（盖章）：</w:t>
      </w:r>
      <w:r>
        <w:rPr>
          <w:rFonts w:hint="eastAsia" w:ascii="宋体" w:hAnsi="宋体" w:cs="宋体"/>
          <w:kern w:val="22"/>
          <w:szCs w:val="21"/>
          <w:u w:val="single"/>
        </w:rPr>
        <w:t xml:space="preserve">                    </w:t>
      </w:r>
      <w:r>
        <w:rPr>
          <w:rFonts w:hint="eastAsia" w:ascii="宋体" w:hAnsi="宋体" w:cs="宋体"/>
          <w:kern w:val="22"/>
          <w:szCs w:val="21"/>
        </w:rPr>
        <w:t xml:space="preserve">      承包方（盖章）：</w:t>
      </w:r>
      <w:r>
        <w:rPr>
          <w:rFonts w:hint="eastAsia" w:ascii="宋体" w:hAnsi="宋体" w:cs="宋体"/>
          <w:kern w:val="22"/>
          <w:szCs w:val="21"/>
          <w:u w:val="single"/>
        </w:rPr>
        <w:t xml:space="preserve">                      </w:t>
      </w:r>
    </w:p>
    <w:p>
      <w:pPr>
        <w:pStyle w:val="7"/>
        <w:keepNext/>
        <w:keepLines/>
        <w:ind w:firstLine="420"/>
        <w:rPr>
          <w:rFonts w:ascii="宋体" w:hAnsi="宋体" w:cs="宋体"/>
          <w:kern w:val="22"/>
          <w:szCs w:val="21"/>
        </w:rPr>
      </w:pPr>
      <w:r>
        <w:rPr>
          <w:rFonts w:hint="eastAsia" w:ascii="宋体" w:hAnsi="宋体" w:cs="宋体"/>
          <w:kern w:val="22"/>
          <w:szCs w:val="21"/>
        </w:rPr>
        <w:t>法定代表人（签字或盖章）：</w:t>
      </w:r>
      <w:r>
        <w:rPr>
          <w:rFonts w:hint="eastAsia" w:ascii="宋体" w:hAnsi="宋体" w:cs="宋体"/>
          <w:kern w:val="22"/>
          <w:szCs w:val="21"/>
          <w:u w:val="single"/>
        </w:rPr>
        <w:t xml:space="preserve">          </w:t>
      </w:r>
      <w:r>
        <w:rPr>
          <w:rFonts w:hint="eastAsia" w:ascii="宋体" w:hAnsi="宋体" w:cs="宋体"/>
          <w:kern w:val="22"/>
          <w:szCs w:val="21"/>
        </w:rPr>
        <w:t xml:space="preserve">      法定代表人（签字或盖章）：</w:t>
      </w:r>
      <w:r>
        <w:rPr>
          <w:rFonts w:hint="eastAsia" w:ascii="宋体" w:hAnsi="宋体" w:cs="宋体"/>
          <w:kern w:val="22"/>
          <w:szCs w:val="21"/>
          <w:u w:val="single"/>
        </w:rPr>
        <w:t xml:space="preserve">            </w:t>
      </w:r>
    </w:p>
    <w:p>
      <w:pPr>
        <w:pStyle w:val="7"/>
        <w:keepNext/>
        <w:keepLines/>
        <w:ind w:firstLine="420"/>
        <w:rPr>
          <w:rFonts w:ascii="宋体" w:hAnsi="宋体" w:cs="宋体"/>
          <w:kern w:val="22"/>
          <w:szCs w:val="21"/>
        </w:rPr>
      </w:pPr>
      <w:r>
        <w:rPr>
          <w:rFonts w:hint="eastAsia" w:ascii="宋体" w:hAnsi="宋体" w:cs="宋体"/>
          <w:kern w:val="22"/>
          <w:szCs w:val="21"/>
        </w:rPr>
        <w:t>或委托代理人（签字或盖章）：</w:t>
      </w:r>
      <w:r>
        <w:rPr>
          <w:rFonts w:hint="eastAsia" w:ascii="宋体" w:hAnsi="宋体" w:cs="宋体"/>
          <w:kern w:val="22"/>
          <w:szCs w:val="21"/>
          <w:u w:val="single"/>
        </w:rPr>
        <w:t xml:space="preserve">        </w:t>
      </w:r>
      <w:r>
        <w:rPr>
          <w:rFonts w:hint="eastAsia" w:ascii="宋体" w:hAnsi="宋体" w:cs="宋体"/>
          <w:kern w:val="22"/>
          <w:szCs w:val="21"/>
        </w:rPr>
        <w:t xml:space="preserve">      或委托代理人（签字或盖章）：</w:t>
      </w:r>
      <w:r>
        <w:rPr>
          <w:rFonts w:hint="eastAsia" w:ascii="宋体" w:hAnsi="宋体" w:cs="宋体"/>
          <w:kern w:val="22"/>
          <w:szCs w:val="21"/>
          <w:u w:val="single"/>
        </w:rPr>
        <w:t xml:space="preserve">         </w:t>
      </w:r>
      <w:r>
        <w:rPr>
          <w:rFonts w:hint="eastAsia" w:ascii="宋体" w:hAnsi="宋体" w:cs="宋体"/>
          <w:kern w:val="22"/>
          <w:szCs w:val="21"/>
        </w:rPr>
        <w:t xml:space="preserve"> </w:t>
      </w:r>
    </w:p>
    <w:p>
      <w:pPr>
        <w:pStyle w:val="7"/>
        <w:keepNext/>
        <w:keepLines/>
        <w:ind w:firstLine="420"/>
        <w:rPr>
          <w:rFonts w:ascii="宋体" w:hAnsi="宋体" w:cs="宋体"/>
          <w:kern w:val="22"/>
          <w:szCs w:val="21"/>
        </w:rPr>
      </w:pPr>
      <w:r>
        <w:rPr>
          <w:rFonts w:hint="eastAsia" w:ascii="宋体" w:hAnsi="宋体" w:cs="宋体"/>
          <w:kern w:val="22"/>
          <w:szCs w:val="21"/>
        </w:rPr>
        <w:t>地址：</w:t>
      </w:r>
      <w:r>
        <w:rPr>
          <w:rFonts w:hint="eastAsia" w:ascii="宋体" w:hAnsi="宋体" w:cs="宋体"/>
          <w:kern w:val="22"/>
          <w:szCs w:val="21"/>
          <w:u w:val="single"/>
        </w:rPr>
        <w:t xml:space="preserve">                        </w:t>
      </w:r>
      <w:r>
        <w:rPr>
          <w:rFonts w:hint="eastAsia" w:ascii="宋体" w:hAnsi="宋体" w:cs="宋体"/>
          <w:kern w:val="22"/>
          <w:szCs w:val="21"/>
        </w:rPr>
        <w:t xml:space="preserve">            地址：</w:t>
      </w:r>
      <w:r>
        <w:rPr>
          <w:rFonts w:hint="eastAsia" w:ascii="宋体" w:hAnsi="宋体" w:cs="宋体"/>
          <w:kern w:val="22"/>
          <w:szCs w:val="21"/>
          <w:u w:val="single"/>
        </w:rPr>
        <w:t xml:space="preserve">                         </w:t>
      </w:r>
    </w:p>
    <w:p>
      <w:pPr>
        <w:pStyle w:val="7"/>
        <w:keepNext/>
        <w:keepLines/>
        <w:ind w:firstLine="420"/>
        <w:rPr>
          <w:rFonts w:ascii="宋体" w:hAnsi="宋体" w:cs="宋体"/>
          <w:kern w:val="22"/>
          <w:szCs w:val="21"/>
        </w:rPr>
      </w:pPr>
      <w:r>
        <w:rPr>
          <w:rFonts w:hint="eastAsia" w:ascii="宋体" w:hAnsi="宋体" w:cs="宋体"/>
          <w:kern w:val="22"/>
          <w:szCs w:val="21"/>
        </w:rPr>
        <w:t>联系电话：</w:t>
      </w:r>
      <w:r>
        <w:rPr>
          <w:rFonts w:hint="eastAsia" w:ascii="宋体" w:hAnsi="宋体" w:cs="宋体"/>
          <w:kern w:val="22"/>
          <w:szCs w:val="21"/>
          <w:u w:val="single"/>
        </w:rPr>
        <w:t xml:space="preserve">                    </w:t>
      </w:r>
      <w:r>
        <w:rPr>
          <w:rFonts w:hint="eastAsia" w:ascii="宋体" w:hAnsi="宋体" w:cs="宋体"/>
          <w:kern w:val="22"/>
          <w:szCs w:val="21"/>
        </w:rPr>
        <w:t xml:space="preserve">            联系电话：</w:t>
      </w:r>
      <w:r>
        <w:rPr>
          <w:rFonts w:hint="eastAsia" w:ascii="宋体" w:hAnsi="宋体" w:cs="宋体"/>
          <w:kern w:val="22"/>
          <w:szCs w:val="21"/>
          <w:u w:val="single"/>
        </w:rPr>
        <w:t xml:space="preserve">                     </w:t>
      </w:r>
    </w:p>
    <w:p>
      <w:pPr>
        <w:pStyle w:val="7"/>
        <w:keepNext/>
        <w:keepLines/>
        <w:ind w:firstLine="420"/>
        <w:rPr>
          <w:rFonts w:ascii="宋体" w:hAnsi="宋体" w:cs="宋体"/>
          <w:kern w:val="22"/>
          <w:szCs w:val="21"/>
        </w:rPr>
      </w:pPr>
      <w:r>
        <w:rPr>
          <w:rFonts w:hint="eastAsia" w:ascii="宋体" w:hAnsi="宋体" w:cs="宋体"/>
          <w:kern w:val="22"/>
          <w:szCs w:val="21"/>
        </w:rPr>
        <w:t>开户银行：</w:t>
      </w:r>
      <w:r>
        <w:rPr>
          <w:rFonts w:hint="eastAsia" w:ascii="宋体" w:hAnsi="宋体" w:cs="宋体"/>
          <w:kern w:val="22"/>
          <w:szCs w:val="21"/>
          <w:u w:val="single"/>
        </w:rPr>
        <w:t xml:space="preserve">                    </w:t>
      </w:r>
      <w:r>
        <w:rPr>
          <w:rFonts w:hint="eastAsia" w:ascii="宋体" w:hAnsi="宋体" w:cs="宋体"/>
          <w:kern w:val="22"/>
          <w:szCs w:val="21"/>
        </w:rPr>
        <w:t xml:space="preserve">            开户银行：</w:t>
      </w:r>
      <w:r>
        <w:rPr>
          <w:rFonts w:hint="eastAsia" w:ascii="宋体" w:hAnsi="宋体" w:cs="宋体"/>
          <w:kern w:val="22"/>
          <w:szCs w:val="21"/>
          <w:u w:val="single"/>
        </w:rPr>
        <w:t xml:space="preserve">                     </w:t>
      </w:r>
    </w:p>
    <w:p>
      <w:pPr>
        <w:pStyle w:val="7"/>
        <w:keepNext/>
        <w:keepLines/>
        <w:ind w:firstLine="420"/>
        <w:rPr>
          <w:rFonts w:ascii="宋体" w:hAnsi="宋体" w:cs="宋体"/>
          <w:kern w:val="22"/>
          <w:szCs w:val="21"/>
        </w:rPr>
      </w:pPr>
      <w:r>
        <w:rPr>
          <w:rFonts w:hint="eastAsia" w:ascii="宋体" w:hAnsi="宋体" w:cs="宋体"/>
          <w:kern w:val="22"/>
          <w:szCs w:val="21"/>
        </w:rPr>
        <w:t>银行帐号：</w:t>
      </w:r>
      <w:r>
        <w:rPr>
          <w:rFonts w:hint="eastAsia" w:ascii="宋体" w:hAnsi="宋体" w:cs="宋体"/>
          <w:kern w:val="22"/>
          <w:szCs w:val="21"/>
          <w:u w:val="single"/>
        </w:rPr>
        <w:t xml:space="preserve">                    </w:t>
      </w:r>
      <w:r>
        <w:rPr>
          <w:rFonts w:hint="eastAsia" w:ascii="宋体" w:hAnsi="宋体" w:cs="宋体"/>
          <w:kern w:val="22"/>
          <w:szCs w:val="21"/>
        </w:rPr>
        <w:t xml:space="preserve">            银行帐号：</w:t>
      </w:r>
      <w:r>
        <w:rPr>
          <w:rFonts w:hint="eastAsia" w:ascii="宋体" w:hAnsi="宋体" w:cs="宋体"/>
          <w:kern w:val="22"/>
          <w:szCs w:val="21"/>
          <w:u w:val="single"/>
        </w:rPr>
        <w:t xml:space="preserve">                     </w:t>
      </w:r>
    </w:p>
    <w:p>
      <w:pPr>
        <w:keepNext/>
        <w:keepLines/>
        <w:ind w:firstLine="420"/>
      </w:pPr>
      <w:r>
        <w:rPr>
          <w:rFonts w:hint="eastAsia" w:ascii="宋体" w:hAnsi="宋体" w:cs="宋体"/>
          <w:kern w:val="22"/>
          <w:szCs w:val="21"/>
        </w:rPr>
        <w:t>日期：</w:t>
      </w:r>
      <w:r>
        <w:rPr>
          <w:rFonts w:hint="eastAsia" w:ascii="宋体" w:hAnsi="宋体" w:cs="宋体"/>
          <w:kern w:val="22"/>
          <w:szCs w:val="21"/>
          <w:u w:val="single"/>
        </w:rPr>
        <w:t xml:space="preserve">   </w:t>
      </w:r>
      <w:r>
        <w:rPr>
          <w:rFonts w:hint="eastAsia" w:ascii="宋体" w:hAnsi="宋体" w:cs="宋体"/>
          <w:kern w:val="22"/>
          <w:szCs w:val="21"/>
        </w:rPr>
        <w:t>年</w:t>
      </w:r>
      <w:r>
        <w:rPr>
          <w:rFonts w:hint="eastAsia" w:ascii="宋体" w:hAnsi="宋体" w:cs="宋体"/>
          <w:kern w:val="22"/>
          <w:szCs w:val="21"/>
          <w:u w:val="single"/>
        </w:rPr>
        <w:t xml:space="preserve">   </w:t>
      </w:r>
      <w:r>
        <w:rPr>
          <w:rFonts w:hint="eastAsia" w:ascii="宋体" w:hAnsi="宋体" w:cs="宋体"/>
          <w:kern w:val="22"/>
          <w:szCs w:val="21"/>
        </w:rPr>
        <w:t>月</w:t>
      </w:r>
      <w:r>
        <w:rPr>
          <w:rFonts w:hint="eastAsia" w:ascii="宋体" w:hAnsi="宋体" w:cs="宋体"/>
          <w:kern w:val="22"/>
          <w:szCs w:val="21"/>
          <w:u w:val="single"/>
        </w:rPr>
        <w:t xml:space="preserve">   </w:t>
      </w:r>
      <w:r>
        <w:rPr>
          <w:rFonts w:hint="eastAsia" w:ascii="宋体" w:hAnsi="宋体" w:cs="宋体"/>
          <w:kern w:val="22"/>
          <w:szCs w:val="21"/>
        </w:rPr>
        <w:t>日                     日期：</w:t>
      </w:r>
      <w:r>
        <w:rPr>
          <w:rFonts w:hint="eastAsia" w:ascii="宋体" w:hAnsi="宋体" w:cs="宋体"/>
          <w:kern w:val="22"/>
          <w:szCs w:val="21"/>
          <w:u w:val="single"/>
        </w:rPr>
        <w:t xml:space="preserve">   </w:t>
      </w:r>
      <w:r>
        <w:rPr>
          <w:rFonts w:hint="eastAsia" w:ascii="宋体" w:hAnsi="宋体" w:cs="宋体"/>
          <w:kern w:val="22"/>
          <w:szCs w:val="21"/>
        </w:rPr>
        <w:t>年</w:t>
      </w:r>
      <w:r>
        <w:rPr>
          <w:rFonts w:hint="eastAsia" w:ascii="宋体" w:hAnsi="宋体" w:cs="宋体"/>
          <w:kern w:val="22"/>
          <w:szCs w:val="21"/>
          <w:u w:val="single"/>
        </w:rPr>
        <w:t xml:space="preserve">   </w:t>
      </w:r>
      <w:r>
        <w:rPr>
          <w:rFonts w:hint="eastAsia" w:ascii="宋体" w:hAnsi="宋体" w:cs="宋体"/>
          <w:kern w:val="22"/>
          <w:szCs w:val="21"/>
        </w:rPr>
        <w:t>月</w:t>
      </w:r>
      <w:r>
        <w:rPr>
          <w:rFonts w:hint="eastAsia" w:ascii="宋体" w:hAnsi="宋体" w:cs="宋体"/>
          <w:kern w:val="22"/>
          <w:szCs w:val="21"/>
          <w:u w:val="single"/>
        </w:rPr>
        <w:t xml:space="preserve">   </w:t>
      </w:r>
      <w:r>
        <w:rPr>
          <w:rFonts w:hint="eastAsia" w:ascii="宋体" w:hAnsi="宋体" w:cs="宋体"/>
          <w:kern w:val="22"/>
          <w:szCs w:val="21"/>
        </w:rPr>
        <w:t>日</w:t>
      </w:r>
    </w:p>
    <w:p>
      <w:pPr>
        <w:pStyle w:val="3"/>
        <w:adjustRightInd w:val="0"/>
        <w:snapToGrid w:val="0"/>
        <w:spacing w:before="0" w:after="0" w:line="360" w:lineRule="auto"/>
        <w:ind w:firstLine="420"/>
        <w:rPr>
          <w:rFonts w:ascii="宋体" w:hAnsi="宋体" w:cs="宋体"/>
          <w:b w:val="0"/>
          <w:kern w:val="2"/>
          <w:sz w:val="21"/>
          <w:szCs w:val="21"/>
        </w:rPr>
      </w:pPr>
    </w:p>
    <w:p>
      <w:pPr>
        <w:pStyle w:val="3"/>
        <w:adjustRightInd w:val="0"/>
        <w:snapToGrid w:val="0"/>
        <w:spacing w:before="0" w:after="0" w:line="360" w:lineRule="auto"/>
        <w:ind w:firstLine="420"/>
        <w:rPr>
          <w:rFonts w:ascii="宋体" w:hAnsi="宋体" w:cs="宋体"/>
          <w:b w:val="0"/>
          <w:kern w:val="2"/>
          <w:sz w:val="21"/>
          <w:szCs w:val="21"/>
        </w:rPr>
      </w:pPr>
    </w:p>
    <w:p>
      <w:pPr>
        <w:pStyle w:val="3"/>
        <w:adjustRightInd w:val="0"/>
        <w:snapToGrid w:val="0"/>
        <w:spacing w:before="0" w:after="0" w:line="360" w:lineRule="auto"/>
        <w:ind w:firstLine="420"/>
        <w:rPr>
          <w:rFonts w:ascii="宋体" w:hAnsi="宋体" w:cs="宋体"/>
          <w:b w:val="0"/>
          <w:kern w:val="2"/>
          <w:sz w:val="21"/>
          <w:szCs w:val="21"/>
        </w:rPr>
      </w:pPr>
      <w:r>
        <w:rPr>
          <w:rFonts w:hint="eastAsia" w:ascii="宋体" w:hAnsi="宋体" w:cs="宋体"/>
          <w:b w:val="0"/>
          <w:kern w:val="2"/>
          <w:sz w:val="21"/>
          <w:szCs w:val="21"/>
        </w:rPr>
        <w:t>见证方：    （盖章）</w:t>
      </w:r>
    </w:p>
    <w:p>
      <w:pPr>
        <w:pStyle w:val="3"/>
        <w:adjustRightInd w:val="0"/>
        <w:snapToGrid w:val="0"/>
        <w:spacing w:before="0" w:after="0" w:line="360" w:lineRule="auto"/>
        <w:ind w:firstLine="420"/>
        <w:rPr>
          <w:rFonts w:ascii="宋体" w:hAnsi="宋体" w:cs="宋体"/>
          <w:b w:val="0"/>
          <w:sz w:val="21"/>
          <w:szCs w:val="21"/>
        </w:rPr>
      </w:pPr>
      <w:r>
        <w:rPr>
          <w:rFonts w:hint="eastAsia" w:ascii="宋体" w:hAnsi="宋体" w:cs="宋体"/>
          <w:b w:val="0"/>
          <w:sz w:val="21"/>
          <w:szCs w:val="21"/>
        </w:rPr>
        <w:t>法定代表人/授权代表：   （签字或盖章）</w:t>
      </w:r>
    </w:p>
    <w:p>
      <w:pPr>
        <w:keepNext/>
        <w:keepLines/>
        <w:ind w:firstLine="420"/>
      </w:pPr>
    </w:p>
    <w:p>
      <w:pPr>
        <w:pStyle w:val="2"/>
      </w:pPr>
    </w:p>
    <w:p>
      <w:pPr>
        <w:pStyle w:val="2"/>
      </w:pPr>
    </w:p>
    <w:p>
      <w:pPr>
        <w:keepNext/>
        <w:keepLines/>
        <w:autoSpaceDE w:val="0"/>
        <w:autoSpaceDN w:val="0"/>
        <w:spacing w:line="360" w:lineRule="auto"/>
        <w:rPr>
          <w:rFonts w:ascii="宋体" w:hAnsi="宋体" w:cs="宋体"/>
          <w:color w:val="000000"/>
          <w:szCs w:val="21"/>
        </w:rPr>
      </w:pPr>
      <w:bookmarkStart w:id="15" w:name="_GoBack"/>
      <w:bookmarkEnd w:id="15"/>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宋体" w:cs="宋体"/>
        <w:sz w:val="18"/>
        <w:szCs w:val="18"/>
      </w:rPr>
    </w:pPr>
    <w:r>
      <w:rPr>
        <w:sz w:val="18"/>
      </w:rPr>
      <w:pict>
        <v:shape id="文本框 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JeGxPIAQAAmQMAAA4AAAAAAAAAAQAgAAAAHgEAAGRycy9lMm9Eb2Mu&#10;eG1sUEsFBgAAAAAGAAYAWQEAAFgFAAAAAA==&#10;">
          <v:path/>
          <v:fill on="f" focussize="0,0"/>
          <v:stroke on="f" joinstyle="miter"/>
          <v:imagedata o:title=""/>
          <o:lock v:ext="edit"/>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iZWNiMmE2ZThlNzQxZWQ4MWY5Yzg4NzMyN2IwZTkifQ=="/>
  </w:docVars>
  <w:rsids>
    <w:rsidRoot w:val="0005653A"/>
    <w:rsid w:val="0001295A"/>
    <w:rsid w:val="00047424"/>
    <w:rsid w:val="0005653A"/>
    <w:rsid w:val="000E679E"/>
    <w:rsid w:val="000F5FF0"/>
    <w:rsid w:val="0036555A"/>
    <w:rsid w:val="00425A9B"/>
    <w:rsid w:val="0043697D"/>
    <w:rsid w:val="005E6A2B"/>
    <w:rsid w:val="00760AEC"/>
    <w:rsid w:val="00793040"/>
    <w:rsid w:val="00B04D9C"/>
    <w:rsid w:val="00B570C3"/>
    <w:rsid w:val="00B63C71"/>
    <w:rsid w:val="00C97D15"/>
    <w:rsid w:val="00ED334A"/>
    <w:rsid w:val="00F66ECB"/>
    <w:rsid w:val="00FA5ADF"/>
    <w:rsid w:val="0F655554"/>
    <w:rsid w:val="1D491D3F"/>
    <w:rsid w:val="22BC47F0"/>
    <w:rsid w:val="232A7B3B"/>
    <w:rsid w:val="24967ED9"/>
    <w:rsid w:val="288C06F3"/>
    <w:rsid w:val="2AC80BF8"/>
    <w:rsid w:val="2C6A62C5"/>
    <w:rsid w:val="34C56BB9"/>
    <w:rsid w:val="34C81E04"/>
    <w:rsid w:val="38651CCB"/>
    <w:rsid w:val="3D201429"/>
    <w:rsid w:val="3DA4074B"/>
    <w:rsid w:val="3F4513C5"/>
    <w:rsid w:val="43B83F3C"/>
    <w:rsid w:val="5217598C"/>
    <w:rsid w:val="68231887"/>
    <w:rsid w:val="6AB445A2"/>
    <w:rsid w:val="6CA22798"/>
    <w:rsid w:val="74AB5198"/>
    <w:rsid w:val="75641D9B"/>
    <w:rsid w:val="77537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4"/>
    <w:autoRedefine/>
    <w:qFormat/>
    <w:uiPriority w:val="0"/>
    <w:pPr>
      <w:keepNext/>
      <w:keepLines/>
      <w:spacing w:before="340" w:after="330" w:line="578" w:lineRule="auto"/>
      <w:ind w:firstLine="200" w:firstLineChars="200"/>
      <w:outlineLvl w:val="0"/>
    </w:pPr>
    <w:rPr>
      <w:b/>
      <w:bCs/>
      <w:kern w:val="44"/>
      <w:sz w:val="44"/>
      <w:szCs w:val="44"/>
    </w:rPr>
  </w:style>
  <w:style w:type="paragraph" w:styleId="4">
    <w:name w:val="heading 2"/>
    <w:basedOn w:val="1"/>
    <w:next w:val="1"/>
    <w:link w:val="19"/>
    <w:autoRedefine/>
    <w:semiHidden/>
    <w:unhideWhenUsed/>
    <w:qFormat/>
    <w:uiPriority w:val="0"/>
    <w:pPr>
      <w:keepNext/>
      <w:keepLines/>
      <w:spacing w:before="260" w:after="260" w:line="416" w:lineRule="auto"/>
      <w:ind w:firstLine="200" w:firstLineChars="200"/>
      <w:outlineLvl w:val="1"/>
    </w:pPr>
    <w:rPr>
      <w:rFonts w:asciiTheme="majorHAnsi" w:hAnsiTheme="majorHAnsi" w:eastAsiaTheme="majorEastAsia" w:cstheme="majorBidi"/>
      <w:b/>
      <w:bCs/>
      <w:sz w:val="32"/>
      <w:szCs w:val="32"/>
    </w:rPr>
  </w:style>
  <w:style w:type="paragraph" w:styleId="5">
    <w:name w:val="heading 3"/>
    <w:basedOn w:val="1"/>
    <w:next w:val="1"/>
    <w:link w:val="20"/>
    <w:autoRedefine/>
    <w:semiHidden/>
    <w:unhideWhenUsed/>
    <w:qFormat/>
    <w:uiPriority w:val="0"/>
    <w:pPr>
      <w:keepNext/>
      <w:keepLines/>
      <w:spacing w:before="260" w:after="260" w:line="416" w:lineRule="auto"/>
      <w:ind w:firstLine="200" w:firstLineChars="200"/>
      <w:outlineLvl w:val="2"/>
    </w:pPr>
    <w:rPr>
      <w:b/>
      <w:bCs/>
      <w:sz w:val="32"/>
      <w:szCs w:val="32"/>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hint="eastAsia" w:ascii="宋体" w:hAnsi="Courier New"/>
      <w:sz w:val="24"/>
    </w:rPr>
  </w:style>
  <w:style w:type="paragraph" w:styleId="6">
    <w:name w:val="annotation text"/>
    <w:basedOn w:val="1"/>
    <w:link w:val="21"/>
    <w:autoRedefine/>
    <w:qFormat/>
    <w:uiPriority w:val="0"/>
    <w:pPr>
      <w:spacing w:line="360" w:lineRule="auto"/>
      <w:ind w:firstLine="200" w:firstLineChars="200"/>
      <w:jc w:val="left"/>
    </w:pPr>
    <w:rPr>
      <w:szCs w:val="24"/>
    </w:rPr>
  </w:style>
  <w:style w:type="paragraph" w:styleId="7">
    <w:name w:val="Body Text"/>
    <w:basedOn w:val="1"/>
    <w:link w:val="18"/>
    <w:autoRedefine/>
    <w:unhideWhenUsed/>
    <w:qFormat/>
    <w:uiPriority w:val="0"/>
    <w:pPr>
      <w:spacing w:after="120" w:line="360" w:lineRule="auto"/>
      <w:ind w:firstLine="200" w:firstLineChars="200"/>
    </w:pPr>
    <w:rPr>
      <w:szCs w:val="24"/>
    </w:rPr>
  </w:style>
  <w:style w:type="paragraph" w:styleId="8">
    <w:name w:val="toc 3"/>
    <w:basedOn w:val="1"/>
    <w:next w:val="1"/>
    <w:autoRedefine/>
    <w:unhideWhenUsed/>
    <w:qFormat/>
    <w:uiPriority w:val="39"/>
    <w:pPr>
      <w:spacing w:line="360" w:lineRule="auto"/>
      <w:ind w:left="420" w:firstLine="200" w:firstLineChars="200"/>
      <w:jc w:val="left"/>
    </w:pPr>
    <w:rPr>
      <w:rFonts w:ascii="Calibri" w:hAnsi="Calibri"/>
      <w:i/>
      <w:iCs/>
      <w:sz w:val="20"/>
    </w:rPr>
  </w:style>
  <w:style w:type="paragraph" w:styleId="9">
    <w:name w:val="footer"/>
    <w:basedOn w:val="1"/>
    <w:link w:val="26"/>
    <w:autoRedefine/>
    <w:qFormat/>
    <w:uiPriority w:val="99"/>
    <w:pPr>
      <w:tabs>
        <w:tab w:val="center" w:pos="4153"/>
        <w:tab w:val="right" w:pos="8306"/>
      </w:tabs>
      <w:snapToGrid w:val="0"/>
      <w:jc w:val="left"/>
    </w:pPr>
    <w:rPr>
      <w:sz w:val="18"/>
    </w:rPr>
  </w:style>
  <w:style w:type="paragraph" w:styleId="10">
    <w:name w:val="header"/>
    <w:basedOn w:val="1"/>
    <w:link w:val="3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pPr>
      <w:tabs>
        <w:tab w:val="right" w:leader="dot" w:pos="8965"/>
      </w:tabs>
      <w:spacing w:before="120" w:after="120" w:line="360" w:lineRule="auto"/>
      <w:ind w:firstLine="200" w:firstLineChars="200"/>
      <w:jc w:val="left"/>
    </w:pPr>
    <w:rPr>
      <w:rFonts w:ascii="宋体" w:hAnsi="宋体"/>
      <w:bCs/>
      <w:caps/>
      <w:sz w:val="28"/>
      <w:szCs w:val="28"/>
    </w:rPr>
  </w:style>
  <w:style w:type="paragraph" w:styleId="12">
    <w:name w:val="toc 2"/>
    <w:basedOn w:val="1"/>
    <w:next w:val="1"/>
    <w:autoRedefine/>
    <w:unhideWhenUsed/>
    <w:qFormat/>
    <w:uiPriority w:val="39"/>
    <w:pPr>
      <w:spacing w:line="360" w:lineRule="auto"/>
      <w:ind w:left="210" w:firstLine="200" w:firstLineChars="200"/>
      <w:jc w:val="left"/>
    </w:pPr>
    <w:rPr>
      <w:rFonts w:ascii="Calibri" w:hAnsi="Calibri"/>
      <w:smallCaps/>
      <w:sz w:val="20"/>
    </w:rPr>
  </w:style>
  <w:style w:type="paragraph" w:styleId="13">
    <w:name w:val="Normal (Web)"/>
    <w:basedOn w:val="1"/>
    <w:semiHidden/>
    <w:unhideWhenUsed/>
    <w:qFormat/>
    <w:uiPriority w:val="99"/>
    <w:pPr>
      <w:spacing w:beforeAutospacing="1" w:afterAutospacing="1"/>
      <w:jc w:val="left"/>
    </w:pPr>
    <w:rPr>
      <w:kern w:val="0"/>
      <w:sz w:val="24"/>
    </w:rPr>
  </w:style>
  <w:style w:type="paragraph" w:styleId="14">
    <w:name w:val="Body Text First Indent"/>
    <w:basedOn w:val="7"/>
    <w:link w:val="27"/>
    <w:autoRedefine/>
    <w:qFormat/>
    <w:uiPriority w:val="0"/>
    <w:pPr>
      <w:adjustRightInd w:val="0"/>
      <w:spacing w:after="0" w:line="240" w:lineRule="auto"/>
      <w:ind w:firstLine="420" w:firstLineChars="0"/>
      <w:jc w:val="left"/>
      <w:textAlignment w:val="baseline"/>
    </w:pPr>
    <w:rPr>
      <w:color w:val="993300"/>
      <w:kern w:val="0"/>
      <w:sz w:val="24"/>
      <w:szCs w:val="20"/>
    </w:rPr>
  </w:style>
  <w:style w:type="character" w:styleId="17">
    <w:name w:val="Strong"/>
    <w:basedOn w:val="16"/>
    <w:autoRedefine/>
    <w:qFormat/>
    <w:uiPriority w:val="0"/>
    <w:rPr>
      <w:b/>
    </w:rPr>
  </w:style>
  <w:style w:type="character" w:customStyle="1" w:styleId="18">
    <w:name w:val="正文文本 Char"/>
    <w:basedOn w:val="16"/>
    <w:link w:val="7"/>
    <w:autoRedefine/>
    <w:qFormat/>
    <w:uiPriority w:val="0"/>
    <w:rPr>
      <w:rFonts w:ascii="Times New Roman" w:hAnsi="Times New Roman" w:eastAsia="宋体"/>
      <w:szCs w:val="24"/>
    </w:rPr>
  </w:style>
  <w:style w:type="character" w:customStyle="1" w:styleId="19">
    <w:name w:val="标题 2 Char"/>
    <w:basedOn w:val="16"/>
    <w:link w:val="4"/>
    <w:autoRedefine/>
    <w:semiHidden/>
    <w:qFormat/>
    <w:uiPriority w:val="0"/>
    <w:rPr>
      <w:rFonts w:asciiTheme="majorHAnsi" w:hAnsiTheme="majorHAnsi" w:eastAsiaTheme="majorEastAsia" w:cstheme="majorBidi"/>
      <w:b/>
      <w:bCs/>
      <w:kern w:val="2"/>
      <w:sz w:val="32"/>
      <w:szCs w:val="32"/>
    </w:rPr>
  </w:style>
  <w:style w:type="character" w:customStyle="1" w:styleId="20">
    <w:name w:val="标题 3 Char"/>
    <w:basedOn w:val="16"/>
    <w:link w:val="5"/>
    <w:autoRedefine/>
    <w:semiHidden/>
    <w:qFormat/>
    <w:uiPriority w:val="0"/>
    <w:rPr>
      <w:b/>
      <w:bCs/>
      <w:kern w:val="2"/>
      <w:sz w:val="32"/>
      <w:szCs w:val="32"/>
    </w:rPr>
  </w:style>
  <w:style w:type="character" w:customStyle="1" w:styleId="21">
    <w:name w:val="批注文字 Char"/>
    <w:basedOn w:val="16"/>
    <w:link w:val="6"/>
    <w:autoRedefine/>
    <w:qFormat/>
    <w:uiPriority w:val="0"/>
    <w:rPr>
      <w:rFonts w:ascii="Times New Roman" w:hAnsi="Times New Roman" w:eastAsia="宋体" w:cs="Times New Roman"/>
      <w:szCs w:val="24"/>
    </w:rPr>
  </w:style>
  <w:style w:type="paragraph" w:customStyle="1" w:styleId="22">
    <w:name w:val="专用标题2"/>
    <w:basedOn w:val="4"/>
    <w:next w:val="1"/>
    <w:autoRedefine/>
    <w:qFormat/>
    <w:uiPriority w:val="0"/>
    <w:pPr>
      <w:keepNext w:val="0"/>
      <w:keepLines w:val="0"/>
      <w:tabs>
        <w:tab w:val="left" w:pos="993"/>
      </w:tabs>
      <w:spacing w:line="360" w:lineRule="auto"/>
    </w:pPr>
    <w:rPr>
      <w:rFonts w:ascii="宋体" w:hAnsi="宋体" w:eastAsia="宋体" w:cs="Times"/>
    </w:rPr>
  </w:style>
  <w:style w:type="paragraph" w:customStyle="1" w:styleId="23">
    <w:name w:val="列表段落1"/>
    <w:basedOn w:val="1"/>
    <w:autoRedefine/>
    <w:qFormat/>
    <w:uiPriority w:val="0"/>
    <w:pPr>
      <w:ind w:left="151"/>
    </w:pPr>
  </w:style>
  <w:style w:type="character" w:customStyle="1" w:styleId="24">
    <w:name w:val="标题 1 Char"/>
    <w:link w:val="3"/>
    <w:autoRedefine/>
    <w:qFormat/>
    <w:uiPriority w:val="0"/>
    <w:rPr>
      <w:b/>
      <w:bCs/>
      <w:kern w:val="44"/>
      <w:sz w:val="44"/>
      <w:szCs w:val="44"/>
    </w:rPr>
  </w:style>
  <w:style w:type="paragraph" w:customStyle="1" w:styleId="25">
    <w:name w:val="TOC 标题1"/>
    <w:basedOn w:val="3"/>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26">
    <w:name w:val="页脚 Char"/>
    <w:basedOn w:val="16"/>
    <w:link w:val="9"/>
    <w:autoRedefine/>
    <w:qFormat/>
    <w:uiPriority w:val="99"/>
    <w:rPr>
      <w:kern w:val="2"/>
      <w:sz w:val="18"/>
    </w:rPr>
  </w:style>
  <w:style w:type="character" w:customStyle="1" w:styleId="27">
    <w:name w:val="正文首行缩进 Char"/>
    <w:basedOn w:val="18"/>
    <w:link w:val="14"/>
    <w:autoRedefine/>
    <w:qFormat/>
    <w:uiPriority w:val="0"/>
    <w:rPr>
      <w:color w:val="993300"/>
      <w:sz w:val="24"/>
    </w:rPr>
  </w:style>
  <w:style w:type="character" w:customStyle="1" w:styleId="28">
    <w:name w:val="List Paragraph Char1"/>
    <w:link w:val="29"/>
    <w:autoRedefine/>
    <w:qFormat/>
    <w:locked/>
    <w:uiPriority w:val="0"/>
    <w:rPr>
      <w:sz w:val="24"/>
    </w:rPr>
  </w:style>
  <w:style w:type="paragraph" w:customStyle="1" w:styleId="29">
    <w:name w:val="列出段落1"/>
    <w:basedOn w:val="1"/>
    <w:link w:val="28"/>
    <w:autoRedefine/>
    <w:qFormat/>
    <w:uiPriority w:val="0"/>
    <w:pPr>
      <w:ind w:firstLine="420" w:firstLineChars="200"/>
    </w:pPr>
    <w:rPr>
      <w:kern w:val="0"/>
      <w:sz w:val="24"/>
    </w:rPr>
  </w:style>
  <w:style w:type="paragraph" w:customStyle="1" w:styleId="30">
    <w:name w:val="Body text|1"/>
    <w:basedOn w:val="1"/>
    <w:autoRedefine/>
    <w:qFormat/>
    <w:uiPriority w:val="0"/>
    <w:pPr>
      <w:spacing w:line="396" w:lineRule="auto"/>
      <w:ind w:firstLine="400"/>
    </w:pPr>
    <w:rPr>
      <w:rFonts w:ascii="宋体" w:hAnsi="宋体" w:cs="宋体"/>
      <w:sz w:val="30"/>
      <w:szCs w:val="30"/>
      <w:lang w:val="zh-TW" w:eastAsia="zh-TW" w:bidi="zh-TW"/>
    </w:rPr>
  </w:style>
  <w:style w:type="character" w:customStyle="1" w:styleId="31">
    <w:name w:val="页眉 Char"/>
    <w:basedOn w:val="16"/>
    <w:link w:val="10"/>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4251</Words>
  <Characters>4734</Characters>
  <Lines>40</Lines>
  <Paragraphs>11</Paragraphs>
  <TotalTime>0</TotalTime>
  <ScaleCrop>false</ScaleCrop>
  <LinksUpToDate>false</LinksUpToDate>
  <CharactersWithSpaces>5526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2024-06-05T01:49:00Z</dcterms:created>
  <dc:creator>Administrator</dc:creator>
  <cp:lastModifiedBy>妍妍</cp:lastModifiedBy>
  <dcterms:modified xsi:type="dcterms:W3CDTF">2024-06-05T06:31:10Z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788B50A916A143469A4150C3B7688040_13</vt:lpwstr>
  </property>
</Properties>
</file>