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版本号：241227001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昆明路快速路工程配套房屋征收项目（土门段）回迁安置工作</w:t>
      </w:r>
    </w:p>
    <w:p>
      <w:pPr>
        <w:pStyle w:val="null3"/>
        <w:jc w:val="center"/>
        <w:outlineLvl w:val="2"/>
      </w:pPr>
      <w:r>
        <w:rPr>
          <w:sz w:val="28"/>
          <w:b/>
        </w:rPr>
        <w:t>采购项目编号：</w:t>
      </w:r>
      <w:r>
        <w:rPr>
          <w:sz w:val="28"/>
          <w:b/>
        </w:rPr>
        <w:t>SXHY-2024-059</w:t>
      </w:r>
      <w:r>
        <w:br/>
      </w:r>
      <w:r>
        <w:br/>
      </w:r>
      <w:r>
        <w:br/>
      </w:r>
    </w:p>
    <w:p>
      <w:pPr>
        <w:pStyle w:val="null3"/>
        <w:jc w:val="center"/>
        <w:outlineLvl w:val="2"/>
      </w:pPr>
      <w:r>
        <w:rPr>
          <w:sz w:val="28"/>
          <w:b/>
        </w:rPr>
        <w:t>西安市莲湖区土门街道办事处</w:t>
      </w:r>
    </w:p>
    <w:p>
      <w:pPr>
        <w:pStyle w:val="null3"/>
        <w:jc w:val="center"/>
        <w:outlineLvl w:val="2"/>
      </w:pPr>
      <w:r>
        <w:rPr>
          <w:sz w:val="28"/>
          <w:b/>
        </w:rPr>
        <w:t>陕西浩优项目管理有限公司</w:t>
      </w:r>
      <w:r>
        <w:rPr>
          <w:sz w:val="28"/>
          <w:b/>
        </w:rPr>
        <w:t>共同编制</w:t>
      </w:r>
    </w:p>
    <w:p>
      <w:pPr>
        <w:pStyle w:val="null3"/>
        <w:jc w:val="center"/>
        <w:outlineLvl w:val="2"/>
      </w:pPr>
      <w:r>
        <w:rPr>
          <w:sz w:val="28"/>
          <w:b/>
        </w:rPr>
        <w:t>2024年12月27日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陕西浩优项目管理有限公司</w:t>
      </w:r>
      <w:r>
        <w:rPr/>
        <w:t>（以下简称“代理机构”）受</w:t>
      </w:r>
      <w:r>
        <w:rPr/>
        <w:t>西安市莲湖区土门街道办事处</w:t>
      </w:r>
      <w:r>
        <w:rPr/>
        <w:t>委托，拟对</w:t>
      </w:r>
      <w:r>
        <w:rPr/>
        <w:t>昆明路快速路工程配套房屋征收项目（土门段）回迁安置工作</w:t>
      </w:r>
      <w:r>
        <w:rPr/>
        <w:t>采用竞争性磋商采购方式进行采购，兹邀请供应商参加本项目的竞争性磋商。</w:t>
      </w:r>
    </w:p>
    <w:p>
      <w:pPr>
        <w:pStyle w:val="null3"/>
        <w:outlineLvl w:val="2"/>
      </w:pPr>
      <w:r>
        <w:rPr>
          <w:sz w:val="28"/>
          <w:b/>
        </w:rPr>
        <w:t>一、项目编号：</w:t>
      </w:r>
      <w:r>
        <w:rPr>
          <w:sz w:val="28"/>
          <w:b/>
        </w:rPr>
        <w:t>SXHY-2024-059</w:t>
      </w:r>
    </w:p>
    <w:p>
      <w:pPr>
        <w:pStyle w:val="null3"/>
        <w:outlineLvl w:val="2"/>
      </w:pPr>
      <w:r>
        <w:rPr>
          <w:sz w:val="28"/>
          <w:b/>
        </w:rPr>
        <w:t>二、项目名称：</w:t>
      </w:r>
      <w:r>
        <w:rPr>
          <w:sz w:val="28"/>
          <w:b/>
        </w:rPr>
        <w:t>昆明路快速路工程配套房屋征收项目（土门段）回迁安置工作</w:t>
      </w:r>
    </w:p>
    <w:p>
      <w:pPr>
        <w:pStyle w:val="null3"/>
        <w:outlineLvl w:val="2"/>
      </w:pPr>
      <w:r>
        <w:rPr>
          <w:sz w:val="28"/>
          <w:b/>
        </w:rPr>
        <w:t>三、磋商项目简介</w:t>
      </w:r>
    </w:p>
    <w:p>
      <w:pPr>
        <w:pStyle w:val="null3"/>
        <w:ind w:firstLine="480"/>
      </w:pPr>
      <w:r>
        <w:rPr/>
        <w:t>金光门西项目开始于2017年，为西安市昆明路快速路工程配套房屋征收项目土门段部分。前期征收工作已全部完成，目前有154户群众需要进行回迁安置。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采购包1（昆明路快速路工程配套房屋征收项目（土门段）回迁安置工作）：属于专门面向中小企业采购。</w:t>
      </w:r>
    </w:p>
    <w:p>
      <w:pPr>
        <w:pStyle w:val="null3"/>
        <w:ind w:firstLine="480"/>
      </w:pPr>
      <w:r>
        <w:rPr/>
        <w:t>（三）本项目的特定资格要求：</w:t>
      </w:r>
    </w:p>
    <w:p>
      <w:pPr>
        <w:pStyle w:val="null3"/>
      </w:pPr>
      <w:r>
        <w:rPr/>
        <w:t>采购包1：</w:t>
      </w:r>
    </w:p>
    <w:p>
      <w:pPr>
        <w:pStyle w:val="null3"/>
      </w:pPr>
      <w:r>
        <w:rPr/>
        <w:t>1、具有独立承担民事责任的能力：提供注册登记凭证（在中华人民共和国境内注册，并有效存续的营业执照/事业单位法 人证书/非企业专业服务机构执业许可证/民办非企业单位登记证书、税务 登证、组织机构代码证，或“三证合一”后的注册登记证）；</w:t>
      </w:r>
    </w:p>
    <w:p>
      <w:pPr>
        <w:pStyle w:val="null3"/>
      </w:pPr>
      <w:r>
        <w:rPr/>
        <w:t>2、法定代表人身份证明书或法定代表人授权委托书：法定代表人身份证明书（原件）或法定代表人授权委托书（原件， 法人委派授权人参加的需提供）；</w:t>
      </w:r>
    </w:p>
    <w:p>
      <w:pPr>
        <w:pStyle w:val="null3"/>
      </w:pPr>
      <w:r>
        <w:rPr/>
        <w:t>3、财务状况报告：提供2023年度的经审计的财务会计报告（成立时间至提交磋商响应文件截止时间不足一年的可提供成立后任意时段的资产负债表），或其基本存款账户开户银行出具的资信证明及基本存款账户开户许可证（基本账户信息表）；</w:t>
      </w:r>
    </w:p>
    <w:p>
      <w:pPr>
        <w:pStyle w:val="null3"/>
      </w:pPr>
      <w:r>
        <w:rPr/>
        <w:t>4、税收缴纳证明：具有依法缴纳税收的良好记录 提供缴费所属日期为2024年1月至今任意时段已缴纳的税收缴费凭据 或税务机关出具的完税证明/在法规范围内不需提供的应出具书面说明和证明文件；</w:t>
      </w:r>
    </w:p>
    <w:p>
      <w:pPr>
        <w:pStyle w:val="null3"/>
      </w:pPr>
      <w:r>
        <w:rPr/>
        <w:t>5、社会保障资金缴纳证明：具有依法缴纳社会保障资金的良好记录 提供缴费所属日期为2024年1月至今任意时段已缴 纳的社会保障资金缴费凭据或社保机关出具的缴费证明/在法规范围内不需提供的应出具书面说明和证明文件；</w:t>
      </w:r>
    </w:p>
    <w:p>
      <w:pPr>
        <w:pStyle w:val="null3"/>
      </w:pPr>
      <w:r>
        <w:rPr/>
        <w:t>6、设备和专业技术能力提供声明：具有履行合同所必需的设备和专业技术能力提供声明文件原件；</w:t>
      </w:r>
    </w:p>
    <w:p>
      <w:pPr>
        <w:pStyle w:val="null3"/>
      </w:pPr>
      <w:r>
        <w:rPr/>
        <w:t>7、无重大违法记录声明：参加本次政府采购活动前3年内在经营活动中没有重大违法记录书面声明；</w:t>
      </w:r>
    </w:p>
    <w:p>
      <w:pPr>
        <w:pStyle w:val="null3"/>
      </w:pPr>
      <w:r>
        <w:rPr/>
        <w:t>8、信誉截图：供应商在递交响应文件截止时间前被“信用中国”网站列入失信被执行人或税收违法黑名单的，或在中国政 府采购网（www.ccgp.gov.cn）列入政府采购严重违法失信行为记录名单的，不得参加投标；</w:t>
      </w:r>
    </w:p>
    <w:p>
      <w:pPr>
        <w:pStyle w:val="null3"/>
      </w:pPr>
      <w:r>
        <w:rPr/>
        <w:t>9、不接受联合体：本项目不接受联合体投标。</w:t>
      </w:r>
    </w:p>
    <w:p>
      <w:pPr>
        <w:pStyle w:val="null3"/>
      </w:pPr>
      <w:r>
        <w:rPr/>
        <w:t>10、中小企业声明函：本项目为专门面向中小企业采购项目须根据《政府采购促进中小企业发展管理办法》（财库 ﹝2020﹞46 号）的规定提供《中小企业声明函》；</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西安市莲湖区土门街道办事处</w:t>
      </w:r>
    </w:p>
    <w:p>
      <w:pPr>
        <w:pStyle w:val="null3"/>
      </w:pPr>
      <w:r>
        <w:rPr/>
        <w:t xml:space="preserve"> 地址： </w:t>
      </w:r>
      <w:r>
        <w:rPr/>
        <w:t>莲湖区丰镐西路12号</w:t>
      </w:r>
    </w:p>
    <w:p>
      <w:pPr>
        <w:pStyle w:val="null3"/>
      </w:pPr>
      <w:r>
        <w:rPr/>
        <w:t xml:space="preserve"> 邮编： </w:t>
      </w:r>
      <w:r>
        <w:rPr/>
        <w:t>710000</w:t>
      </w:r>
    </w:p>
    <w:p>
      <w:pPr>
        <w:pStyle w:val="null3"/>
      </w:pPr>
      <w:r>
        <w:rPr/>
        <w:t xml:space="preserve"> 联系人： </w:t>
      </w:r>
      <w:r>
        <w:rPr/>
        <w:t>郭行健</w:t>
      </w:r>
    </w:p>
    <w:p>
      <w:pPr>
        <w:pStyle w:val="null3"/>
      </w:pPr>
      <w:r>
        <w:rPr/>
        <w:t xml:space="preserve"> 联系电话： </w:t>
      </w:r>
      <w:r>
        <w:rPr/>
        <w:t>17300810338</w:t>
      </w:r>
    </w:p>
    <w:p>
      <w:pPr>
        <w:pStyle w:val="null3"/>
        <w:outlineLvl w:val="3"/>
      </w:pPr>
      <w:r>
        <w:rPr>
          <w:sz w:val="24"/>
          <w:b/>
        </w:rPr>
        <w:t>代理机构：</w:t>
      </w:r>
      <w:r>
        <w:rPr>
          <w:sz w:val="24"/>
          <w:b/>
        </w:rPr>
        <w:t>陕西浩优项目管理有限公司</w:t>
      </w:r>
    </w:p>
    <w:p>
      <w:pPr>
        <w:pStyle w:val="null3"/>
      </w:pPr>
      <w:r>
        <w:rPr/>
        <w:t xml:space="preserve"> 地址： </w:t>
      </w:r>
      <w:r>
        <w:rPr/>
        <w:t>陕西省西安市曲江新区商通大道6号智慧大厦一幢203室</w:t>
      </w:r>
    </w:p>
    <w:p>
      <w:pPr>
        <w:pStyle w:val="null3"/>
      </w:pPr>
      <w:r>
        <w:rPr/>
        <w:t xml:space="preserve"> 邮编： </w:t>
      </w:r>
      <w:r>
        <w:rPr/>
        <w:t>710000</w:t>
      </w:r>
    </w:p>
    <w:p>
      <w:pPr>
        <w:pStyle w:val="null3"/>
      </w:pPr>
      <w:r>
        <w:rPr/>
        <w:t xml:space="preserve"> 联系人： </w:t>
      </w:r>
      <w:r>
        <w:rPr/>
        <w:t>李金娥</w:t>
      </w:r>
    </w:p>
    <w:p>
      <w:pPr>
        <w:pStyle w:val="null3"/>
      </w:pPr>
      <w:r>
        <w:rPr/>
        <w:t xml:space="preserve"> 联系电话： </w:t>
      </w:r>
      <w:r>
        <w:rPr/>
        <w:t>029-89553153</w:t>
      </w:r>
    </w:p>
    <w:p>
      <w:pPr>
        <w:pStyle w:val="null3"/>
        <w:outlineLvl w:val="3"/>
      </w:pPr>
      <w:r>
        <w:rPr>
          <w:sz w:val="24"/>
          <w:b/>
        </w:rPr>
        <w:t>采购监督机构：</w:t>
      </w:r>
      <w:r>
        <w:rPr>
          <w:sz w:val="24"/>
          <w:b/>
        </w:rPr>
        <w:t>西安市莲湖区政府采购管理股</w:t>
      </w:r>
    </w:p>
    <w:p>
      <w:pPr>
        <w:pStyle w:val="null3"/>
        <w:ind w:firstLine="480"/>
      </w:pPr>
      <w:r>
        <w:rPr/>
        <w:t>联系人：</w:t>
      </w:r>
      <w:r>
        <w:rPr/>
        <w:t>高莎莎</w:t>
      </w:r>
    </w:p>
    <w:p>
      <w:pPr>
        <w:pStyle w:val="null3"/>
        <w:ind w:firstLine="480"/>
      </w:pPr>
      <w:r>
        <w:rPr/>
        <w:t>联系电话：</w:t>
      </w:r>
      <w:r>
        <w:rPr/>
        <w:t>87614013</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采购包1：1,980,000.00元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招标代理服务费收取参考国家计委颁布的《招标代理服务收费管理暂行办法》（计价格[2002]1980号）和（发改办价格[2003]857号）文收费标准计取，此服务费应计入磋商报价中，但不需要单独开列。 2.采购代理服务费收取： 户 名：陕西浩优项目管理有限公司 开户银行：中国建设银行股份有限公司西安曲江支行 账 号：6105 0191 0004 0000 4479</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西安市莲湖区土门街道办事处</w:t>
      </w:r>
      <w:r>
        <w:rPr/>
        <w:t>和</w:t>
      </w:r>
      <w:r>
        <w:rPr/>
        <w:t>陕西浩优项目管理有限公司</w:t>
      </w:r>
      <w:r>
        <w:rPr/>
        <w:t>享有。对磋商文件中供应商参加本次政府采购活动应当具备的条件，磋商项目技术、服务、商务及其他要求，评审细则及标准由</w:t>
      </w:r>
      <w:r>
        <w:rPr/>
        <w:t>西安市莲湖区土门街道办事处</w:t>
      </w:r>
      <w:r>
        <w:rPr/>
        <w:t>负责解释。除上述磋商文件内容，其他内容由</w:t>
      </w:r>
      <w:r>
        <w:rPr/>
        <w:t>陕西浩优项目管理有限公司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西安市莲湖区土门街道办事处</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陕西浩优项目管理有限公司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根据磋商文件、响应文件及合同约定执行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陕西浩优项目管理有限公司</w:t>
      </w:r>
      <w:r>
        <w:rPr/>
        <w:t xml:space="preserve"> 负责答复；供应商对除采购需求外的采购文件的询问、质疑由</w:t>
      </w:r>
      <w:r>
        <w:rPr/>
        <w:t>陕西浩优项目管理有限公司</w:t>
      </w:r>
      <w:r>
        <w:rPr/>
        <w:t xml:space="preserve"> 负责答复；供应商对采购过程、采购结果的询问、质疑由 </w:t>
      </w:r>
      <w:r>
        <w:rPr/>
        <w:t>陕西浩优项目管理有限公司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联系人：李金娥</w:t>
      </w:r>
    </w:p>
    <w:p>
      <w:pPr>
        <w:pStyle w:val="null3"/>
      </w:pPr>
      <w:r>
        <w:rPr/>
        <w:t>联系电话：029-89553153</w:t>
      </w:r>
    </w:p>
    <w:p>
      <w:pPr>
        <w:pStyle w:val="null3"/>
      </w:pPr>
      <w:r>
        <w:rPr/>
        <w:t>地址：陕西省西安市曲江新区商通大道6号智慧大厦一幢203室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金光门西项目开始于2017年，为西安市昆明路快速路工程配套房屋征收项目土门段部分。前期征收工作已全部完成，目前有154户群众需要进行回迁安置。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1,980,000.00</w:t>
      </w:r>
    </w:p>
    <w:p>
      <w:pPr>
        <w:pStyle w:val="null3"/>
      </w:pPr>
      <w:r>
        <w:rPr/>
        <w:t>采购包最高限价（元）: 1,980,000.00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昆明路快速路工程配套房屋征收项目（土门段）回迁安置工作</w:t>
            </w:r>
          </w:p>
        </w:tc>
        <w:tc>
          <w:tcPr>
            <w:tcW w:type="dxa" w:w="831"/>
          </w:tcPr>
          <w:p>
            <w:pPr>
              <w:pStyle w:val="null3"/>
              <w:jc w:val="right"/>
            </w:pPr>
            <w:r>
              <w:rPr/>
              <w:t>1.00</w:t>
            </w:r>
          </w:p>
        </w:tc>
        <w:tc>
          <w:tcPr>
            <w:tcW w:type="dxa" w:w="831"/>
          </w:tcPr>
          <w:p>
            <w:pPr>
              <w:pStyle w:val="null3"/>
              <w:jc w:val="right"/>
            </w:pPr>
            <w:r>
              <w:rPr/>
              <w:t>1,980,000.00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标的名称：昆明路快速路工程配套房屋征收项目（土门段）回迁安置工作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simsun" w:hAnsi="simsun" w:cs="simsun" w:eastAsia="simsun"/>
                <w:sz w:val="21"/>
                <w:b/>
              </w:rPr>
              <w:t>一、项目概况</w:t>
            </w:r>
          </w:p>
          <w:p>
            <w:pPr>
              <w:pStyle w:val="null3"/>
              <w:ind w:firstLine="640"/>
              <w:jc w:val="both"/>
            </w:pPr>
            <w:r>
              <w:rPr>
                <w:rFonts w:ascii="simsun" w:hAnsi="simsun" w:cs="simsun" w:eastAsia="simsun"/>
                <w:sz w:val="21"/>
              </w:rPr>
              <w:t>金光门西项目开始于2017年，为西安市昆明路快速路工程配套房屋征收项目土门段部分。前期征收工作已全部完成，目前有154户群众需要进行回迁安置。</w:t>
            </w:r>
          </w:p>
          <w:p>
            <w:pPr>
              <w:pStyle w:val="null3"/>
              <w:jc w:val="both"/>
            </w:pPr>
            <w:r>
              <w:rPr>
                <w:rFonts w:ascii="simsun" w:hAnsi="simsun" w:cs="simsun" w:eastAsia="simsun"/>
                <w:sz w:val="21"/>
                <w:b/>
              </w:rPr>
              <w:t>二、服务内容</w:t>
            </w:r>
          </w:p>
          <w:p>
            <w:pPr>
              <w:pStyle w:val="null3"/>
              <w:ind w:firstLine="640"/>
              <w:jc w:val="both"/>
            </w:pPr>
            <w:r>
              <w:rPr>
                <w:rFonts w:ascii="simsun" w:hAnsi="simsun" w:cs="simsun" w:eastAsia="simsun"/>
                <w:sz w:val="21"/>
              </w:rPr>
              <w:t>因金光门西项目原有安置地点不能满足现有安置需要，莲湖区住建局提供部分房源用于完成金光门西项目回迁安置工作。</w:t>
            </w:r>
          </w:p>
          <w:p>
            <w:pPr>
              <w:pStyle w:val="null3"/>
              <w:ind w:firstLine="640"/>
              <w:jc w:val="both"/>
            </w:pPr>
            <w:r>
              <w:rPr>
                <w:rFonts w:ascii="simsun" w:hAnsi="simsun" w:cs="simsun" w:eastAsia="simsun"/>
                <w:sz w:val="21"/>
              </w:rPr>
              <w:t>具体工作内容：与选择实物安置的154户被征收人沟通对接，引导被征收人选择新的安置地点进行安置，并完成选房工作。</w:t>
            </w:r>
          </w:p>
          <w:p>
            <w:pPr>
              <w:pStyle w:val="null3"/>
              <w:jc w:val="both"/>
            </w:pPr>
            <w:r>
              <w:rPr>
                <w:rFonts w:ascii="simsun" w:hAnsi="simsun" w:cs="simsun" w:eastAsia="simsun"/>
                <w:sz w:val="21"/>
                <w:b/>
              </w:rPr>
              <w:t>三、服务要求</w:t>
            </w:r>
          </w:p>
          <w:p>
            <w:pPr>
              <w:pStyle w:val="null3"/>
              <w:ind w:firstLine="640"/>
              <w:jc w:val="both"/>
            </w:pPr>
            <w:r>
              <w:rPr>
                <w:rFonts w:ascii="simsun" w:hAnsi="simsun" w:cs="simsun" w:eastAsia="simsun"/>
                <w:sz w:val="21"/>
              </w:rPr>
              <w:t>(1) 定点宣传:由甲方提供办公场所，乙方需在选房场地布置宣传(广告展板、横幅等)。</w:t>
            </w:r>
          </w:p>
          <w:p>
            <w:pPr>
              <w:pStyle w:val="null3"/>
              <w:ind w:firstLine="640"/>
              <w:jc w:val="both"/>
            </w:pPr>
            <w:r>
              <w:rPr>
                <w:rFonts w:ascii="simsun" w:hAnsi="simsun" w:cs="simsun" w:eastAsia="simsun"/>
                <w:sz w:val="21"/>
              </w:rPr>
              <w:t>(2) 选房策划组织并实施: 制定选房方案、策划、组织并现场具体实施。自行购买选房现场办公家具及办公用品、选房现场内外规划布置、人员组织安排、现场秩序、现场影像及档案资料，选房现场工作人员餐饮安排等。</w:t>
            </w:r>
          </w:p>
          <w:p>
            <w:pPr>
              <w:pStyle w:val="null3"/>
              <w:ind w:firstLine="640"/>
              <w:jc w:val="both"/>
            </w:pPr>
            <w:r>
              <w:rPr>
                <w:rFonts w:ascii="simsun" w:hAnsi="simsun" w:cs="simsun" w:eastAsia="simsun"/>
                <w:sz w:val="21"/>
              </w:rPr>
              <w:t>(3)做好消防、安保及秩序维持工作，做好各项应急工作。</w:t>
            </w:r>
          </w:p>
          <w:p>
            <w:pPr>
              <w:pStyle w:val="null3"/>
              <w:ind w:firstLine="640"/>
              <w:jc w:val="both"/>
            </w:pPr>
            <w:r>
              <w:rPr>
                <w:rFonts w:ascii="simsun" w:hAnsi="simsun" w:cs="simsun" w:eastAsia="simsun"/>
                <w:sz w:val="21"/>
              </w:rPr>
              <w:t>(4)完成甲方临时交办的其他相关事务，保障回迁安置选房活动顺利进行。</w:t>
            </w:r>
          </w:p>
          <w:p>
            <w:pPr>
              <w:pStyle w:val="null3"/>
              <w:jc w:val="both"/>
            </w:pPr>
            <w:r>
              <w:rPr>
                <w:rFonts w:ascii="simsun" w:hAnsi="simsun" w:cs="simsun" w:eastAsia="simsun"/>
                <w:sz w:val="21"/>
                <w:b/>
              </w:rPr>
              <w:t>四、商务要求</w:t>
            </w:r>
          </w:p>
          <w:p>
            <w:pPr>
              <w:pStyle w:val="null3"/>
              <w:ind w:firstLine="640"/>
              <w:jc w:val="both"/>
            </w:pPr>
            <w:r>
              <w:rPr>
                <w:rFonts w:ascii="simsun" w:hAnsi="simsun" w:cs="simsun" w:eastAsia="simsun"/>
                <w:sz w:val="21"/>
              </w:rPr>
              <w:t>（一）服务期限</w:t>
            </w:r>
          </w:p>
          <w:p>
            <w:pPr>
              <w:pStyle w:val="null3"/>
              <w:ind w:firstLine="640"/>
              <w:jc w:val="both"/>
            </w:pPr>
            <w:r>
              <w:rPr>
                <w:rFonts w:ascii="simsun" w:hAnsi="simsun" w:cs="simsun" w:eastAsia="simsun"/>
                <w:sz w:val="21"/>
              </w:rPr>
              <w:t>自合同签订之日起三个月内完成任务。</w:t>
            </w:r>
          </w:p>
          <w:p>
            <w:pPr>
              <w:pStyle w:val="null3"/>
              <w:ind w:firstLine="640"/>
              <w:jc w:val="both"/>
            </w:pPr>
            <w:r>
              <w:rPr>
                <w:rFonts w:ascii="simsun" w:hAnsi="simsun" w:cs="simsun" w:eastAsia="simsun"/>
                <w:sz w:val="21"/>
              </w:rPr>
              <w:t>（二）款项结算</w:t>
            </w:r>
          </w:p>
          <w:p>
            <w:pPr>
              <w:pStyle w:val="null3"/>
              <w:ind w:firstLine="640"/>
              <w:jc w:val="both"/>
            </w:pPr>
            <w:r>
              <w:rPr>
                <w:rFonts w:ascii="simsun" w:hAnsi="simsun" w:cs="simsun" w:eastAsia="simsun"/>
                <w:sz w:val="21"/>
              </w:rPr>
              <w:t>1.如在规定时间内未完成回迁安置工作，合同费用据实结算。</w:t>
            </w:r>
          </w:p>
          <w:p>
            <w:pPr>
              <w:pStyle w:val="null3"/>
              <w:jc w:val="both"/>
            </w:pPr>
            <w:r>
              <w:rPr>
                <w:rFonts w:ascii="simsun" w:hAnsi="simsun" w:cs="simsun" w:eastAsia="simsun"/>
                <w:sz w:val="21"/>
                <w:b/>
              </w:rPr>
              <w:t>五、其他</w:t>
            </w:r>
          </w:p>
          <w:p>
            <w:pPr>
              <w:pStyle w:val="null3"/>
              <w:ind w:firstLine="640"/>
              <w:jc w:val="both"/>
            </w:pPr>
            <w:r>
              <w:rPr>
                <w:rFonts w:ascii="simsun" w:hAnsi="simsun" w:cs="simsun" w:eastAsia="simsun"/>
                <w:sz w:val="21"/>
              </w:rPr>
              <w:t>（一）对服务商的业绩要求</w:t>
            </w:r>
          </w:p>
          <w:p>
            <w:pPr>
              <w:pStyle w:val="null3"/>
              <w:ind w:firstLine="640"/>
              <w:jc w:val="both"/>
            </w:pPr>
            <w:r>
              <w:rPr>
                <w:rFonts w:ascii="simsun" w:hAnsi="simsun" w:cs="simsun" w:eastAsia="simsun"/>
                <w:sz w:val="21"/>
              </w:rPr>
              <w:t>近三年内有类似项目业绩。</w:t>
            </w:r>
          </w:p>
          <w:p>
            <w:pPr>
              <w:pStyle w:val="null3"/>
              <w:ind w:firstLine="640"/>
              <w:jc w:val="both"/>
            </w:pPr>
            <w:r>
              <w:rPr>
                <w:rFonts w:ascii="simsun" w:hAnsi="simsun" w:cs="simsun" w:eastAsia="simsun"/>
                <w:sz w:val="21"/>
              </w:rPr>
              <w:t>（二）进度要求</w:t>
            </w:r>
          </w:p>
          <w:p>
            <w:pPr>
              <w:pStyle w:val="null3"/>
              <w:ind w:firstLine="640"/>
              <w:jc w:val="both"/>
            </w:pPr>
            <w:r>
              <w:rPr>
                <w:rFonts w:ascii="simsun" w:hAnsi="simsun" w:cs="simsun" w:eastAsia="simsun"/>
                <w:sz w:val="21"/>
              </w:rPr>
              <w:t>合同签订后三个月内完成工作。</w:t>
            </w:r>
          </w:p>
          <w:p>
            <w:pPr>
              <w:pStyle w:val="null3"/>
              <w:ind w:firstLine="640"/>
              <w:jc w:val="both"/>
            </w:pPr>
            <w:r>
              <w:rPr>
                <w:rFonts w:ascii="simsun" w:hAnsi="simsun" w:cs="simsun" w:eastAsia="simsun"/>
                <w:sz w:val="21"/>
              </w:rPr>
              <w:t>（三）成果交付要求</w:t>
            </w:r>
          </w:p>
          <w:p>
            <w:pPr>
              <w:pStyle w:val="null3"/>
              <w:ind w:firstLine="640"/>
              <w:jc w:val="both"/>
            </w:pPr>
            <w:r>
              <w:rPr>
                <w:rFonts w:ascii="simsun" w:hAnsi="simsun" w:cs="simsun" w:eastAsia="simsun"/>
                <w:sz w:val="21"/>
              </w:rPr>
              <w:t>1.154户被征收人完场选房安置。</w:t>
            </w:r>
          </w:p>
          <w:p>
            <w:pPr>
              <w:pStyle w:val="null3"/>
              <w:ind w:firstLine="640"/>
              <w:jc w:val="both"/>
            </w:pPr>
            <w:r>
              <w:rPr>
                <w:rFonts w:ascii="simsun" w:hAnsi="simsun" w:cs="simsun" w:eastAsia="simsun"/>
                <w:sz w:val="21"/>
              </w:rPr>
              <w:t>2.移交相关合同资料。</w:t>
            </w:r>
          </w:p>
          <w:p>
            <w:pPr>
              <w:pStyle w:val="null3"/>
              <w:ind w:firstLine="640"/>
              <w:jc w:val="both"/>
            </w:pPr>
            <w:r>
              <w:rPr>
                <w:rFonts w:ascii="simsun" w:hAnsi="simsun" w:cs="simsun" w:eastAsia="simsun"/>
                <w:sz w:val="21"/>
              </w:rPr>
              <w:t>（四）违约责任</w:t>
            </w:r>
          </w:p>
          <w:p>
            <w:pPr>
              <w:pStyle w:val="null3"/>
              <w:ind w:firstLine="640"/>
              <w:jc w:val="both"/>
            </w:pPr>
            <w:r>
              <w:rPr>
                <w:rFonts w:ascii="simsun" w:hAnsi="simsun" w:cs="simsun" w:eastAsia="simsun"/>
                <w:sz w:val="21"/>
              </w:rPr>
              <w:t>以合同为准。</w:t>
            </w:r>
          </w:p>
        </w:tc>
      </w:tr>
    </w:tbl>
    <w:p>
      <w:pPr>
        <w:pStyle w:val="null3"/>
        <w:outlineLvl w:val="2"/>
      </w:pPr>
      <w:r>
        <w:rPr>
          <w:sz w:val="28"/>
          <w:b/>
        </w:rPr>
        <w:t>3.2.3人员配置要求</w:t>
      </w:r>
    </w:p>
    <w:p>
      <w:pPr>
        <w:pStyle w:val="null3"/>
      </w:pPr>
      <w:r>
        <w:rPr/>
        <w:t>采购包1：</w:t>
      </w:r>
    </w:p>
    <w:p>
      <w:pPr>
        <w:pStyle w:val="null3"/>
      </w:pPr>
      <w:r>
        <w:rPr/>
        <w:t>详见磋商文件相关内容</w:t>
      </w:r>
    </w:p>
    <w:p>
      <w:pPr>
        <w:pStyle w:val="null3"/>
        <w:outlineLvl w:val="2"/>
      </w:pPr>
      <w:r>
        <w:rPr>
          <w:sz w:val="28"/>
          <w:b/>
        </w:rPr>
        <w:t>3.2.4设施设备要求</w:t>
      </w:r>
    </w:p>
    <w:p>
      <w:pPr>
        <w:pStyle w:val="null3"/>
      </w:pPr>
      <w:r>
        <w:rPr/>
        <w:t>采购包1：</w:t>
      </w:r>
    </w:p>
    <w:p>
      <w:pPr>
        <w:pStyle w:val="null3"/>
      </w:pPr>
      <w:r>
        <w:rPr/>
        <w:t>详见磋商文件相关内容</w:t>
      </w:r>
    </w:p>
    <w:p>
      <w:pPr>
        <w:pStyle w:val="null3"/>
        <w:outlineLvl w:val="2"/>
      </w:pPr>
      <w:r>
        <w:rPr>
          <w:sz w:val="28"/>
          <w:b/>
        </w:rPr>
        <w:t>3.2.5其他要求</w:t>
      </w:r>
    </w:p>
    <w:p>
      <w:pPr>
        <w:pStyle w:val="null3"/>
      </w:pPr>
      <w:r>
        <w:rPr/>
        <w:t>采购包1：</w:t>
      </w:r>
    </w:p>
    <w:p>
      <w:pPr>
        <w:pStyle w:val="null3"/>
      </w:pPr>
      <w:r>
        <w:rPr/>
        <w:t>详见磋商文件相关内容</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自合同签订之日起三个月内完成任务。</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符合国家及行业质量验收合格标准</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项目启动资金，合同签订后</w:t>
      </w:r>
      <w:r>
        <w:rPr/>
        <w:t xml:space="preserve"> ，达到付款条件起 </w:t>
      </w:r>
      <w:r>
        <w:rPr/>
        <w:t>5</w:t>
      </w:r>
      <w:r>
        <w:rPr/>
        <w:t xml:space="preserve"> 日内，支付合同总金额的 </w:t>
      </w:r>
      <w:r>
        <w:rPr/>
        <w:t>20.00</w:t>
      </w:r>
      <w:r>
        <w:rPr/>
        <w:t>%。</w:t>
      </w:r>
    </w:p>
    <w:p>
      <w:pPr>
        <w:pStyle w:val="null3"/>
      </w:pPr>
      <w:r>
        <w:rPr/>
        <w:t>采购包1：</w:t>
      </w:r>
      <w:r>
        <w:rPr/>
        <w:t xml:space="preserve"> 付款条件说明： </w:t>
      </w:r>
      <w:r>
        <w:rPr/>
        <w:t>后续以完成回迁情况作为金额支付的评判标准</w:t>
      </w:r>
      <w:r>
        <w:rPr/>
        <w:t xml:space="preserve"> ，达到付款条件起 </w:t>
      </w:r>
      <w:r>
        <w:rPr/>
        <w:t>7</w:t>
      </w:r>
      <w:r>
        <w:rPr/>
        <w:t xml:space="preserve"> 日内，支付合同总金额的 </w:t>
      </w:r>
      <w:r>
        <w:rPr/>
        <w:t>80.00</w:t>
      </w:r>
      <w:r>
        <w:rPr/>
        <w:t>%。</w:t>
      </w:r>
    </w:p>
    <w:p>
      <w:pPr>
        <w:pStyle w:val="null3"/>
        <w:outlineLvl w:val="3"/>
      </w:pPr>
      <w:r>
        <w:rPr>
          <w:sz w:val="24"/>
          <w:b/>
        </w:rPr>
        <w:t>3.3.6违约责任及解决争议的方法</w:t>
      </w:r>
    </w:p>
    <w:p>
      <w:pPr>
        <w:pStyle w:val="null3"/>
      </w:pPr>
      <w:r>
        <w:rPr/>
        <w:t>采购包1：</w:t>
      </w:r>
    </w:p>
    <w:p>
      <w:pPr>
        <w:pStyle w:val="null3"/>
      </w:pPr>
      <w:r>
        <w:rPr/>
        <w:t>根据磋商文件、响应文件及合同约定执行</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提供注册登记凭证（在中华人民共和国境内注册，并有效存续的营业执照/事业单位法 人证书/非企业专业服务机构执业许可证/民办非企业单位登记证书、税务 登证、组织机构代码证，或“三证合一”后的注册登记证）；</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法定代表人身份证明书或法定代表人授权委托书</w:t>
            </w:r>
          </w:p>
        </w:tc>
        <w:tc>
          <w:tcPr>
            <w:tcW w:type="dxa" w:w="3322"/>
          </w:tcPr>
          <w:p>
            <w:pPr>
              <w:pStyle w:val="null3"/>
            </w:pPr>
            <w:r>
              <w:rPr/>
              <w:t>法定代表人身份证明书（原件）或法定代表人授权委托书（原件， 法人委派授权人参加的需提供）；</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2023年度的经审计的财务会计报告（成立时间至提交磋商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具有依法缴纳税收的良好记录 提供缴费所属日期为2024年1月至今任意时段已缴纳的税收缴费凭据 或税务机关出具的完税证明/在法规范围内不需提供的应出具书面说明和证明文件；</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具有依法缴纳社会保障资金的良好记录 提供缴费所属日期为2024年1月至今任意时段已缴 纳的社会保障资金缴费凭据或社保机关出具的缴费证明/在法规范围内不需提供的应出具书面说明和证明文件；</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设备和专业技术能力提供声明</w:t>
            </w:r>
          </w:p>
        </w:tc>
        <w:tc>
          <w:tcPr>
            <w:tcW w:type="dxa" w:w="3322"/>
          </w:tcPr>
          <w:p>
            <w:pPr>
              <w:pStyle w:val="null3"/>
            </w:pPr>
            <w:r>
              <w:rPr/>
              <w:t>具有履行合同所必需的设备和专业技术能力提供声明文件原件；</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无重大违法记录声明</w:t>
            </w:r>
          </w:p>
        </w:tc>
        <w:tc>
          <w:tcPr>
            <w:tcW w:type="dxa" w:w="3322"/>
          </w:tcPr>
          <w:p>
            <w:pPr>
              <w:pStyle w:val="null3"/>
            </w:pPr>
            <w:r>
              <w:rPr/>
              <w:t>参加本次政府采购活动前3年内在经营活动中没有重大违法记录书面声明；</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信誉截图</w:t>
            </w:r>
          </w:p>
        </w:tc>
        <w:tc>
          <w:tcPr>
            <w:tcW w:type="dxa" w:w="3322"/>
          </w:tcPr>
          <w:p>
            <w:pPr>
              <w:pStyle w:val="null3"/>
            </w:pPr>
            <w:r>
              <w:rPr/>
              <w:t>供应商在递交响应文件截止时间前被“信用中国”网站列入失信被执行人或税收违法黑名单的，或在中国政 府采购网（www.ccgp.gov.cn）列入政府采购严重违法失信行为记录名单的，不得参加投标；</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不接受联合体</w:t>
            </w:r>
          </w:p>
        </w:tc>
        <w:tc>
          <w:tcPr>
            <w:tcW w:type="dxa" w:w="3322"/>
          </w:tcPr>
          <w:p>
            <w:pPr>
              <w:pStyle w:val="null3"/>
            </w:pPr>
            <w:r>
              <w:rPr/>
              <w:t>本项目不接受联合体投标。</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中小企业声明函</w:t>
            </w:r>
          </w:p>
        </w:tc>
        <w:tc>
          <w:tcPr>
            <w:tcW w:type="dxa" w:w="3322"/>
          </w:tcPr>
          <w:p>
            <w:pPr>
              <w:pStyle w:val="null3"/>
            </w:pPr>
            <w:r>
              <w:rPr/>
              <w:t>本项目为专门面向中小企业采购项目须根据《政府采购促进中小企业发展管理办法》（财库 ﹝2020﹞46 号）的规定提供《中小企业声明函》；</w:t>
            </w:r>
          </w:p>
        </w:tc>
        <w:tc>
          <w:tcPr>
            <w:tcW w:type="dxa" w:w="1661"/>
          </w:tcPr>
          <w:p>
            <w:pPr>
              <w:pStyle w:val="null3"/>
            </w:pPr>
            <w:r>
              <w:rPr/>
              <w:t>中小企业声明函 残疾人福利性单位声明函 供应商应提交的相关资格证明材料 监狱企业的证明文件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有效性审查</w:t>
            </w:r>
          </w:p>
        </w:tc>
        <w:tc>
          <w:tcPr>
            <w:tcW w:type="dxa" w:w="3322"/>
          </w:tcPr>
          <w:p>
            <w:pPr>
              <w:pStyle w:val="null3"/>
            </w:pPr>
            <w:r>
              <w:rPr/>
              <w:t>（1）响应文件的签字、盖章：响应文件上法定 代表人或其委托代理人的签字盖章齐全 ；（2） 响应文件格式：应符合响应文件 要求； （3） 报价唯一：只能有一个有效报价， 不得提交选 择性报价，且报价不超过采购预算。</w:t>
            </w:r>
          </w:p>
        </w:tc>
        <w:tc>
          <w:tcPr>
            <w:tcW w:type="dxa" w:w="1661"/>
          </w:tcPr>
          <w:p>
            <w:pPr>
              <w:pStyle w:val="null3"/>
            </w:pPr>
            <w:r>
              <w:rPr/>
              <w:t>响应文件封面 标的清单 报价表 响应函</w:t>
            </w:r>
          </w:p>
        </w:tc>
      </w:tr>
      <w:tr>
        <w:tc>
          <w:tcPr>
            <w:tcW w:type="dxa" w:w="831"/>
          </w:tcPr>
          <w:p>
            <w:pPr>
              <w:pStyle w:val="null3"/>
            </w:pPr>
            <w:r>
              <w:rPr/>
              <w:t>3</w:t>
            </w:r>
          </w:p>
        </w:tc>
        <w:tc>
          <w:tcPr>
            <w:tcW w:type="dxa" w:w="2492"/>
          </w:tcPr>
          <w:p>
            <w:pPr>
              <w:pStyle w:val="null3"/>
            </w:pPr>
            <w:r>
              <w:rPr/>
              <w:t>完整性审查</w:t>
            </w:r>
          </w:p>
        </w:tc>
        <w:tc>
          <w:tcPr>
            <w:tcW w:type="dxa" w:w="3322"/>
          </w:tcPr>
          <w:p>
            <w:pPr>
              <w:pStyle w:val="null3"/>
            </w:pPr>
            <w:r>
              <w:rPr/>
              <w:t>响应文件内容：响应文件内容齐全、无遗漏。</w:t>
            </w:r>
          </w:p>
        </w:tc>
        <w:tc>
          <w:tcPr>
            <w:tcW w:type="dxa" w:w="1661"/>
          </w:tcPr>
          <w:p>
            <w:pPr>
              <w:pStyle w:val="null3"/>
            </w:pPr>
            <w:r>
              <w:rPr/>
              <w:t>响应文件封面 供应商认为需要提交的其他资料 服务内容及服务邀请应答表 商务应答表 标的清单 报价表</w:t>
            </w:r>
          </w:p>
        </w:tc>
      </w:tr>
      <w:tr>
        <w:tc>
          <w:tcPr>
            <w:tcW w:type="dxa" w:w="831"/>
          </w:tcPr>
          <w:p>
            <w:pPr>
              <w:pStyle w:val="null3"/>
            </w:pPr>
            <w:r>
              <w:rPr/>
              <w:t>4</w:t>
            </w:r>
          </w:p>
        </w:tc>
        <w:tc>
          <w:tcPr>
            <w:tcW w:type="dxa" w:w="2492"/>
          </w:tcPr>
          <w:p>
            <w:pPr>
              <w:pStyle w:val="null3"/>
            </w:pPr>
            <w:r>
              <w:rPr/>
              <w:t>响应性审查</w:t>
            </w:r>
          </w:p>
        </w:tc>
        <w:tc>
          <w:tcPr>
            <w:tcW w:type="dxa" w:w="3322"/>
          </w:tcPr>
          <w:p>
            <w:pPr>
              <w:pStyle w:val="null3"/>
            </w:pPr>
            <w:r>
              <w:rPr/>
              <w:t>（1）对磋商文件响应程度：要求全面响应，不 能有任何采购人不能接受的附加条件；（2）拟 提供服务响应程度；应满足磋商文件提出的技 术和服务要求。（3）服务期限：满足磋商文件 中的规定；（4）服务地点：满足磋商文件中的 规定；（5）响应有效期：满足磋商文件中的规 定。</w:t>
            </w:r>
          </w:p>
        </w:tc>
        <w:tc>
          <w:tcPr>
            <w:tcW w:type="dxa" w:w="1661"/>
          </w:tcPr>
          <w:p>
            <w:pPr>
              <w:pStyle w:val="null3"/>
            </w:pPr>
            <w:r>
              <w:rPr/>
              <w:t>响应文件封面 服务内容及服务邀请应答表 商务应答表 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定点宣传方案,方案的可操作性</w:t>
            </w:r>
          </w:p>
        </w:tc>
        <w:tc>
          <w:tcPr>
            <w:tcW w:type="dxa" w:w="2492"/>
          </w:tcPr>
          <w:p>
            <w:pPr>
              <w:pStyle w:val="null3"/>
            </w:pPr>
            <w:r>
              <w:rPr/>
              <w:t>定点宣传方案,方案的可操作性：根据内容完整，描述清晰，且能针对性满足项目得（3-6]分；内容较完整，描述简单，可行性一般，基本满足项目得（0-3]分。未提供不得分。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回迁选房方案策划，流程规划</w:t>
            </w:r>
          </w:p>
        </w:tc>
        <w:tc>
          <w:tcPr>
            <w:tcW w:type="dxa" w:w="2492"/>
          </w:tcPr>
          <w:p>
            <w:pPr>
              <w:pStyle w:val="null3"/>
            </w:pPr>
            <w:r>
              <w:rPr/>
              <w:t>回迁选房方案策划，流程规划：根据内容完整，描述清晰，且能针对性满足项目得（6-9]分；内容较完整，描述简单，可行性一般，基本满足项目得（3-6]分；内容笼统，描述简单，可行性不强得（0-3]分。未提供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特殊情况、突发情况的应急保障措施</w:t>
            </w:r>
          </w:p>
        </w:tc>
        <w:tc>
          <w:tcPr>
            <w:tcW w:type="dxa" w:w="2492"/>
          </w:tcPr>
          <w:p>
            <w:pPr>
              <w:pStyle w:val="null3"/>
            </w:pPr>
            <w:r>
              <w:rPr/>
              <w:t>特殊情况、突发情况的应急保障措施：根据内容完整，描述清晰，且能针对性满足项目得（4-6]分；内容较完整，描述简单，可行性一般，基本满足项目得（2-4]分；内容笼统，描述简单，可行性不强得（0-2]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服务进度保证措施</w:t>
            </w:r>
          </w:p>
        </w:tc>
        <w:tc>
          <w:tcPr>
            <w:tcW w:type="dxa" w:w="2492"/>
          </w:tcPr>
          <w:p>
            <w:pPr>
              <w:pStyle w:val="null3"/>
            </w:pPr>
            <w:r>
              <w:rPr/>
              <w:t>服务进度保证措施：根据内容完整，描述清晰，且能针对性满足项目得（3-6]分；内容笼统，描述简单，可行性不强得（0-3]分。未提供不得分。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提供针对本项目的预期效果方案及未达到预期效果的解决措施</w:t>
            </w:r>
          </w:p>
        </w:tc>
        <w:tc>
          <w:tcPr>
            <w:tcW w:type="dxa" w:w="2492"/>
          </w:tcPr>
          <w:p>
            <w:pPr>
              <w:pStyle w:val="null3"/>
            </w:pPr>
            <w:r>
              <w:rPr/>
              <w:t>提供针对本项目的预期效果方案及未达到预期效果的解决措施：根据内容完整，描述清晰，且能针对性满足项目得（2.5-5]分；内容笼统，描述简单，可行性不强得（0-2.5]分。未提供不得分。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分房现场规划布置、现场组织方案</w:t>
            </w:r>
          </w:p>
        </w:tc>
        <w:tc>
          <w:tcPr>
            <w:tcW w:type="dxa" w:w="2492"/>
          </w:tcPr>
          <w:p>
            <w:pPr>
              <w:pStyle w:val="null3"/>
            </w:pPr>
            <w:r>
              <w:rPr/>
              <w:t>分房现场规划布置、现场组织方案：根据内容完整，描述清晰，且能针对性满足项目得（6-9]分；内容较完整，描述简单，可行性一般，基本满足项目得（3-6]分；内容笼统，描述简单，可行性不强得（0-3]分。未提供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物料及现场保障措施</w:t>
            </w:r>
          </w:p>
        </w:tc>
        <w:tc>
          <w:tcPr>
            <w:tcW w:type="dxa" w:w="2492"/>
          </w:tcPr>
          <w:p>
            <w:pPr>
              <w:pStyle w:val="null3"/>
            </w:pPr>
            <w:r>
              <w:rPr/>
              <w:t>物料及现场保障措施（不限于物料及场地投入保障措施、秩序及安全保障措施、软件以及公信力保障措施）：根据内容完整，描述清晰，且能针对性满足项目得（4-6]分；内容较完整，描述简单，可行性一般，基本满足项目得（2-4]分；内容笼统，描述简单，可行性不强得（0-2]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整个过程的资料收集、整理、存档、保存方案</w:t>
            </w:r>
          </w:p>
        </w:tc>
        <w:tc>
          <w:tcPr>
            <w:tcW w:type="dxa" w:w="2492"/>
          </w:tcPr>
          <w:p>
            <w:pPr>
              <w:pStyle w:val="null3"/>
            </w:pPr>
            <w:r>
              <w:rPr/>
              <w:t>整个过程的资料收集、整理、存档、保存方案：根据内容完整，描述清晰，且能针对性满足项目得（6-9]分；内容较完整，描述简单，可行性一般，基本满足项目得（3-6]分；内容笼统，描述简单，可行性不强得（0-3]分。未提供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机构设置、人员管理方案</w:t>
            </w:r>
          </w:p>
        </w:tc>
        <w:tc>
          <w:tcPr>
            <w:tcW w:type="dxa" w:w="2492"/>
          </w:tcPr>
          <w:p>
            <w:pPr>
              <w:pStyle w:val="null3"/>
            </w:pPr>
            <w:r>
              <w:rPr/>
              <w:t>机构设置、人员管理方案（不限于人员组织安排、分房现场工作人员餐饮安排）：根据内容完整，描述清晰，且能针对性满足项目得（4-6]分；内容较完整，描述简单，可行性一般，基本满足项目得（2-4]分；内容笼统，描述简单，可行性不强得（0-2]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选房现场公证监督措施</w:t>
            </w:r>
          </w:p>
        </w:tc>
        <w:tc>
          <w:tcPr>
            <w:tcW w:type="dxa" w:w="2492"/>
          </w:tcPr>
          <w:p>
            <w:pPr>
              <w:pStyle w:val="null3"/>
            </w:pPr>
            <w:r>
              <w:rPr/>
              <w:t>选房现场公证监督措施：根据内容完整，描述清晰，且能针对性满足项目得（3-6]分；内容笼统，描述简单，可行性不强得（0-3]分。未提供不得分。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重点难点分析</w:t>
            </w:r>
          </w:p>
        </w:tc>
        <w:tc>
          <w:tcPr>
            <w:tcW w:type="dxa" w:w="2492"/>
          </w:tcPr>
          <w:p>
            <w:pPr>
              <w:pStyle w:val="null3"/>
            </w:pPr>
            <w:r>
              <w:rPr/>
              <w:t>对本项目的重点把握突出，难点分析到位：根据内容完整，描述清晰，且能针对性满足项目得（4-6]分；内容较完整，描述简单，可行性一般，基本满足项目得（2-4]分；内容笼统，描述简单，可行性不强得（0-2]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1、对回迁选房工作遵循国家相关政策法律、法规，无违章、违规事件，不因不当行为引起村民纠纷投诉做出具体的服务承诺，按其响应程度计0-3 分。未提供不得分。 2、对服务期限内质量、人员到位情况、后期服务等做出实质性承诺（内容应当包含不能完全履行承诺时愿意接受相关处罚的相关承诺），按其响应程度计 0-3 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针对本项目，提出合理化建议：根据内容完整、描述清晰，且能针对性满足项目情况得（0-4]分。未提供不得分。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提供近年（2021 年 12月 1日至今）类似项目业绩，以合同签订时间为准，每提供一个得2 分，本项满分 6 分。评审依据：以供应商加盖公章的合同复印件为准。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价格分统一采用低价优先法计算，即满足磋商文件要求且磋商价格最低的磋商报价为磋 商基准价，其价格分为满分。其他供应商的价格分统一按照下列公式计算：磋商报价得 分=(磋商基准价／磋商报价)×价格权值×100 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详见附件：业绩</w:t>
      </w:r>
    </w:p>
    <w:p>
      <w:pPr>
        <w:pStyle w:val="null3"/>
        <w:ind w:firstLine="960"/>
      </w:pPr>
      <w:r>
        <w:rPr/>
        <w:t>详见附件：供应商认为需要提交的其他资料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