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5D89E">
      <w:pPr>
        <w:pStyle w:val="4"/>
        <w:jc w:val="center"/>
        <w:outlineLvl w:val="1"/>
      </w:pPr>
      <w:r>
        <w:rPr>
          <w:b/>
          <w:sz w:val="36"/>
        </w:rPr>
        <w:t>第三章 磋商项目技术、服务、商务及其他要求</w:t>
      </w:r>
    </w:p>
    <w:p w14:paraId="5F185546">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EAD8CDA">
      <w:pPr>
        <w:pStyle w:val="4"/>
        <w:outlineLvl w:val="2"/>
      </w:pPr>
      <w:r>
        <w:rPr>
          <w:b/>
          <w:sz w:val="28"/>
        </w:rPr>
        <w:t>3.1采购项目概况</w:t>
      </w:r>
    </w:p>
    <w:p w14:paraId="66DCCB41">
      <w:pPr>
        <w:pStyle w:val="4"/>
        <w:ind w:firstLine="480"/>
      </w:pPr>
      <w:r>
        <w:t>西安市莲湖区第一学校及莲湖区公共卫生服务中心PPP项目位于沣镐西路以南、昆明路以北、汉城南路以东、团结南路以西区域，建设内容包括一所60个教学班的全日制区属公办九年一贯制学校和一栋地上12层、地下2层的公共卫生服务中心，其中，莲湖区第一学校总占地面积约56亩，总建筑面积40341㎡；公共卫生服务中心总占地面积约7.3亩，总建筑面积27149.43㎡，项目PPP范围总投资约为5.9亿元。因各项外力因素影响，项目无法整体完成建设投运。考虑本项目为PPP项目，因国家政府和社会资本合作相关政策调整，现计划对西安市莲湖区第一学校、莲湖区公共卫生服务中心PPP项目开展分类处置、绩效考核、谈判及补充协议起草等相关工作，以满足新形势下政策要求及项目推进实际需求，以解决项目后续与社会资本合作的具体事宜。</w:t>
      </w:r>
    </w:p>
    <w:p w14:paraId="7456621C">
      <w:pPr>
        <w:pStyle w:val="4"/>
        <w:outlineLvl w:val="2"/>
      </w:pPr>
      <w:r>
        <w:rPr>
          <w:b/>
          <w:sz w:val="28"/>
        </w:rPr>
        <w:t>3.2服务内容及服务要求</w:t>
      </w:r>
    </w:p>
    <w:p w14:paraId="0973544C">
      <w:pPr>
        <w:pStyle w:val="4"/>
        <w:outlineLvl w:val="3"/>
      </w:pPr>
      <w:r>
        <w:rPr>
          <w:b/>
          <w:sz w:val="24"/>
        </w:rPr>
        <w:t>3.2.1服务内容</w:t>
      </w:r>
    </w:p>
    <w:p w14:paraId="2712C973">
      <w:pPr>
        <w:pStyle w:val="4"/>
      </w:pPr>
      <w:r>
        <w:t>采购包1：</w:t>
      </w:r>
    </w:p>
    <w:p w14:paraId="5AA25580">
      <w:pPr>
        <w:pStyle w:val="4"/>
      </w:pPr>
      <w:r>
        <w:t>采购包预算金额（元）: 800,000.00</w:t>
      </w:r>
    </w:p>
    <w:p w14:paraId="66108D31">
      <w:pPr>
        <w:pStyle w:val="4"/>
      </w:pPr>
      <w:r>
        <w:t>采购包最高限价（元）: 800,000.00</w:t>
      </w:r>
    </w:p>
    <w:p w14:paraId="10EFE048">
      <w:pPr>
        <w:pStyle w:val="4"/>
      </w:pPr>
      <w:r>
        <w:t>供应商报价不允许超过标的金额</w:t>
      </w:r>
    </w:p>
    <w:p w14:paraId="07C8A960">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0"/>
        <w:gridCol w:w="825"/>
        <w:gridCol w:w="823"/>
        <w:gridCol w:w="1128"/>
        <w:gridCol w:w="821"/>
        <w:gridCol w:w="821"/>
        <w:gridCol w:w="821"/>
        <w:gridCol w:w="821"/>
        <w:gridCol w:w="821"/>
        <w:gridCol w:w="821"/>
      </w:tblGrid>
      <w:tr w14:paraId="2A947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6BEDB9">
            <w:pPr>
              <w:pStyle w:val="4"/>
            </w:pPr>
            <w:r>
              <w:t>序号</w:t>
            </w:r>
          </w:p>
        </w:tc>
        <w:tc>
          <w:tcPr>
            <w:tcW w:w="831" w:type="dxa"/>
          </w:tcPr>
          <w:p w14:paraId="187C9024">
            <w:pPr>
              <w:pStyle w:val="4"/>
            </w:pPr>
            <w:r>
              <w:t>标的名称</w:t>
            </w:r>
          </w:p>
        </w:tc>
        <w:tc>
          <w:tcPr>
            <w:tcW w:w="831" w:type="dxa"/>
          </w:tcPr>
          <w:p w14:paraId="10E849EE">
            <w:pPr>
              <w:pStyle w:val="4"/>
            </w:pPr>
            <w:r>
              <w:t>数量</w:t>
            </w:r>
          </w:p>
        </w:tc>
        <w:tc>
          <w:tcPr>
            <w:tcW w:w="831" w:type="dxa"/>
          </w:tcPr>
          <w:p w14:paraId="46B5EF59">
            <w:pPr>
              <w:pStyle w:val="4"/>
            </w:pPr>
            <w:r>
              <w:t>标的金额 （元）</w:t>
            </w:r>
          </w:p>
        </w:tc>
        <w:tc>
          <w:tcPr>
            <w:tcW w:w="831" w:type="dxa"/>
          </w:tcPr>
          <w:p w14:paraId="3F07075E">
            <w:pPr>
              <w:pStyle w:val="4"/>
            </w:pPr>
            <w:r>
              <w:t>计量单位</w:t>
            </w:r>
          </w:p>
        </w:tc>
        <w:tc>
          <w:tcPr>
            <w:tcW w:w="831" w:type="dxa"/>
          </w:tcPr>
          <w:p w14:paraId="66F304C8">
            <w:pPr>
              <w:pStyle w:val="4"/>
            </w:pPr>
            <w:r>
              <w:t>所属行业</w:t>
            </w:r>
          </w:p>
        </w:tc>
        <w:tc>
          <w:tcPr>
            <w:tcW w:w="831" w:type="dxa"/>
          </w:tcPr>
          <w:p w14:paraId="74E6E377">
            <w:pPr>
              <w:pStyle w:val="4"/>
            </w:pPr>
            <w:r>
              <w:t>是否核心产品</w:t>
            </w:r>
          </w:p>
        </w:tc>
        <w:tc>
          <w:tcPr>
            <w:tcW w:w="831" w:type="dxa"/>
          </w:tcPr>
          <w:p w14:paraId="5517C2D1">
            <w:pPr>
              <w:pStyle w:val="4"/>
            </w:pPr>
            <w:r>
              <w:t>是否允许进口产品</w:t>
            </w:r>
          </w:p>
        </w:tc>
        <w:tc>
          <w:tcPr>
            <w:tcW w:w="831" w:type="dxa"/>
          </w:tcPr>
          <w:p w14:paraId="3FE760EF">
            <w:pPr>
              <w:pStyle w:val="4"/>
            </w:pPr>
            <w:r>
              <w:t>是否属于节能产品</w:t>
            </w:r>
          </w:p>
        </w:tc>
        <w:tc>
          <w:tcPr>
            <w:tcW w:w="831" w:type="dxa"/>
          </w:tcPr>
          <w:p w14:paraId="031EA49E">
            <w:pPr>
              <w:pStyle w:val="4"/>
            </w:pPr>
            <w:r>
              <w:t>是否属于环境标志产品</w:t>
            </w:r>
          </w:p>
        </w:tc>
      </w:tr>
      <w:tr w14:paraId="3B09E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C22BA7">
            <w:pPr>
              <w:pStyle w:val="4"/>
            </w:pPr>
            <w:r>
              <w:t>1</w:t>
            </w:r>
          </w:p>
        </w:tc>
        <w:tc>
          <w:tcPr>
            <w:tcW w:w="831" w:type="dxa"/>
          </w:tcPr>
          <w:p w14:paraId="151FE821">
            <w:pPr>
              <w:pStyle w:val="4"/>
            </w:pPr>
            <w:r>
              <w:t>西安市莲湖区第一学校、莲湖区公共卫生服务中心PPP项目分类处置咨询服务项目</w:t>
            </w:r>
          </w:p>
        </w:tc>
        <w:tc>
          <w:tcPr>
            <w:tcW w:w="831" w:type="dxa"/>
          </w:tcPr>
          <w:p w14:paraId="35E0A314">
            <w:pPr>
              <w:pStyle w:val="4"/>
              <w:jc w:val="right"/>
            </w:pPr>
            <w:r>
              <w:t>1.00</w:t>
            </w:r>
          </w:p>
        </w:tc>
        <w:tc>
          <w:tcPr>
            <w:tcW w:w="831" w:type="dxa"/>
          </w:tcPr>
          <w:p w14:paraId="077F8F37">
            <w:pPr>
              <w:pStyle w:val="4"/>
              <w:jc w:val="right"/>
            </w:pPr>
            <w:r>
              <w:t>800,000.00</w:t>
            </w:r>
          </w:p>
        </w:tc>
        <w:tc>
          <w:tcPr>
            <w:tcW w:w="831" w:type="dxa"/>
          </w:tcPr>
          <w:p w14:paraId="126D69F8">
            <w:pPr>
              <w:pStyle w:val="4"/>
            </w:pPr>
            <w:r>
              <w:t>项</w:t>
            </w:r>
          </w:p>
        </w:tc>
        <w:tc>
          <w:tcPr>
            <w:tcW w:w="831" w:type="dxa"/>
          </w:tcPr>
          <w:p w14:paraId="10D88C22">
            <w:pPr>
              <w:pStyle w:val="4"/>
            </w:pPr>
            <w:r>
              <w:t>其他未列明行业</w:t>
            </w:r>
          </w:p>
        </w:tc>
        <w:tc>
          <w:tcPr>
            <w:tcW w:w="831" w:type="dxa"/>
          </w:tcPr>
          <w:p w14:paraId="7E517F5B">
            <w:pPr>
              <w:pStyle w:val="4"/>
            </w:pPr>
            <w:r>
              <w:t>否</w:t>
            </w:r>
          </w:p>
        </w:tc>
        <w:tc>
          <w:tcPr>
            <w:tcW w:w="831" w:type="dxa"/>
          </w:tcPr>
          <w:p w14:paraId="73E2C02A">
            <w:pPr>
              <w:pStyle w:val="4"/>
            </w:pPr>
            <w:r>
              <w:t>否</w:t>
            </w:r>
          </w:p>
        </w:tc>
        <w:tc>
          <w:tcPr>
            <w:tcW w:w="831" w:type="dxa"/>
          </w:tcPr>
          <w:p w14:paraId="55799CEE">
            <w:pPr>
              <w:pStyle w:val="4"/>
            </w:pPr>
            <w:r>
              <w:t>否</w:t>
            </w:r>
          </w:p>
        </w:tc>
        <w:tc>
          <w:tcPr>
            <w:tcW w:w="831" w:type="dxa"/>
          </w:tcPr>
          <w:p w14:paraId="080ED6FF">
            <w:pPr>
              <w:pStyle w:val="4"/>
            </w:pPr>
            <w:r>
              <w:t>否</w:t>
            </w:r>
          </w:p>
        </w:tc>
      </w:tr>
    </w:tbl>
    <w:p w14:paraId="37B3EA04">
      <w:pPr>
        <w:pStyle w:val="4"/>
        <w:outlineLvl w:val="2"/>
      </w:pPr>
      <w:r>
        <w:rPr>
          <w:b/>
          <w:sz w:val="28"/>
        </w:rPr>
        <w:t>3.2.2服务要求</w:t>
      </w:r>
    </w:p>
    <w:p w14:paraId="52B2F845">
      <w:pPr>
        <w:pStyle w:val="4"/>
      </w:pPr>
      <w:r>
        <w:t>采购包1：</w:t>
      </w:r>
    </w:p>
    <w:p w14:paraId="7E13E82D">
      <w:pPr>
        <w:pStyle w:val="4"/>
      </w:pPr>
      <w:r>
        <w:t>供应商报价不允许超过标的金额</w:t>
      </w:r>
    </w:p>
    <w:p w14:paraId="1C6BCE13">
      <w:pPr>
        <w:pStyle w:val="4"/>
      </w:pPr>
      <w:r>
        <w:t>（招单价的）供应商报价不允许超过标的单价</w:t>
      </w:r>
    </w:p>
    <w:p w14:paraId="73DF4973">
      <w:pPr>
        <w:pStyle w:val="4"/>
      </w:pPr>
      <w:r>
        <w:t>标的名称：西安市莲湖区第一学校、莲湖区公共卫生服务中心PPP项目分类处置咨询服务项目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880F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3376AD">
            <w:pPr>
              <w:pStyle w:val="4"/>
            </w:pPr>
            <w:r>
              <w:t xml:space="preserve"> 参数性质</w:t>
            </w:r>
          </w:p>
        </w:tc>
        <w:tc>
          <w:tcPr>
            <w:tcW w:w="2769" w:type="dxa"/>
          </w:tcPr>
          <w:p w14:paraId="463DE1DB">
            <w:pPr>
              <w:pStyle w:val="4"/>
            </w:pPr>
            <w:r>
              <w:t xml:space="preserve"> 序号</w:t>
            </w:r>
          </w:p>
        </w:tc>
        <w:tc>
          <w:tcPr>
            <w:tcW w:w="2769" w:type="dxa"/>
          </w:tcPr>
          <w:p w14:paraId="3E27B8E1">
            <w:pPr>
              <w:pStyle w:val="4"/>
            </w:pPr>
            <w:r>
              <w:t xml:space="preserve"> 技术参数与性能指标</w:t>
            </w:r>
          </w:p>
        </w:tc>
      </w:tr>
      <w:tr w14:paraId="3D9EB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42E00D"/>
        </w:tc>
        <w:tc>
          <w:tcPr>
            <w:tcW w:w="2769" w:type="dxa"/>
          </w:tcPr>
          <w:p w14:paraId="6B5DA1EB">
            <w:pPr>
              <w:pStyle w:val="4"/>
            </w:pPr>
            <w:r>
              <w:t>1</w:t>
            </w:r>
          </w:p>
        </w:tc>
        <w:tc>
          <w:tcPr>
            <w:tcW w:w="2769" w:type="dxa"/>
          </w:tcPr>
          <w:p w14:paraId="77D7FE0A">
            <w:pPr>
              <w:pStyle w:val="4"/>
            </w:pPr>
            <w:r>
              <w:rPr>
                <w:rFonts w:ascii="calibri, &quot;sans-serif&quot;" w:hAnsi="calibri, &quot;sans-serif&quot;" w:eastAsia="calibri, &quot;sans-serif&quot;" w:cs="calibri, &quot;sans-serif&quot;"/>
                <w:sz w:val="20"/>
              </w:rPr>
              <w:t>1</w:t>
            </w:r>
            <w:r>
              <w:rPr>
                <w:rFonts w:ascii="宋体" w:hAnsi="宋体" w:eastAsia="宋体" w:cs="宋体"/>
                <w:sz w:val="20"/>
              </w:rPr>
              <w:t>、基础调研资料梳理</w:t>
            </w:r>
          </w:p>
          <w:p w14:paraId="39432A04">
            <w:pPr>
              <w:pStyle w:val="4"/>
            </w:pPr>
            <w:r>
              <w:rPr>
                <w:rFonts w:ascii="宋体" w:hAnsi="宋体" w:eastAsia="宋体" w:cs="宋体"/>
                <w:sz w:val="20"/>
              </w:rPr>
              <w:t>调研收集项目基本资料，包括但不限于项目前期实施过程中涉及</w:t>
            </w:r>
            <w:r>
              <w:rPr>
                <w:rFonts w:ascii="calibri, &quot;sans-serif&quot;" w:hAnsi="calibri, &quot;sans-serif&quot;" w:eastAsia="calibri, &quot;sans-serif&quot;" w:cs="calibri, &quot;sans-serif&quot;"/>
                <w:sz w:val="20"/>
              </w:rPr>
              <w:t>PPP</w:t>
            </w:r>
            <w:r>
              <w:rPr>
                <w:rFonts w:ascii="宋体" w:hAnsi="宋体" w:eastAsia="宋体" w:cs="宋体"/>
                <w:sz w:val="20"/>
              </w:rPr>
              <w:t>项目在识别、准备、采购、实施阶段涉及的可行性研究报告及其批复、初步设计文件及其批复、</w:t>
            </w:r>
            <w:r>
              <w:rPr>
                <w:rFonts w:ascii="calibri, &quot;sans-serif&quot;" w:hAnsi="calibri, &quot;sans-serif&quot;" w:eastAsia="calibri, &quot;sans-serif&quot;" w:cs="calibri, &quot;sans-serif&quot;"/>
                <w:sz w:val="20"/>
              </w:rPr>
              <w:t>PPP</w:t>
            </w:r>
            <w:r>
              <w:rPr>
                <w:rFonts w:ascii="宋体" w:hAnsi="宋体" w:eastAsia="宋体" w:cs="宋体"/>
                <w:sz w:val="20"/>
              </w:rPr>
              <w:t>财政承受能力论证及其批复、</w:t>
            </w:r>
            <w:r>
              <w:rPr>
                <w:rFonts w:ascii="calibri, &quot;sans-serif&quot;" w:hAnsi="calibri, &quot;sans-serif&quot;" w:eastAsia="calibri, &quot;sans-serif&quot;" w:cs="calibri, &quot;sans-serif&quot;"/>
                <w:sz w:val="20"/>
              </w:rPr>
              <w:t>PPP</w:t>
            </w:r>
            <w:r>
              <w:rPr>
                <w:rFonts w:ascii="宋体" w:hAnsi="宋体" w:eastAsia="宋体" w:cs="宋体"/>
                <w:sz w:val="20"/>
              </w:rPr>
              <w:t>物有所值报告及其批复、</w:t>
            </w:r>
            <w:r>
              <w:rPr>
                <w:rFonts w:ascii="calibri, &quot;sans-serif&quot;" w:hAnsi="calibri, &quot;sans-serif&quot;" w:eastAsia="calibri, &quot;sans-serif&quot;" w:cs="calibri, &quot;sans-serif&quot;"/>
                <w:sz w:val="20"/>
              </w:rPr>
              <w:t>PPP</w:t>
            </w:r>
            <w:r>
              <w:rPr>
                <w:rFonts w:ascii="宋体" w:hAnsi="宋体" w:eastAsia="宋体" w:cs="宋体"/>
                <w:sz w:val="20"/>
              </w:rPr>
              <w:t>实施方案及其批复、社会资本招标过程文件、签订的《</w:t>
            </w:r>
            <w:r>
              <w:rPr>
                <w:rFonts w:ascii="calibri, &quot;sans-serif&quot;" w:hAnsi="calibri, &quot;sans-serif&quot;" w:eastAsia="calibri, &quot;sans-serif&quot;" w:cs="calibri, &quot;sans-serif&quot;"/>
                <w:sz w:val="20"/>
              </w:rPr>
              <w:t>PPP</w:t>
            </w:r>
            <w:r>
              <w:rPr>
                <w:rFonts w:ascii="宋体" w:hAnsi="宋体" w:eastAsia="宋体" w:cs="宋体"/>
                <w:sz w:val="20"/>
              </w:rPr>
              <w:t>项目合同》《合资经营合同》及实施过程签订的系列补充协议等相关文件以及莲湖区财政局对于项目的财政支出责任统计、</w:t>
            </w:r>
            <w:r>
              <w:rPr>
                <w:rFonts w:ascii="calibri, &quot;sans-serif&quot;" w:hAnsi="calibri, &quot;sans-serif&quot;" w:eastAsia="calibri, &quot;sans-serif&quot;" w:cs="calibri, &quot;sans-serif&quot;"/>
                <w:sz w:val="20"/>
              </w:rPr>
              <w:t>PPP</w:t>
            </w:r>
            <w:r>
              <w:rPr>
                <w:rFonts w:ascii="宋体" w:hAnsi="宋体" w:eastAsia="宋体" w:cs="宋体"/>
                <w:sz w:val="20"/>
              </w:rPr>
              <w:t>项目公司针对本项目投资建设的融资情况、逐年本息偿还情况等，并对项目前期收集资料进行梳理，作为后续存量项目处置方案的编制依据，同时就调研收集资料形成项目资料汇编。制作项目资料汇编</w:t>
            </w:r>
            <w:r>
              <w:rPr>
                <w:rFonts w:ascii="calibri, &quot;sans-serif&quot;" w:hAnsi="calibri, &quot;sans-serif&quot;" w:eastAsia="calibri, &quot;sans-serif&quot;" w:cs="calibri, &quot;sans-serif&quot;"/>
                <w:sz w:val="20"/>
              </w:rPr>
              <w:t>20</w:t>
            </w:r>
            <w:r>
              <w:rPr>
                <w:rFonts w:ascii="宋体" w:hAnsi="宋体" w:eastAsia="宋体" w:cs="宋体"/>
                <w:sz w:val="20"/>
              </w:rPr>
              <w:t>本，按照采购人工作要求，提供符合要求数量的资料册。</w:t>
            </w:r>
          </w:p>
          <w:p w14:paraId="3201966B">
            <w:pPr>
              <w:pStyle w:val="4"/>
            </w:pPr>
            <w:r>
              <w:rPr>
                <w:rFonts w:ascii="calibri, &quot;sans-serif&quot;" w:hAnsi="calibri, &quot;sans-serif&quot;" w:eastAsia="calibri, &quot;sans-serif&quot;" w:cs="calibri, &quot;sans-serif&quot;"/>
                <w:sz w:val="20"/>
              </w:rPr>
              <w:t>2</w:t>
            </w:r>
            <w:r>
              <w:rPr>
                <w:rFonts w:ascii="宋体" w:hAnsi="宋体" w:eastAsia="宋体" w:cs="宋体"/>
                <w:sz w:val="20"/>
              </w:rPr>
              <w:t>、编制存量项目处置方案</w:t>
            </w:r>
          </w:p>
          <w:p w14:paraId="4B545773">
            <w:pPr>
              <w:pStyle w:val="4"/>
            </w:pPr>
            <w:r>
              <w:rPr>
                <w:rFonts w:ascii="宋体" w:hAnsi="宋体" w:eastAsia="宋体" w:cs="宋体"/>
                <w:sz w:val="20"/>
              </w:rPr>
              <w:t>鉴于</w:t>
            </w:r>
            <w:r>
              <w:rPr>
                <w:rFonts w:ascii="calibri, &quot;sans-serif&quot;" w:hAnsi="calibri, &quot;sans-serif&quot;" w:eastAsia="calibri, &quot;sans-serif&quot;" w:cs="calibri, &quot;sans-serif&quot;"/>
                <w:sz w:val="20"/>
              </w:rPr>
              <w:t>PPP</w:t>
            </w:r>
            <w:r>
              <w:rPr>
                <w:rFonts w:ascii="宋体" w:hAnsi="宋体" w:eastAsia="宋体" w:cs="宋体"/>
                <w:sz w:val="20"/>
              </w:rPr>
              <w:t>有关政策调整，在避免增加地方政府隐性债务的前提下，根据项目基础调研资料梳理情况，充分吸收项目实施机构、发改、财政、卫健、教育等涉及相关委局办对于本</w:t>
            </w:r>
            <w:r>
              <w:rPr>
                <w:rFonts w:ascii="calibri, &quot;sans-serif&quot;" w:hAnsi="calibri, &quot;sans-serif&quot;" w:eastAsia="calibri, &quot;sans-serif&quot;" w:cs="calibri, &quot;sans-serif&quot;"/>
                <w:sz w:val="20"/>
              </w:rPr>
              <w:t>PPP</w:t>
            </w:r>
            <w:r>
              <w:rPr>
                <w:rFonts w:ascii="宋体" w:hAnsi="宋体" w:eastAsia="宋体" w:cs="宋体"/>
                <w:sz w:val="20"/>
              </w:rPr>
              <w:t>项目存量处置的相关意见，同时集合项目实际情况及项目公司（含社会资本）在合同履约过程面临的现实问题，编制存量项目处置方案，就项目实施进展、结果、剩余收益水平等进行封装运作，按照《</w:t>
            </w:r>
            <w:r>
              <w:rPr>
                <w:rFonts w:ascii="calibri, &quot;sans-serif&quot;" w:hAnsi="calibri, &quot;sans-serif&quot;" w:eastAsia="calibri, &quot;sans-serif&quot;" w:cs="calibri, &quot;sans-serif&quot;"/>
                <w:sz w:val="20"/>
              </w:rPr>
              <w:t>PPP</w:t>
            </w:r>
            <w:r>
              <w:rPr>
                <w:rFonts w:ascii="宋体" w:hAnsi="宋体" w:eastAsia="宋体" w:cs="宋体"/>
                <w:sz w:val="20"/>
              </w:rPr>
              <w:t>项目合同》约定、审计结果及各方意见情况，开展财务测算工作，测算项目处置后拟执行的项目支出责任金额及其构成情况，分析项目支出责任可调整空间以及与财政支出能力匹配情况。结合项目实际处置安排，对于政策支持继续履约的项目，应坚持在完成绩效评价基础上按效付费；对于政策不支持继续履约的项目，可以选择变更实施模式或终止履约，从而保障项目合法合规继续实施。</w:t>
            </w:r>
          </w:p>
          <w:p w14:paraId="119F0637">
            <w:pPr>
              <w:pStyle w:val="4"/>
            </w:pPr>
            <w:r>
              <w:rPr>
                <w:rFonts w:ascii="calibri, &quot;sans-serif&quot;" w:hAnsi="calibri, &quot;sans-serif&quot;" w:eastAsia="calibri, &quot;sans-serif&quot;" w:cs="calibri, &quot;sans-serif&quot;"/>
                <w:sz w:val="20"/>
              </w:rPr>
              <w:t>3</w:t>
            </w:r>
            <w:r>
              <w:rPr>
                <w:rFonts w:ascii="宋体" w:hAnsi="宋体" w:eastAsia="宋体" w:cs="宋体"/>
                <w:sz w:val="20"/>
              </w:rPr>
              <w:t>、协助与社会资本谈判</w:t>
            </w:r>
          </w:p>
          <w:p w14:paraId="7106027B">
            <w:pPr>
              <w:pStyle w:val="4"/>
            </w:pPr>
            <w:r>
              <w:rPr>
                <w:rFonts w:ascii="宋体" w:hAnsi="宋体" w:eastAsia="宋体" w:cs="宋体"/>
                <w:sz w:val="20"/>
              </w:rPr>
              <w:t>根据存量项目处置方案及项目实际，结合项目分类处置工作进展，逐阶段协助业主单位与社会资本就项目分类处置事宜进行谈判，初步按照（</w:t>
            </w:r>
            <w:r>
              <w:rPr>
                <w:rFonts w:ascii="calibri, &quot;sans-serif&quot;" w:hAnsi="calibri, &quot;sans-serif&quot;" w:eastAsia="calibri, &quot;sans-serif&quot;" w:cs="calibri, &quot;sans-serif&quot;"/>
                <w:sz w:val="20"/>
              </w:rPr>
              <w:t>1</w:t>
            </w:r>
            <w:r>
              <w:rPr>
                <w:rFonts w:ascii="宋体" w:hAnsi="宋体" w:eastAsia="宋体" w:cs="宋体"/>
                <w:sz w:val="20"/>
              </w:rPr>
              <w:t>）启动阶段，协助采购人与社会资本就分类处置工作协同开展进行谈判，达成一致开展项目分类处置工作的意见；（</w:t>
            </w:r>
            <w:r>
              <w:rPr>
                <w:rFonts w:ascii="calibri, &quot;sans-serif&quot;" w:hAnsi="calibri, &quot;sans-serif&quot;" w:eastAsia="calibri, &quot;sans-serif&quot;" w:cs="calibri, &quot;sans-serif&quot;"/>
                <w:sz w:val="20"/>
              </w:rPr>
              <w:t>2</w:t>
            </w:r>
            <w:r>
              <w:rPr>
                <w:rFonts w:ascii="宋体" w:hAnsi="宋体" w:eastAsia="宋体" w:cs="宋体"/>
                <w:sz w:val="20"/>
              </w:rPr>
              <w:t>）合作边界变更谈判，就分类处置过程中，拟对原定合作边界进行调整变化的内容进行谈判，就合作边界变更达成一致；（</w:t>
            </w:r>
            <w:r>
              <w:rPr>
                <w:rFonts w:ascii="calibri, &quot;sans-serif&quot;" w:hAnsi="calibri, &quot;sans-serif&quot;" w:eastAsia="calibri, &quot;sans-serif&quot;" w:cs="calibri, &quot;sans-serif&quot;"/>
                <w:sz w:val="20"/>
              </w:rPr>
              <w:t>3</w:t>
            </w:r>
            <w:r>
              <w:rPr>
                <w:rFonts w:ascii="宋体" w:hAnsi="宋体" w:eastAsia="宋体" w:cs="宋体"/>
                <w:sz w:val="20"/>
              </w:rPr>
              <w:t>）核心条件变更谈判，围绕拟变更的核心条件，结合双方及相关委局办审核意见，就核心条件的变更达成一致；（</w:t>
            </w:r>
            <w:r>
              <w:rPr>
                <w:rFonts w:ascii="calibri, &quot;sans-serif&quot;" w:hAnsi="calibri, &quot;sans-serif&quot;" w:eastAsia="calibri, &quot;sans-serif&quot;" w:cs="calibri, &quot;sans-serif&quot;"/>
                <w:sz w:val="20"/>
              </w:rPr>
              <w:t>4</w:t>
            </w:r>
            <w:r>
              <w:rPr>
                <w:rFonts w:ascii="宋体" w:hAnsi="宋体" w:eastAsia="宋体" w:cs="宋体"/>
                <w:sz w:val="20"/>
              </w:rPr>
              <w:t>）补充协议编制阶段，根据各阶段双方谈判达成一致结果，完成项目补充协议编制工作。最终编制形成补充协议在经双方及相关部门、单位审议确认后，协助采购人与项目公司完成补充协议的签署工作。</w:t>
            </w:r>
          </w:p>
          <w:p w14:paraId="031E3FAB">
            <w:pPr>
              <w:pStyle w:val="4"/>
            </w:pPr>
            <w:r>
              <w:rPr>
                <w:rFonts w:ascii="calibri, &quot;sans-serif&quot;" w:hAnsi="calibri, &quot;sans-serif&quot;" w:eastAsia="calibri, &quot;sans-serif&quot;" w:cs="calibri, &quot;sans-serif&quot;"/>
                <w:sz w:val="20"/>
              </w:rPr>
              <w:t>4</w:t>
            </w:r>
            <w:r>
              <w:rPr>
                <w:rFonts w:ascii="宋体" w:hAnsi="宋体" w:eastAsia="宋体" w:cs="宋体"/>
                <w:sz w:val="20"/>
              </w:rPr>
              <w:t>、绩效评价</w:t>
            </w:r>
          </w:p>
          <w:p w14:paraId="5E715491">
            <w:pPr>
              <w:pStyle w:val="4"/>
            </w:pPr>
            <w:r>
              <w:rPr>
                <w:rFonts w:ascii="宋体" w:hAnsi="宋体" w:eastAsia="宋体" w:cs="宋体"/>
                <w:sz w:val="20"/>
              </w:rPr>
              <w:t>（</w:t>
            </w:r>
            <w:r>
              <w:rPr>
                <w:rFonts w:ascii="calibri, &quot;sans-serif&quot;" w:hAnsi="calibri, &quot;sans-serif&quot;" w:eastAsia="calibri, &quot;sans-serif&quot;" w:cs="calibri, &quot;sans-serif&quot;"/>
                <w:sz w:val="20"/>
              </w:rPr>
              <w:t>1</w:t>
            </w:r>
            <w:r>
              <w:rPr>
                <w:rFonts w:ascii="宋体" w:hAnsi="宋体" w:eastAsia="宋体" w:cs="宋体"/>
                <w:sz w:val="20"/>
              </w:rPr>
              <w:t>）绩效评估方案</w:t>
            </w:r>
          </w:p>
          <w:p w14:paraId="66847C51">
            <w:pPr>
              <w:pStyle w:val="4"/>
            </w:pPr>
            <w:r>
              <w:rPr>
                <w:rFonts w:ascii="宋体" w:hAnsi="宋体" w:eastAsia="宋体" w:cs="宋体"/>
                <w:sz w:val="20"/>
              </w:rPr>
              <w:t>按照</w:t>
            </w:r>
            <w:r>
              <w:rPr>
                <w:rFonts w:ascii="calibri, &quot;sans-serif&quot;" w:hAnsi="calibri, &quot;sans-serif&quot;" w:eastAsia="calibri, &quot;sans-serif&quot;" w:cs="calibri, &quot;sans-serif&quot;"/>
                <w:sz w:val="20"/>
              </w:rPr>
              <w:t>PPP</w:t>
            </w:r>
            <w:r>
              <w:rPr>
                <w:rFonts w:ascii="宋体" w:hAnsi="宋体" w:eastAsia="宋体" w:cs="宋体"/>
                <w:sz w:val="20"/>
              </w:rPr>
              <w:t>项目合同及补充协议约定内容，参照财金〔</w:t>
            </w:r>
            <w:r>
              <w:rPr>
                <w:rFonts w:ascii="calibri, &quot;sans-serif&quot;" w:hAnsi="calibri, &quot;sans-serif&quot;" w:eastAsia="calibri, &quot;sans-serif&quot;" w:cs="calibri, &quot;sans-serif&quot;"/>
                <w:sz w:val="20"/>
              </w:rPr>
              <w:t>2020</w:t>
            </w:r>
            <w:r>
              <w:rPr>
                <w:rFonts w:ascii="宋体" w:hAnsi="宋体" w:eastAsia="宋体" w:cs="宋体"/>
                <w:sz w:val="20"/>
              </w:rPr>
              <w:t>〕</w:t>
            </w:r>
            <w:r>
              <w:rPr>
                <w:rFonts w:ascii="calibri, &quot;sans-serif&quot;" w:hAnsi="calibri, &quot;sans-serif&quot;" w:eastAsia="calibri, &quot;sans-serif&quot;" w:cs="calibri, &quot;sans-serif&quot;"/>
                <w:sz w:val="20"/>
              </w:rPr>
              <w:t>13</w:t>
            </w:r>
            <w:r>
              <w:rPr>
                <w:rFonts w:ascii="宋体" w:hAnsi="宋体" w:eastAsia="宋体" w:cs="宋体"/>
                <w:sz w:val="20"/>
              </w:rPr>
              <w:t>号文件的要求，从全生命周期的项目产出、成本效益、物有所值实现情况、按效付费执行情况及对本地区财政承受能力的影响、监管成效、可持续性、</w:t>
            </w:r>
            <w:r>
              <w:rPr>
                <w:rFonts w:ascii="calibri, &quot;sans-serif&quot;" w:hAnsi="calibri, &quot;sans-serif&quot;" w:eastAsia="calibri, &quot;sans-serif&quot;" w:cs="calibri, &quot;sans-serif&quot;"/>
                <w:sz w:val="20"/>
              </w:rPr>
              <w:t>PPP</w:t>
            </w:r>
            <w:r>
              <w:rPr>
                <w:rFonts w:ascii="宋体" w:hAnsi="宋体" w:eastAsia="宋体" w:cs="宋体"/>
                <w:sz w:val="20"/>
              </w:rPr>
              <w:t>模式应用等方面编制绩效评价指标体系，并根据政策要求及项目实际组织编制绩效评估方案。绩效评估方案主要包括项目基本情况、绩效目标和指标体系、评价目的和依据、评价对象和范围、评价方法、组织与实施计划、资料收集与调查等。绩效评估方案完成编制后，协助采购人就该方案征询相关部门、单位意见，作为项目后续绩效评估的指导依据。</w:t>
            </w:r>
          </w:p>
          <w:p w14:paraId="4230B67E">
            <w:pPr>
              <w:pStyle w:val="4"/>
            </w:pPr>
            <w:r>
              <w:rPr>
                <w:rFonts w:ascii="宋体" w:hAnsi="宋体" w:eastAsia="宋体" w:cs="宋体"/>
                <w:sz w:val="20"/>
              </w:rPr>
              <w:t>（</w:t>
            </w:r>
            <w:r>
              <w:rPr>
                <w:rFonts w:ascii="calibri, &quot;sans-serif&quot;" w:hAnsi="calibri, &quot;sans-serif&quot;" w:eastAsia="calibri, &quot;sans-serif&quot;" w:cs="calibri, &quot;sans-serif&quot;"/>
                <w:sz w:val="20"/>
              </w:rPr>
              <w:t>2</w:t>
            </w:r>
            <w:r>
              <w:rPr>
                <w:rFonts w:ascii="宋体" w:hAnsi="宋体" w:eastAsia="宋体" w:cs="宋体"/>
                <w:sz w:val="20"/>
              </w:rPr>
              <w:t>）开展绩效考核</w:t>
            </w:r>
          </w:p>
          <w:p w14:paraId="2A032267">
            <w:pPr>
              <w:pStyle w:val="4"/>
            </w:pPr>
            <w:r>
              <w:rPr>
                <w:rFonts w:ascii="宋体" w:hAnsi="宋体" w:eastAsia="宋体" w:cs="宋体"/>
                <w:sz w:val="18"/>
              </w:rPr>
              <w:t>结合本项目实施进度及按效付费的需要确定绩效评价时点，与采购人共同开展建设期绩效考核、运营期第一年绩效考核工作（项目甩项的建设内容除外）。具体工作内容包括下达绩效评价通知通知项目公司（社会资本）及相关部门做好准备和配合工作：组织实施绩效评价；编制绩效评价报告，包括项目基本情况、绩效评价工作情况、评价结论和绩效分析、存在问题及原因分析、相关建议、其他需要说明的问题；资料归档；评价结果反馈。最终形成的绩效评价报告及其评分结果，作为项目按效付费的基础材料，由业主单位根据评分结果核算项目实际应付可行性缺口补助，并按照可行性缺口补助支付流程及财政预算管理安排，提请区政府及财政部门安排支付相关费用。</w:t>
            </w:r>
          </w:p>
        </w:tc>
      </w:tr>
      <w:tr w14:paraId="4265C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D9D08A">
            <w:pPr>
              <w:pStyle w:val="4"/>
            </w:pPr>
            <w:r>
              <w:t>★</w:t>
            </w:r>
          </w:p>
        </w:tc>
        <w:tc>
          <w:tcPr>
            <w:tcW w:w="2769" w:type="dxa"/>
          </w:tcPr>
          <w:p w14:paraId="76BF2D9A">
            <w:pPr>
              <w:pStyle w:val="4"/>
            </w:pPr>
            <w:r>
              <w:t>2</w:t>
            </w:r>
          </w:p>
        </w:tc>
        <w:tc>
          <w:tcPr>
            <w:tcW w:w="2769" w:type="dxa"/>
          </w:tcPr>
          <w:p w14:paraId="25551E1F">
            <w:pPr>
              <w:pStyle w:val="4"/>
            </w:pPr>
            <w:r>
              <w:t>1、人员要求：拟担任本项目的负责人不得同时担任其他项目的负责人，提供承诺（格式自拟）或相关证明资料并加盖公章。</w:t>
            </w:r>
          </w:p>
        </w:tc>
      </w:tr>
    </w:tbl>
    <w:p w14:paraId="747188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quot;sans-serif&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DQ2NTcyOTc5ZDUxMWFjYWVkNjE4MzRhNzU3OTgifQ=="/>
  </w:docVars>
  <w:rsids>
    <w:rsidRoot w:val="4F1830F4"/>
    <w:rsid w:val="4F18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2024-11-15T09:33:00Z</dcterms:created>
  <dc:creator>别回头</dc:creator>
  <cp:lastModifiedBy>别回头</cp:lastModifiedBy>
  <dcterms:modified xsi:type="dcterms:W3CDTF">2024-11-15T09:34:43Z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971EB7D0DB874085B8C107A08B7A5120_11</vt:lpwstr>
  </property>
</Properties>
</file>