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AAEF2">
      <w:pPr>
        <w:pStyle w:val="3"/>
        <w:jc w:val="center"/>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合同条款及格式</w:t>
      </w:r>
    </w:p>
    <w:p w14:paraId="160F0F61">
      <w:pPr>
        <w:pStyle w:val="4"/>
        <w:jc w:val="center"/>
        <w:rPr>
          <w:rFonts w:hint="eastAsia" w:ascii="宋体" w:hAnsi="宋体" w:eastAsia="宋体" w:cs="宋体"/>
          <w:highlight w:val="none"/>
        </w:rPr>
      </w:pPr>
      <w:bookmarkStart w:id="0" w:name="_Toc425781310"/>
      <w:bookmarkStart w:id="1" w:name="_Toc31424"/>
      <w:r>
        <w:rPr>
          <w:rFonts w:hint="eastAsia" w:ascii="宋体" w:hAnsi="宋体" w:eastAsia="宋体" w:cs="宋体"/>
          <w:highlight w:val="none"/>
        </w:rPr>
        <w:t>合同前附表</w:t>
      </w:r>
      <w:bookmarkEnd w:id="0"/>
      <w:bookmarkEnd w:id="1"/>
    </w:p>
    <w:p w14:paraId="66F67125">
      <w:pPr>
        <w:ind w:firstLine="960" w:firstLineChars="4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本表是对合同条款的具体补充和修改，如有矛盾，应以本资料表为准。</w:t>
      </w:r>
    </w:p>
    <w:tbl>
      <w:tblPr>
        <w:tblStyle w:val="15"/>
        <w:tblW w:w="907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6"/>
        <w:gridCol w:w="8075"/>
      </w:tblGrid>
      <w:tr w14:paraId="3256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91" w:hRule="atLeast"/>
          <w:tblHeader/>
        </w:trPr>
        <w:tc>
          <w:tcPr>
            <w:tcW w:w="996" w:type="dxa"/>
            <w:vAlign w:val="center"/>
          </w:tcPr>
          <w:p w14:paraId="7024FE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条款号</w:t>
            </w:r>
          </w:p>
        </w:tc>
        <w:tc>
          <w:tcPr>
            <w:tcW w:w="8075" w:type="dxa"/>
            <w:vAlign w:val="center"/>
          </w:tcPr>
          <w:p w14:paraId="4E6E78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内      容</w:t>
            </w:r>
          </w:p>
        </w:tc>
      </w:tr>
      <w:tr w14:paraId="34661A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61" w:hRule="exact"/>
        </w:trPr>
        <w:tc>
          <w:tcPr>
            <w:tcW w:w="996" w:type="dxa"/>
            <w:vAlign w:val="center"/>
          </w:tcPr>
          <w:p w14:paraId="20FB77D7">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8075" w:type="dxa"/>
            <w:vAlign w:val="center"/>
          </w:tcPr>
          <w:p w14:paraId="0563D36E">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采购</w:t>
            </w:r>
            <w:r>
              <w:rPr>
                <w:rFonts w:hint="eastAsia" w:ascii="宋体" w:hAnsi="宋体" w:eastAsia="宋体" w:cs="宋体"/>
                <w:sz w:val="24"/>
                <w:szCs w:val="24"/>
                <w:highlight w:val="none"/>
                <w:lang w:eastAsia="zh-CN"/>
              </w:rPr>
              <w:t>人</w:t>
            </w:r>
            <w:r>
              <w:rPr>
                <w:rFonts w:hint="eastAsia" w:ascii="宋体" w:hAnsi="宋体" w:eastAsia="宋体" w:cs="宋体"/>
                <w:sz w:val="24"/>
                <w:szCs w:val="24"/>
                <w:highlight w:val="none"/>
              </w:rPr>
              <w:t>名称：西安市碑林区西铁第一幼儿园</w:t>
            </w:r>
          </w:p>
          <w:p w14:paraId="603447DE">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地</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址：陕西省西安市碑林区友谊东路38号</w:t>
            </w:r>
          </w:p>
          <w:p w14:paraId="15D09A9A">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项目名称：碑林区西铁第一幼儿园班级及办公、厨房设备、户外器械设备采购项目</w:t>
            </w:r>
          </w:p>
          <w:p w14:paraId="03CF11F1">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资金来源：财政资金，资金已落实</w:t>
            </w:r>
          </w:p>
        </w:tc>
      </w:tr>
      <w:tr w14:paraId="5F2F5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2" w:hRule="exact"/>
        </w:trPr>
        <w:tc>
          <w:tcPr>
            <w:tcW w:w="996" w:type="dxa"/>
            <w:vAlign w:val="center"/>
          </w:tcPr>
          <w:p w14:paraId="3F541FA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8075" w:type="dxa"/>
            <w:vAlign w:val="center"/>
          </w:tcPr>
          <w:p w14:paraId="28BEB6FF">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交货期</w:t>
            </w:r>
            <w:r>
              <w:rPr>
                <w:rFonts w:hint="eastAsia" w:ascii="宋体" w:hAnsi="宋体" w:cs="宋体"/>
                <w:sz w:val="24"/>
                <w:szCs w:val="24"/>
                <w:highlight w:val="none"/>
                <w:lang w:eastAsia="zh-CN"/>
              </w:rPr>
              <w:t>：自合同签订之日起30日历天内安装调试完成。</w:t>
            </w:r>
          </w:p>
        </w:tc>
      </w:tr>
      <w:tr w14:paraId="5B3996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exact"/>
        </w:trPr>
        <w:tc>
          <w:tcPr>
            <w:tcW w:w="996" w:type="dxa"/>
            <w:vAlign w:val="center"/>
          </w:tcPr>
          <w:p w14:paraId="73F0E86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8075" w:type="dxa"/>
            <w:vAlign w:val="center"/>
          </w:tcPr>
          <w:p w14:paraId="674263BB">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交货地点：采购人指定地点</w:t>
            </w:r>
          </w:p>
        </w:tc>
      </w:tr>
      <w:tr w14:paraId="40EB75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6" w:hRule="atLeast"/>
        </w:trPr>
        <w:tc>
          <w:tcPr>
            <w:tcW w:w="996" w:type="dxa"/>
            <w:vAlign w:val="center"/>
          </w:tcPr>
          <w:p w14:paraId="4EECEEC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8075" w:type="dxa"/>
            <w:vAlign w:val="center"/>
          </w:tcPr>
          <w:p w14:paraId="47C2694F">
            <w:pPr>
              <w:pStyle w:val="20"/>
              <w:spacing w:line="360" w:lineRule="auto"/>
              <w:ind w:firstLine="0" w:firstLineChars="0"/>
              <w:jc w:val="left"/>
              <w:rPr>
                <w:rFonts w:hint="eastAsia" w:ascii="宋体" w:hAnsi="宋体" w:eastAsia="宋体" w:cs="宋体"/>
                <w:highlight w:val="none"/>
              </w:rPr>
            </w:pPr>
            <w:r>
              <w:rPr>
                <w:rFonts w:hint="eastAsia" w:ascii="宋体" w:hAnsi="宋体" w:eastAsia="宋体" w:cs="宋体"/>
                <w:highlight w:val="none"/>
              </w:rPr>
              <w:t>质保期:自终验合格之日起开始计算，质保期</w:t>
            </w:r>
            <w:r>
              <w:rPr>
                <w:rFonts w:hint="eastAsia" w:ascii="宋体" w:hAnsi="宋体" w:cs="宋体"/>
                <w:highlight w:val="none"/>
                <w:lang w:val="en-US" w:eastAsia="zh-CN"/>
              </w:rPr>
              <w:t>3</w:t>
            </w:r>
            <w:r>
              <w:rPr>
                <w:rFonts w:hint="eastAsia" w:ascii="宋体" w:hAnsi="宋体" w:eastAsia="宋体" w:cs="宋体"/>
                <w:highlight w:val="none"/>
              </w:rPr>
              <w:t>年。</w:t>
            </w:r>
          </w:p>
        </w:tc>
      </w:tr>
      <w:tr w14:paraId="648A9E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7" w:hRule="atLeast"/>
        </w:trPr>
        <w:tc>
          <w:tcPr>
            <w:tcW w:w="996" w:type="dxa"/>
            <w:vAlign w:val="center"/>
          </w:tcPr>
          <w:p w14:paraId="52DBDCA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8075" w:type="dxa"/>
            <w:vAlign w:val="center"/>
          </w:tcPr>
          <w:p w14:paraId="5553A7F5">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合同总价即</w:t>
            </w:r>
            <w:r>
              <w:rPr>
                <w:rFonts w:hint="eastAsia" w:ascii="宋体" w:hAnsi="宋体" w:eastAsia="宋体" w:cs="宋体"/>
                <w:sz w:val="24"/>
                <w:szCs w:val="24"/>
                <w:highlight w:val="none"/>
                <w:lang w:eastAsia="zh-CN"/>
              </w:rPr>
              <w:t>成交</w:t>
            </w:r>
            <w:r>
              <w:rPr>
                <w:rFonts w:hint="eastAsia" w:ascii="宋体" w:hAnsi="宋体" w:eastAsia="宋体" w:cs="宋体"/>
                <w:sz w:val="24"/>
                <w:szCs w:val="24"/>
                <w:highlight w:val="none"/>
              </w:rPr>
              <w:t>价，</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应在</w:t>
            </w:r>
            <w:r>
              <w:rPr>
                <w:rFonts w:hint="eastAsia" w:ascii="宋体" w:hAnsi="宋体" w:eastAsia="宋体" w:cs="宋体"/>
                <w:sz w:val="24"/>
                <w:szCs w:val="24"/>
                <w:highlight w:val="none"/>
                <w:lang w:eastAsia="zh-CN"/>
              </w:rPr>
              <w:t>谈判</w:t>
            </w:r>
            <w:r>
              <w:rPr>
                <w:rFonts w:hint="eastAsia" w:ascii="宋体" w:hAnsi="宋体" w:eastAsia="宋体" w:cs="宋体"/>
                <w:sz w:val="24"/>
                <w:szCs w:val="24"/>
                <w:highlight w:val="none"/>
              </w:rPr>
              <w:t>报价表中标明完成本次</w:t>
            </w:r>
            <w:r>
              <w:rPr>
                <w:rFonts w:hint="eastAsia" w:ascii="宋体" w:hAnsi="宋体" w:eastAsia="宋体" w:cs="宋体"/>
                <w:sz w:val="24"/>
                <w:szCs w:val="24"/>
                <w:highlight w:val="none"/>
                <w:lang w:eastAsia="zh-CN"/>
              </w:rPr>
              <w:t>谈判</w:t>
            </w:r>
            <w:r>
              <w:rPr>
                <w:rFonts w:hint="eastAsia" w:ascii="宋体" w:hAnsi="宋体" w:eastAsia="宋体" w:cs="宋体"/>
                <w:sz w:val="24"/>
                <w:szCs w:val="24"/>
                <w:highlight w:val="none"/>
              </w:rPr>
              <w:t>所要求的货物、服务且验收合格的所有费用，包括但不限于包括但不限于设备（产品）费、安装调试费、运杂费（含保险）、仓储保管费、验收费、招标代理服务费、税金</w:t>
            </w:r>
            <w:r>
              <w:rPr>
                <w:rFonts w:hint="eastAsia" w:ascii="宋体" w:hAnsi="宋体" w:eastAsia="宋体" w:cs="宋体"/>
                <w:sz w:val="24"/>
                <w:szCs w:val="24"/>
                <w:highlight w:val="none"/>
                <w:lang w:eastAsia="zh-CN"/>
              </w:rPr>
              <w:t>等其他一切相关费用。</w:t>
            </w:r>
          </w:p>
          <w:p w14:paraId="28442A2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2.合同总价一次包死，不受市场价变化或实际工作量变化的影响。</w:t>
            </w:r>
          </w:p>
          <w:p w14:paraId="0B5B16D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3.付款方式和程序：</w:t>
            </w:r>
          </w:p>
          <w:p w14:paraId="60AF942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（1）由采购人负责结算，供应商必须开具全额发票给采购人（附详细清单）。</w:t>
            </w:r>
          </w:p>
          <w:p w14:paraId="3952B7B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（2）付款方式： </w:t>
            </w:r>
          </w:p>
          <w:p w14:paraId="024720FD">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所有设备安装调试完成验收合格后，达到付款条件起30日内，支付合同总金额的 100.00%。</w:t>
            </w:r>
          </w:p>
        </w:tc>
      </w:tr>
      <w:tr w14:paraId="27235F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7" w:hRule="atLeast"/>
        </w:trPr>
        <w:tc>
          <w:tcPr>
            <w:tcW w:w="996" w:type="dxa"/>
            <w:vAlign w:val="center"/>
          </w:tcPr>
          <w:p w14:paraId="1213CED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8075" w:type="dxa"/>
            <w:vAlign w:val="center"/>
          </w:tcPr>
          <w:p w14:paraId="333C8C27">
            <w:pPr>
              <w:spacing w:line="360" w:lineRule="auto"/>
              <w:rPr>
                <w:rFonts w:hint="eastAsia" w:ascii="宋体" w:hAnsi="宋体" w:eastAsia="宋体" w:cs="宋体"/>
                <w:b/>
                <w:sz w:val="24"/>
                <w:szCs w:val="24"/>
                <w:highlight w:val="none"/>
              </w:rPr>
            </w:pPr>
            <w:r>
              <w:rPr>
                <w:rFonts w:hint="eastAsia" w:ascii="宋体" w:hAnsi="宋体" w:eastAsia="宋体" w:cs="宋体"/>
                <w:b/>
                <w:kern w:val="0"/>
                <w:sz w:val="24"/>
                <w:highlight w:val="none"/>
              </w:rPr>
              <w:t>安装、调试要求：</w:t>
            </w:r>
          </w:p>
          <w:p w14:paraId="755AFC6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1.由供应商负责派技术人员到现场进行免费安装、调试至验收合格。</w:t>
            </w:r>
          </w:p>
          <w:p w14:paraId="7A3D9CC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2.供应商应在合同签订后一周内，向采购人提供安装、调试及试运行的进度计划表。</w:t>
            </w:r>
          </w:p>
          <w:p w14:paraId="02DED33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供应商应在合同规定的安装调试期内完成该项工作。如因供应商责任而造成延期，每超过一天按合同总价款的（5‰）支付采购人误期赔偿金，直至交货或提供服务结束为止，所有因延期而产生的费用由供应商承担。</w:t>
            </w:r>
          </w:p>
          <w:p w14:paraId="6D1217A7">
            <w:pPr>
              <w:spacing w:line="360" w:lineRule="auto"/>
              <w:jc w:val="left"/>
              <w:rPr>
                <w:rFonts w:hint="eastAsia" w:ascii="宋体" w:hAnsi="宋体" w:eastAsia="宋体" w:cs="宋体"/>
                <w:highlight w:val="none"/>
              </w:rPr>
            </w:pPr>
            <w:r>
              <w:rPr>
                <w:rFonts w:hint="eastAsia" w:ascii="宋体" w:hAnsi="宋体" w:eastAsia="宋体" w:cs="宋体"/>
                <w:sz w:val="24"/>
                <w:szCs w:val="24"/>
                <w:highlight w:val="none"/>
              </w:rPr>
              <w:t>4.安装和调试期间所发生的费用均由供应商负责。</w:t>
            </w:r>
          </w:p>
        </w:tc>
      </w:tr>
      <w:tr w14:paraId="76B009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97" w:hRule="atLeast"/>
        </w:trPr>
        <w:tc>
          <w:tcPr>
            <w:tcW w:w="996" w:type="dxa"/>
            <w:vAlign w:val="center"/>
          </w:tcPr>
          <w:p w14:paraId="1DF8F4D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8075" w:type="dxa"/>
            <w:vAlign w:val="center"/>
          </w:tcPr>
          <w:p w14:paraId="7182CABD">
            <w:pPr>
              <w:spacing w:line="360" w:lineRule="auto"/>
              <w:rPr>
                <w:rFonts w:hint="eastAsia" w:ascii="宋体" w:hAnsi="宋体" w:eastAsia="宋体" w:cs="宋体"/>
                <w:b/>
                <w:kern w:val="0"/>
                <w:sz w:val="24"/>
                <w:highlight w:val="none"/>
              </w:rPr>
            </w:pPr>
            <w:r>
              <w:rPr>
                <w:rFonts w:hint="eastAsia" w:ascii="宋体" w:hAnsi="宋体" w:eastAsia="宋体" w:cs="宋体"/>
                <w:b/>
                <w:kern w:val="0"/>
                <w:sz w:val="24"/>
                <w:highlight w:val="none"/>
              </w:rPr>
              <w:t>技术支持：</w:t>
            </w:r>
          </w:p>
          <w:p w14:paraId="26F34389">
            <w:pPr>
              <w:spacing w:line="360" w:lineRule="auto"/>
              <w:rPr>
                <w:rFonts w:hint="eastAsia" w:ascii="宋体" w:hAnsi="宋体" w:eastAsia="宋体" w:cs="宋体"/>
                <w:sz w:val="24"/>
                <w:szCs w:val="24"/>
                <w:highlight w:val="none"/>
              </w:rPr>
            </w:pPr>
            <w:r>
              <w:rPr>
                <w:rFonts w:hint="eastAsia" w:ascii="宋体" w:hAnsi="宋体" w:eastAsia="宋体" w:cs="宋体"/>
                <w:sz w:val="24"/>
                <w:highlight w:val="none"/>
              </w:rPr>
              <w:t>提供原厂商</w:t>
            </w:r>
            <w:r>
              <w:rPr>
                <w:rFonts w:hint="eastAsia" w:ascii="宋体" w:hAnsi="宋体" w:cs="宋体"/>
                <w:sz w:val="24"/>
                <w:highlight w:val="none"/>
                <w:lang w:val="en-US" w:eastAsia="zh-CN"/>
              </w:rPr>
              <w:t>三</w:t>
            </w:r>
            <w:r>
              <w:rPr>
                <w:rFonts w:hint="eastAsia" w:ascii="宋体" w:hAnsi="宋体" w:eastAsia="宋体" w:cs="宋体"/>
                <w:sz w:val="24"/>
                <w:highlight w:val="none"/>
              </w:rPr>
              <w:t>年7 ×24小时响应；针对本项目的全免费原厂保修售后服务函证明。</w:t>
            </w:r>
          </w:p>
        </w:tc>
      </w:tr>
      <w:tr w14:paraId="48675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2" w:hRule="atLeast"/>
        </w:trPr>
        <w:tc>
          <w:tcPr>
            <w:tcW w:w="996" w:type="dxa"/>
            <w:vAlign w:val="center"/>
          </w:tcPr>
          <w:p w14:paraId="649E4722">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8</w:t>
            </w:r>
          </w:p>
        </w:tc>
        <w:tc>
          <w:tcPr>
            <w:tcW w:w="8075" w:type="dxa"/>
            <w:vAlign w:val="center"/>
          </w:tcPr>
          <w:p w14:paraId="6C906258">
            <w:pPr>
              <w:spacing w:line="360" w:lineRule="auto"/>
              <w:rPr>
                <w:rFonts w:hint="eastAsia" w:ascii="宋体" w:hAnsi="宋体" w:eastAsia="宋体" w:cs="宋体"/>
                <w:b/>
                <w:kern w:val="0"/>
                <w:sz w:val="24"/>
                <w:highlight w:val="none"/>
              </w:rPr>
            </w:pPr>
            <w:r>
              <w:rPr>
                <w:rFonts w:hint="eastAsia" w:ascii="宋体" w:hAnsi="宋体" w:eastAsia="宋体" w:cs="宋体"/>
                <w:b/>
                <w:kern w:val="0"/>
                <w:sz w:val="24"/>
                <w:highlight w:val="none"/>
              </w:rPr>
              <w:t>技术资料要求：</w:t>
            </w:r>
          </w:p>
          <w:p w14:paraId="7F0CA454">
            <w:pPr>
              <w:pStyle w:val="11"/>
              <w:spacing w:line="360" w:lineRule="auto"/>
              <w:rPr>
                <w:rFonts w:hint="eastAsia" w:ascii="宋体" w:hAnsi="宋体" w:eastAsia="宋体" w:cs="宋体"/>
                <w:kern w:val="2"/>
                <w:sz w:val="24"/>
                <w:szCs w:val="20"/>
                <w:highlight w:val="none"/>
                <w:lang w:val="en-US" w:eastAsia="zh-CN" w:bidi="ar-SA"/>
              </w:rPr>
            </w:pPr>
            <w:r>
              <w:rPr>
                <w:rFonts w:hint="eastAsia" w:ascii="宋体" w:hAnsi="宋体" w:eastAsia="宋体" w:cs="宋体"/>
                <w:kern w:val="2"/>
                <w:sz w:val="24"/>
                <w:szCs w:val="20"/>
                <w:highlight w:val="none"/>
                <w:lang w:val="en-US" w:eastAsia="zh-CN" w:bidi="ar-SA"/>
              </w:rPr>
              <w:t xml:space="preserve">供应商应向采购人提供全套中文技术资料一套，其费用包括在谈判报价中： 1.完整的设备(产品)操作使用手册和维护、修理技术文件，图纸、保修卡等； 2.制造厂的检验、测试报告、设备(产品)检验合格证书，质量保证书等文件验收时须一并提供； </w:t>
            </w:r>
          </w:p>
          <w:p w14:paraId="65DF8271">
            <w:pPr>
              <w:pStyle w:val="11"/>
              <w:numPr>
                <w:ilvl w:val="0"/>
                <w:numId w:val="0"/>
              </w:numPr>
              <w:spacing w:line="360" w:lineRule="auto"/>
              <w:rPr>
                <w:rFonts w:hint="eastAsia" w:ascii="宋体" w:hAnsi="宋体" w:eastAsia="宋体" w:cs="宋体"/>
                <w:kern w:val="2"/>
                <w:sz w:val="24"/>
                <w:szCs w:val="20"/>
                <w:highlight w:val="none"/>
                <w:lang w:val="en-US" w:eastAsia="zh-CN" w:bidi="ar-SA"/>
              </w:rPr>
            </w:pPr>
            <w:r>
              <w:rPr>
                <w:rFonts w:hint="eastAsia" w:ascii="宋体" w:hAnsi="宋体" w:eastAsia="宋体" w:cs="宋体"/>
                <w:kern w:val="2"/>
                <w:sz w:val="24"/>
                <w:szCs w:val="20"/>
                <w:highlight w:val="none"/>
                <w:lang w:val="en-US" w:eastAsia="zh-CN" w:bidi="ar-SA"/>
              </w:rPr>
              <w:t xml:space="preserve">3.设备(产品)验收标准； </w:t>
            </w:r>
          </w:p>
          <w:p w14:paraId="0800E3B2">
            <w:pPr>
              <w:pStyle w:val="11"/>
              <w:numPr>
                <w:ilvl w:val="0"/>
                <w:numId w:val="0"/>
              </w:numPr>
              <w:spacing w:line="360" w:lineRule="auto"/>
              <w:rPr>
                <w:rFonts w:hint="eastAsia" w:ascii="宋体" w:hAnsi="宋体" w:eastAsia="宋体" w:cs="宋体"/>
                <w:kern w:val="2"/>
                <w:sz w:val="24"/>
                <w:szCs w:val="20"/>
                <w:highlight w:val="none"/>
                <w:lang w:val="en-US" w:eastAsia="zh-CN" w:bidi="ar-SA"/>
              </w:rPr>
            </w:pPr>
            <w:r>
              <w:rPr>
                <w:rFonts w:hint="eastAsia" w:ascii="宋体" w:hAnsi="宋体" w:eastAsia="宋体" w:cs="宋体"/>
                <w:kern w:val="2"/>
                <w:sz w:val="24"/>
                <w:szCs w:val="20"/>
                <w:highlight w:val="none"/>
                <w:lang w:val="en-US" w:eastAsia="zh-CN" w:bidi="ar-SA"/>
              </w:rPr>
              <w:t xml:space="preserve">4.使用说明书； </w:t>
            </w:r>
          </w:p>
          <w:p w14:paraId="4C95922E">
            <w:pPr>
              <w:pStyle w:val="11"/>
              <w:numPr>
                <w:ilvl w:val="0"/>
                <w:numId w:val="0"/>
              </w:numPr>
              <w:spacing w:line="360" w:lineRule="auto"/>
              <w:rPr>
                <w:rFonts w:hint="eastAsia" w:ascii="宋体" w:hAnsi="宋体" w:eastAsia="宋体" w:cs="宋体"/>
                <w:b/>
                <w:bCs/>
                <w:sz w:val="24"/>
                <w:szCs w:val="24"/>
                <w:highlight w:val="none"/>
                <w:lang w:val="en-US" w:eastAsia="zh-CN"/>
              </w:rPr>
            </w:pPr>
            <w:r>
              <w:rPr>
                <w:rFonts w:hint="eastAsia" w:ascii="宋体" w:hAnsi="宋体" w:eastAsia="宋体" w:cs="宋体"/>
                <w:kern w:val="2"/>
                <w:sz w:val="24"/>
                <w:szCs w:val="20"/>
                <w:highlight w:val="none"/>
                <w:lang w:val="en-US" w:eastAsia="zh-CN" w:bidi="ar-SA"/>
              </w:rPr>
              <w:t>5.合同中要求的其他文件资料。</w:t>
            </w:r>
          </w:p>
        </w:tc>
      </w:tr>
      <w:tr w14:paraId="400C1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trPr>
        <w:tc>
          <w:tcPr>
            <w:tcW w:w="996" w:type="dxa"/>
            <w:vAlign w:val="center"/>
          </w:tcPr>
          <w:p w14:paraId="134F58CB">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9</w:t>
            </w:r>
          </w:p>
        </w:tc>
        <w:tc>
          <w:tcPr>
            <w:tcW w:w="8075" w:type="dxa"/>
            <w:vAlign w:val="center"/>
          </w:tcPr>
          <w:p w14:paraId="0979216B">
            <w:pPr>
              <w:pStyle w:val="11"/>
              <w:spacing w:line="360" w:lineRule="auto"/>
              <w:rPr>
                <w:rFonts w:hint="eastAsia" w:ascii="宋体" w:hAnsi="宋体" w:eastAsia="宋体" w:cs="宋体"/>
                <w:b/>
                <w:kern w:val="0"/>
                <w:sz w:val="24"/>
                <w:highlight w:val="none"/>
                <w:lang w:val="en-US" w:eastAsia="zh-CN"/>
              </w:rPr>
            </w:pPr>
            <w:r>
              <w:rPr>
                <w:rFonts w:hint="eastAsia" w:ascii="宋体" w:hAnsi="宋体" w:eastAsia="宋体" w:cs="宋体"/>
                <w:b/>
                <w:kern w:val="0"/>
                <w:sz w:val="24"/>
                <w:highlight w:val="none"/>
                <w:lang w:val="en-US" w:eastAsia="zh-CN"/>
              </w:rPr>
              <w:t>质量保证：</w:t>
            </w:r>
          </w:p>
          <w:p w14:paraId="5E649008">
            <w:pPr>
              <w:spacing w:line="360" w:lineRule="auto"/>
              <w:ind w:firstLine="360" w:firstLineChars="150"/>
              <w:rPr>
                <w:rFonts w:hint="eastAsia" w:ascii="宋体" w:hAnsi="宋体" w:eastAsia="宋体" w:cs="宋体"/>
                <w:kern w:val="0"/>
                <w:sz w:val="24"/>
                <w:highlight w:val="none"/>
              </w:rPr>
            </w:pPr>
            <w:r>
              <w:rPr>
                <w:rFonts w:hint="eastAsia" w:ascii="宋体" w:hAnsi="宋体" w:eastAsia="宋体" w:cs="宋体"/>
                <w:sz w:val="24"/>
                <w:szCs w:val="24"/>
                <w:highlight w:val="none"/>
              </w:rPr>
              <w:t xml:space="preserve"> 供应商</w:t>
            </w:r>
            <w:r>
              <w:rPr>
                <w:rFonts w:hint="eastAsia" w:ascii="宋体" w:hAnsi="宋体" w:eastAsia="宋体" w:cs="宋体"/>
                <w:kern w:val="0"/>
                <w:sz w:val="24"/>
                <w:highlight w:val="none"/>
              </w:rPr>
              <w:t>提供的</w:t>
            </w:r>
            <w:r>
              <w:rPr>
                <w:rFonts w:hint="eastAsia" w:ascii="宋体" w:hAnsi="宋体" w:eastAsia="宋体" w:cs="宋体"/>
                <w:sz w:val="24"/>
                <w:szCs w:val="24"/>
                <w:highlight w:val="none"/>
              </w:rPr>
              <w:t>设备(产品)</w:t>
            </w:r>
            <w:r>
              <w:rPr>
                <w:rFonts w:hint="eastAsia" w:ascii="宋体" w:hAnsi="宋体" w:eastAsia="宋体" w:cs="宋体"/>
                <w:kern w:val="0"/>
                <w:sz w:val="24"/>
                <w:highlight w:val="none"/>
              </w:rPr>
              <w:t>及材料必须保证质量可靠，为市场最新或主流</w:t>
            </w:r>
            <w:r>
              <w:rPr>
                <w:rFonts w:hint="eastAsia" w:ascii="宋体" w:hAnsi="宋体" w:eastAsia="宋体" w:cs="宋体"/>
                <w:sz w:val="24"/>
                <w:szCs w:val="24"/>
                <w:highlight w:val="none"/>
              </w:rPr>
              <w:t>设备(产品)</w:t>
            </w:r>
            <w:r>
              <w:rPr>
                <w:rFonts w:hint="eastAsia" w:ascii="宋体" w:hAnsi="宋体" w:eastAsia="宋体" w:cs="宋体"/>
                <w:kern w:val="0"/>
                <w:sz w:val="24"/>
                <w:highlight w:val="none"/>
              </w:rPr>
              <w:t>，进货渠道正常，配置合理齐全，应全面满足竞争性谈判文件的要求，竞争性谈判文件未明确要求的内容，</w:t>
            </w: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须按谈判</w:t>
            </w:r>
            <w:r>
              <w:rPr>
                <w:rFonts w:hint="eastAsia" w:ascii="宋体" w:hAnsi="宋体" w:eastAsia="宋体" w:cs="宋体"/>
                <w:sz w:val="24"/>
                <w:szCs w:val="24"/>
                <w:highlight w:val="none"/>
              </w:rPr>
              <w:t>设备(产品)</w:t>
            </w:r>
            <w:r>
              <w:rPr>
                <w:rFonts w:hint="eastAsia" w:ascii="宋体" w:hAnsi="宋体" w:eastAsia="宋体" w:cs="宋体"/>
                <w:kern w:val="0"/>
                <w:sz w:val="24"/>
                <w:highlight w:val="none"/>
              </w:rPr>
              <w:t>主流标准配置或以采购人的补充要求为准。所供设备(产品)工艺质量应严格按国家最新发布的规范标准执行，如发生质量问题由供应商承担全部责任。</w:t>
            </w:r>
          </w:p>
          <w:p w14:paraId="7E4E84EA">
            <w:pPr>
              <w:spacing w:line="360" w:lineRule="auto"/>
              <w:ind w:firstLine="360" w:firstLineChars="150"/>
              <w:rPr>
                <w:rFonts w:hint="eastAsia" w:ascii="宋体" w:hAnsi="宋体" w:eastAsia="宋体" w:cs="宋体"/>
                <w:sz w:val="24"/>
                <w:szCs w:val="24"/>
                <w:highlight w:val="none"/>
              </w:rPr>
            </w:pPr>
            <w:r>
              <w:rPr>
                <w:rFonts w:hint="eastAsia" w:ascii="宋体" w:hAnsi="宋体" w:eastAsia="宋体" w:cs="宋体"/>
                <w:kern w:val="0"/>
                <w:sz w:val="24"/>
                <w:highlight w:val="none"/>
              </w:rPr>
              <w:t>供应商应保证合同项下所供设备是合同规定厂家供货生产的，全新未使用过的，并完全符合合同规定的质量、规格等要求。</w:t>
            </w:r>
          </w:p>
        </w:tc>
      </w:tr>
      <w:tr w14:paraId="23C00E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8" w:hRule="atLeast"/>
        </w:trPr>
        <w:tc>
          <w:tcPr>
            <w:tcW w:w="996" w:type="dxa"/>
            <w:vAlign w:val="center"/>
          </w:tcPr>
          <w:p w14:paraId="454E4F70">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w:t>
            </w:r>
          </w:p>
        </w:tc>
        <w:tc>
          <w:tcPr>
            <w:tcW w:w="8075" w:type="dxa"/>
            <w:vAlign w:val="center"/>
          </w:tcPr>
          <w:p w14:paraId="15427085">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验收：</w:t>
            </w:r>
          </w:p>
          <w:p w14:paraId="178D461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由采购人和供应商共同对项目整体进行验收。其内容包括确认设备(产品)的产地、规格、型号和数量，对其设备(产品)技术指标、性能参数以及工程质量是否达到现行国家有关验收规范“合格”标准进行逐项检查。</w:t>
            </w:r>
          </w:p>
          <w:p w14:paraId="180FBAC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1.所验设备(产品)的指标、性能参数通过验收达不到竞争性谈判文件要求和谈判响应文件承诺的，或在使用中发现采购人不能容忍的缺陷等，将视为设备(产品)验收不合格，供应商应无条件免费更换或退货。</w:t>
            </w:r>
          </w:p>
          <w:p w14:paraId="160E114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2.若发现供应商有弄虚作假的，在谈判阶段故意或随意夸大设备(产品)技术性能，供应商应无条件退货，并赔偿采购人相应的损失。</w:t>
            </w:r>
          </w:p>
          <w:p w14:paraId="0EF1379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3.验收标准：按竞争性谈判文件、谈判响应文件及澄清函等技术指标进行验收。各项指标均应符合验收标准及要求。</w:t>
            </w:r>
          </w:p>
          <w:p w14:paraId="1783D8A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4.验收合格后，填写验收单，双方签字生效。</w:t>
            </w:r>
          </w:p>
          <w:p w14:paraId="4A494C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5.验收依据：</w:t>
            </w:r>
          </w:p>
          <w:p w14:paraId="05774DC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a)合同文本；</w:t>
            </w:r>
          </w:p>
          <w:p w14:paraId="49942B8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b)谈判响应文件及澄清函、竞争性谈判文件；</w:t>
            </w:r>
          </w:p>
          <w:p w14:paraId="2D50AD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c)国家和行业制定的相应的标准和规范。</w:t>
            </w:r>
          </w:p>
          <w:p w14:paraId="19BBB563">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sz w:val="24"/>
                <w:szCs w:val="24"/>
                <w:highlight w:val="none"/>
              </w:rPr>
              <w:t>d)设备(产品)验收清单（注明各部件的品名、数量、规格型号和原产地或生产厂家）。</w:t>
            </w:r>
          </w:p>
        </w:tc>
      </w:tr>
      <w:tr w14:paraId="4B511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1" w:hRule="atLeast"/>
        </w:trPr>
        <w:tc>
          <w:tcPr>
            <w:tcW w:w="996" w:type="dxa"/>
            <w:vAlign w:val="center"/>
          </w:tcPr>
          <w:p w14:paraId="09E9066C">
            <w:pPr>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w:t>
            </w:r>
          </w:p>
        </w:tc>
        <w:tc>
          <w:tcPr>
            <w:tcW w:w="8075" w:type="dxa"/>
            <w:vAlign w:val="center"/>
          </w:tcPr>
          <w:p w14:paraId="7799CC5F">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质保及维保服务（提供售后服务承诺书）：</w:t>
            </w:r>
          </w:p>
          <w:p w14:paraId="2DFF9183">
            <w:pPr>
              <w:tabs>
                <w:tab w:val="left" w:pos="1080"/>
              </w:tabs>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1）供应商应提供可承担维修职能的公司、全资分公司或办事处，并驻守多名维护技术人员，并提供地点、联系人（常驻工程师）及联系电话（服务热线），随时解答各种疑问（需提供相关证明材料）。</w:t>
            </w:r>
          </w:p>
          <w:p w14:paraId="2A441ED7">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2）服务方式:现场服务</w:t>
            </w:r>
            <w:r>
              <w:rPr>
                <w:rFonts w:hint="eastAsia" w:ascii="宋体" w:hAnsi="宋体" w:cs="宋体"/>
                <w:sz w:val="24"/>
                <w:szCs w:val="24"/>
                <w:highlight w:val="none"/>
                <w:lang w:eastAsia="zh-CN"/>
              </w:rPr>
              <w:t>。</w:t>
            </w:r>
          </w:p>
          <w:p w14:paraId="3B4011B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3）每年至少四次上门维护，回访。</w:t>
            </w:r>
          </w:p>
          <w:p w14:paraId="7AD0C8C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4）对于存在质量问题或者短少的设备</w:t>
            </w:r>
            <w:r>
              <w:rPr>
                <w:rFonts w:hint="eastAsia" w:ascii="宋体" w:hAnsi="宋体" w:cs="宋体"/>
                <w:sz w:val="24"/>
                <w:szCs w:val="24"/>
                <w:highlight w:val="none"/>
                <w:lang w:eastAsia="zh-CN"/>
              </w:rPr>
              <w:t>（产品）</w:t>
            </w:r>
            <w:r>
              <w:rPr>
                <w:rFonts w:hint="eastAsia" w:ascii="宋体" w:hAnsi="宋体" w:eastAsia="宋体" w:cs="宋体"/>
                <w:sz w:val="24"/>
                <w:szCs w:val="24"/>
                <w:highlight w:val="none"/>
              </w:rPr>
              <w:t>，供应商应在接到采购人的通知2个日历日内负责修复，调换、重新制作或补齐。</w:t>
            </w:r>
          </w:p>
          <w:p w14:paraId="3BFAD746">
            <w:pPr>
              <w:tabs>
                <w:tab w:val="left" w:pos="1080"/>
              </w:tabs>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5）设备</w:t>
            </w:r>
            <w:r>
              <w:rPr>
                <w:rFonts w:hint="eastAsia" w:ascii="宋体" w:hAnsi="宋体" w:cs="宋体"/>
                <w:sz w:val="24"/>
                <w:szCs w:val="24"/>
                <w:highlight w:val="none"/>
                <w:lang w:eastAsia="zh-CN"/>
              </w:rPr>
              <w:t>（产品）</w:t>
            </w:r>
            <w:r>
              <w:rPr>
                <w:rFonts w:hint="eastAsia" w:ascii="宋体" w:hAnsi="宋体" w:eastAsia="宋体" w:cs="宋体"/>
                <w:sz w:val="24"/>
                <w:szCs w:val="24"/>
                <w:highlight w:val="none"/>
              </w:rPr>
              <w:t>质量出现问题，如属于三包产品供应商应负责三包（包修、包换、包退），费用由供应商承担。</w:t>
            </w:r>
          </w:p>
          <w:p w14:paraId="7DD9E1F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6）质保期内免收全部维修费用，终身维护保养并保证配件供应。在设备</w:t>
            </w:r>
            <w:r>
              <w:rPr>
                <w:rFonts w:hint="eastAsia" w:ascii="宋体" w:hAnsi="宋体" w:cs="宋体"/>
                <w:sz w:val="24"/>
                <w:szCs w:val="24"/>
                <w:highlight w:val="none"/>
                <w:lang w:eastAsia="zh-CN"/>
              </w:rPr>
              <w:t>（产品）</w:t>
            </w:r>
            <w:r>
              <w:rPr>
                <w:rFonts w:hint="eastAsia" w:ascii="宋体" w:hAnsi="宋体" w:eastAsia="宋体" w:cs="宋体"/>
                <w:sz w:val="24"/>
                <w:szCs w:val="24"/>
                <w:highlight w:val="none"/>
              </w:rPr>
              <w:t>最终验收后的质量保证期内，供应商应对由于设计、工艺或材料的缺陷而产生的故障负责（负责解决并承担全部费用）。质保期满后如出现此类问题亦应负责。</w:t>
            </w:r>
          </w:p>
          <w:p w14:paraId="2910292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7）谈判</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及所投设备(产品)的生产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宋体" w:hAnsi="宋体" w:eastAsia="宋体" w:cs="宋体"/>
                <w:kern w:val="0"/>
                <w:sz w:val="24"/>
                <w:highlight w:val="none"/>
              </w:rPr>
              <w:t>竞争性谈判文件</w:t>
            </w:r>
            <w:r>
              <w:rPr>
                <w:rFonts w:hint="eastAsia" w:ascii="宋体" w:hAnsi="宋体" w:eastAsia="宋体" w:cs="宋体"/>
                <w:sz w:val="24"/>
                <w:szCs w:val="24"/>
                <w:highlight w:val="none"/>
              </w:rPr>
              <w:t>要求对待。</w:t>
            </w:r>
          </w:p>
        </w:tc>
      </w:tr>
      <w:tr w14:paraId="5D487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30" w:hRule="atLeast"/>
        </w:trPr>
        <w:tc>
          <w:tcPr>
            <w:tcW w:w="996" w:type="dxa"/>
            <w:vAlign w:val="center"/>
          </w:tcPr>
          <w:p w14:paraId="2ADAEC55">
            <w:pPr>
              <w:pStyle w:val="11"/>
              <w:spacing w:line="360" w:lineRule="auto"/>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w:t>
            </w:r>
          </w:p>
        </w:tc>
        <w:tc>
          <w:tcPr>
            <w:tcW w:w="8075" w:type="dxa"/>
            <w:vAlign w:val="center"/>
          </w:tcPr>
          <w:p w14:paraId="7DDF2E8A">
            <w:pPr>
              <w:spacing w:line="360" w:lineRule="auto"/>
              <w:rPr>
                <w:rFonts w:hint="eastAsia" w:ascii="宋体" w:hAnsi="宋体" w:eastAsia="宋体" w:cs="宋体"/>
                <w:b/>
                <w:kern w:val="0"/>
                <w:sz w:val="24"/>
                <w:highlight w:val="none"/>
              </w:rPr>
            </w:pPr>
            <w:r>
              <w:rPr>
                <w:rFonts w:hint="eastAsia" w:ascii="宋体" w:hAnsi="宋体" w:eastAsia="宋体" w:cs="宋体"/>
                <w:b/>
                <w:kern w:val="0"/>
                <w:sz w:val="24"/>
                <w:highlight w:val="none"/>
              </w:rPr>
              <w:t>其它:</w:t>
            </w:r>
          </w:p>
          <w:p w14:paraId="6D840F0C">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1．谈判</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须按报价一览表（统一格式）和谈判分项报价表（统一格式）的内容填写单价、总价及其他事项。</w:t>
            </w:r>
          </w:p>
          <w:p w14:paraId="1152D34B">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2．谈判</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所报的谈判价在合同执行过程中是固定不变的，不得以任何理由予以变更。</w:t>
            </w:r>
          </w:p>
        </w:tc>
      </w:tr>
    </w:tbl>
    <w:p w14:paraId="59AB72BA">
      <w:pPr>
        <w:jc w:val="center"/>
        <w:rPr>
          <w:rFonts w:hint="eastAsia" w:ascii="宋体" w:hAnsi="宋体" w:eastAsia="宋体" w:cs="宋体"/>
          <w:b w:val="0"/>
          <w:bCs/>
          <w:sz w:val="52"/>
          <w:szCs w:val="52"/>
          <w:highlight w:val="none"/>
          <w:lang w:eastAsia="zh-CN"/>
        </w:rPr>
      </w:pPr>
    </w:p>
    <w:p w14:paraId="7145B785">
      <w:pPr>
        <w:pStyle w:val="14"/>
        <w:rPr>
          <w:rFonts w:hint="eastAsia" w:ascii="宋体" w:hAnsi="宋体" w:eastAsia="宋体" w:cs="宋体"/>
          <w:b/>
          <w:sz w:val="52"/>
          <w:szCs w:val="52"/>
          <w:highlight w:val="none"/>
          <w:lang w:eastAsia="zh-CN"/>
        </w:rPr>
      </w:pPr>
    </w:p>
    <w:p w14:paraId="331F0D9C">
      <w:pPr>
        <w:pStyle w:val="14"/>
        <w:rPr>
          <w:rFonts w:hint="eastAsia" w:ascii="宋体" w:hAnsi="宋体" w:eastAsia="宋体" w:cs="宋体"/>
          <w:b/>
          <w:sz w:val="52"/>
          <w:szCs w:val="52"/>
          <w:highlight w:val="none"/>
          <w:lang w:eastAsia="zh-CN"/>
        </w:rPr>
      </w:pPr>
    </w:p>
    <w:p w14:paraId="51956892">
      <w:pPr>
        <w:rPr>
          <w:rFonts w:hint="eastAsia" w:ascii="宋体" w:hAnsi="宋体" w:eastAsia="宋体" w:cs="宋体"/>
          <w:b/>
          <w:bCs/>
          <w:sz w:val="48"/>
          <w:szCs w:val="44"/>
          <w:highlight w:val="none"/>
          <w:lang w:val="en-US" w:eastAsia="zh-CN"/>
        </w:rPr>
      </w:pPr>
      <w:r>
        <w:rPr>
          <w:rFonts w:hint="eastAsia" w:ascii="宋体" w:hAnsi="宋体" w:eastAsia="宋体" w:cs="宋体"/>
          <w:b/>
          <w:bCs/>
          <w:sz w:val="48"/>
          <w:szCs w:val="44"/>
          <w:highlight w:val="none"/>
          <w:lang w:val="en-US" w:eastAsia="zh-CN"/>
        </w:rPr>
        <w:br w:type="page"/>
      </w:r>
    </w:p>
    <w:p w14:paraId="7F173CF9">
      <w:pPr>
        <w:jc w:val="center"/>
        <w:rPr>
          <w:rFonts w:hint="eastAsia" w:ascii="宋体" w:hAnsi="宋体" w:eastAsia="宋体" w:cs="宋体"/>
          <w:b/>
          <w:bCs/>
          <w:sz w:val="48"/>
          <w:szCs w:val="44"/>
          <w:highlight w:val="none"/>
        </w:rPr>
      </w:pPr>
      <w:r>
        <w:rPr>
          <w:rFonts w:hint="eastAsia" w:ascii="宋体" w:hAnsi="宋体" w:eastAsia="宋体" w:cs="宋体"/>
          <w:b/>
          <w:bCs/>
          <w:sz w:val="48"/>
          <w:szCs w:val="44"/>
          <w:highlight w:val="none"/>
          <w:lang w:val="en-US" w:eastAsia="zh-CN"/>
        </w:rPr>
        <w:t>碑林区西铁第一幼儿园班级及办公、厨房设备、户外器械设备采购项目合同</w:t>
      </w:r>
    </w:p>
    <w:p w14:paraId="674EB0E0">
      <w:pPr>
        <w:pStyle w:val="8"/>
        <w:rPr>
          <w:rFonts w:hint="eastAsia" w:ascii="宋体" w:hAnsi="宋体" w:eastAsia="宋体" w:cs="宋体"/>
          <w:sz w:val="28"/>
          <w:szCs w:val="24"/>
          <w:highlight w:val="none"/>
        </w:rPr>
      </w:pPr>
    </w:p>
    <w:p w14:paraId="7D66C1C4">
      <w:pPr>
        <w:pStyle w:val="8"/>
        <w:rPr>
          <w:rFonts w:hint="eastAsia" w:ascii="宋体" w:hAnsi="宋体" w:eastAsia="宋体" w:cs="宋体"/>
          <w:sz w:val="28"/>
          <w:szCs w:val="24"/>
          <w:highlight w:val="none"/>
        </w:rPr>
      </w:pPr>
    </w:p>
    <w:p w14:paraId="4622F1C7">
      <w:pPr>
        <w:jc w:val="center"/>
        <w:rPr>
          <w:rFonts w:hint="eastAsia" w:ascii="宋体" w:hAnsi="宋体" w:eastAsia="宋体" w:cs="宋体"/>
          <w:b/>
          <w:bCs/>
          <w:sz w:val="2"/>
          <w:szCs w:val="24"/>
          <w:highlight w:val="none"/>
        </w:rPr>
      </w:pPr>
      <w:r>
        <w:rPr>
          <w:rFonts w:hint="eastAsia" w:ascii="宋体" w:hAnsi="宋体" w:eastAsia="宋体" w:cs="宋体"/>
          <w:b/>
          <w:bCs/>
          <w:sz w:val="28"/>
          <w:szCs w:val="24"/>
          <w:highlight w:val="none"/>
        </w:rPr>
        <w:t>（示范文本）</w:t>
      </w:r>
    </w:p>
    <w:p w14:paraId="2EA6ED98">
      <w:pPr>
        <w:ind w:firstLine="480" w:firstLineChars="200"/>
        <w:rPr>
          <w:rFonts w:hint="eastAsia" w:ascii="宋体" w:hAnsi="宋体" w:eastAsia="宋体" w:cs="宋体"/>
          <w:b/>
          <w:sz w:val="24"/>
          <w:highlight w:val="none"/>
        </w:rPr>
      </w:pPr>
      <w:r>
        <w:rPr>
          <w:rFonts w:hint="eastAsia" w:ascii="宋体" w:hAnsi="宋体" w:eastAsia="宋体" w:cs="宋体"/>
          <w:sz w:val="24"/>
          <w:highlight w:val="none"/>
        </w:rPr>
        <w:br w:type="page"/>
      </w:r>
      <w:r>
        <w:rPr>
          <w:rFonts w:hint="eastAsia" w:ascii="宋体" w:hAnsi="宋体" w:eastAsia="宋体" w:cs="宋体"/>
          <w:b/>
          <w:sz w:val="24"/>
          <w:highlight w:val="none"/>
        </w:rPr>
        <w:t>采购人（全称）：</w:t>
      </w:r>
      <w:r>
        <w:rPr>
          <w:rFonts w:hint="eastAsia" w:ascii="宋体" w:hAnsi="宋体" w:eastAsia="宋体" w:cs="宋体"/>
          <w:b/>
          <w:sz w:val="24"/>
          <w:highlight w:val="none"/>
          <w:u w:val="single"/>
        </w:rPr>
        <w:t xml:space="preserve">                                      </w:t>
      </w:r>
    </w:p>
    <w:p w14:paraId="65707C8C">
      <w:pPr>
        <w:adjustRightInd w:val="0"/>
        <w:snapToGrid w:val="0"/>
        <w:spacing w:line="580" w:lineRule="exact"/>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供应商（全称）：</w:t>
      </w:r>
      <w:r>
        <w:rPr>
          <w:rFonts w:hint="eastAsia" w:ascii="宋体" w:hAnsi="宋体" w:eastAsia="宋体" w:cs="宋体"/>
          <w:b/>
          <w:sz w:val="24"/>
          <w:highlight w:val="none"/>
          <w:u w:val="single"/>
        </w:rPr>
        <w:t xml:space="preserve">                                   </w:t>
      </w:r>
      <w:r>
        <w:rPr>
          <w:rFonts w:hint="eastAsia" w:ascii="宋体" w:hAnsi="宋体" w:eastAsia="宋体" w:cs="宋体"/>
          <w:sz w:val="24"/>
          <w:highlight w:val="none"/>
          <w:u w:val="single"/>
        </w:rPr>
        <w:t xml:space="preserve">   </w:t>
      </w:r>
    </w:p>
    <w:p w14:paraId="09063B8B">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根据《中华人民共和国</w:t>
      </w:r>
      <w:r>
        <w:rPr>
          <w:rFonts w:hint="eastAsia" w:ascii="宋体" w:hAnsi="宋体" w:eastAsia="宋体" w:cs="宋体"/>
          <w:sz w:val="24"/>
          <w:highlight w:val="none"/>
          <w:lang w:eastAsia="zh-CN"/>
        </w:rPr>
        <w:t>民法典</w:t>
      </w:r>
      <w:r>
        <w:rPr>
          <w:rFonts w:hint="eastAsia" w:ascii="宋体" w:hAnsi="宋体" w:eastAsia="宋体" w:cs="宋体"/>
          <w:sz w:val="24"/>
          <w:highlight w:val="none"/>
        </w:rPr>
        <w:t>》及其他有关法律、法规，遵循平等、自愿、公平和诚信的原则，双方就下述项目范围与相关服务事项协商一致，订立本合同。</w:t>
      </w:r>
    </w:p>
    <w:p w14:paraId="61B9F0D4">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一、项目概况</w:t>
      </w:r>
    </w:p>
    <w:p w14:paraId="09932786">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1. 项目名称：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412AE702">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2. 项目地点：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15FF361">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3. 项目</w:t>
      </w:r>
      <w:r>
        <w:rPr>
          <w:rFonts w:hint="eastAsia" w:ascii="宋体" w:hAnsi="宋体" w:eastAsia="宋体" w:cs="宋体"/>
          <w:kern w:val="0"/>
          <w:sz w:val="24"/>
          <w:highlight w:val="none"/>
        </w:rPr>
        <w:t>内容</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6C201D1E">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二、组成本合同的文件</w:t>
      </w:r>
    </w:p>
    <w:p w14:paraId="01E72F40">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1. 协议书；</w:t>
      </w:r>
    </w:p>
    <w:p w14:paraId="6EBB6436">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2. 成交通知书、谈判响应文件、谈判文件、澄清、谈判补充文件（或委托书）；</w:t>
      </w:r>
    </w:p>
    <w:p w14:paraId="7C5FEFC6">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 相关服务建议书；</w:t>
      </w:r>
    </w:p>
    <w:p w14:paraId="17F82235">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4. 附录，即：附表内相关服务的范围和内容；</w:t>
      </w:r>
    </w:p>
    <w:p w14:paraId="1D72145D">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本合同签订后，双方依法签订的补充协议也是本合同文件的组成部分。</w:t>
      </w:r>
    </w:p>
    <w:p w14:paraId="11057C5F">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三、合同价款</w:t>
      </w:r>
    </w:p>
    <w:p w14:paraId="06C4AD8E">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合同总价（大写）：</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0F1EB320">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合同总价即成交价，合同总价一次包死，不受市场价变化或实际工作量变化的影响，合同价格为含税价，供应商（</w:t>
      </w:r>
      <w:r>
        <w:rPr>
          <w:rFonts w:hint="eastAsia" w:ascii="宋体" w:hAnsi="宋体" w:eastAsia="宋体" w:cs="宋体"/>
          <w:sz w:val="24"/>
          <w:highlight w:val="none"/>
          <w:lang w:eastAsia="zh-CN"/>
        </w:rPr>
        <w:t>成交供应商</w:t>
      </w:r>
      <w:r>
        <w:rPr>
          <w:rFonts w:hint="eastAsia" w:ascii="宋体" w:hAnsi="宋体" w:eastAsia="宋体" w:cs="宋体"/>
          <w:sz w:val="24"/>
          <w:highlight w:val="none"/>
        </w:rPr>
        <w:t>）提供产品所发生的一切税（包括增值税）费等都已包含于合同价款中。</w:t>
      </w:r>
    </w:p>
    <w:p w14:paraId="217112DD">
      <w:pPr>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四、结算方式：</w:t>
      </w:r>
    </w:p>
    <w:p w14:paraId="28B648E6">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（1）结算单位：由采购人以人民币负责结算，在付款前，供应商必须开具全额发票给采购人。</w:t>
      </w:r>
    </w:p>
    <w:p w14:paraId="751C9C84">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szCs w:val="24"/>
          <w:highlight w:val="none"/>
        </w:rPr>
        <w:t>付款方式：详见竞争性谈判文件</w:t>
      </w:r>
      <w:r>
        <w:rPr>
          <w:rFonts w:hint="eastAsia" w:ascii="宋体" w:hAnsi="宋体" w:eastAsia="宋体" w:cs="宋体"/>
          <w:sz w:val="24"/>
          <w:szCs w:val="24"/>
          <w:highlight w:val="none"/>
          <w:lang w:eastAsia="zh-CN"/>
        </w:rPr>
        <w:t>合同前附表</w:t>
      </w:r>
      <w:r>
        <w:rPr>
          <w:rFonts w:hint="eastAsia" w:ascii="宋体" w:hAnsi="宋体" w:eastAsia="宋体" w:cs="宋体"/>
          <w:sz w:val="24"/>
          <w:szCs w:val="24"/>
          <w:highlight w:val="none"/>
        </w:rPr>
        <w:t>。</w:t>
      </w:r>
    </w:p>
    <w:p w14:paraId="27980D67">
      <w:pPr>
        <w:adjustRightInd w:val="0"/>
        <w:snapToGrid w:val="0"/>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五、</w:t>
      </w:r>
      <w:r>
        <w:rPr>
          <w:rFonts w:hint="eastAsia" w:ascii="宋体" w:hAnsi="宋体" w:eastAsia="宋体" w:cs="宋体"/>
          <w:b/>
          <w:sz w:val="24"/>
          <w:highlight w:val="none"/>
          <w:lang w:eastAsia="zh-CN"/>
        </w:rPr>
        <w:t>交货</w:t>
      </w:r>
      <w:r>
        <w:rPr>
          <w:rFonts w:hint="eastAsia" w:ascii="宋体" w:hAnsi="宋体" w:eastAsia="宋体" w:cs="宋体"/>
          <w:b/>
          <w:sz w:val="24"/>
          <w:highlight w:val="none"/>
        </w:rPr>
        <w:t>期限</w:t>
      </w:r>
    </w:p>
    <w:p w14:paraId="30B894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交货期：</w:t>
      </w:r>
      <w:r>
        <w:rPr>
          <w:rFonts w:hint="eastAsia" w:ascii="宋体" w:hAnsi="宋体" w:cs="宋体"/>
          <w:sz w:val="24"/>
          <w:szCs w:val="24"/>
          <w:highlight w:val="none"/>
          <w:lang w:eastAsia="zh-CN"/>
        </w:rPr>
        <w:t>自合同签订之日起30日历天内安装调试完成。</w:t>
      </w:r>
      <w:bookmarkStart w:id="3" w:name="_GoBack"/>
      <w:bookmarkEnd w:id="3"/>
    </w:p>
    <w:p w14:paraId="6CF83F9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2"/>
          <w:highlight w:val="none"/>
          <w:lang w:val="en-US" w:eastAsia="zh-CN"/>
        </w:rPr>
      </w:pPr>
      <w:r>
        <w:rPr>
          <w:rFonts w:hint="eastAsia" w:ascii="宋体" w:hAnsi="宋体" w:eastAsia="宋体" w:cs="宋体"/>
          <w:color w:val="auto"/>
          <w:sz w:val="24"/>
          <w:szCs w:val="22"/>
          <w:highlight w:val="none"/>
        </w:rPr>
        <w:t>交货地点：采购人指定地点</w:t>
      </w:r>
      <w:r>
        <w:rPr>
          <w:rFonts w:hint="eastAsia" w:ascii="宋体" w:hAnsi="宋体" w:eastAsia="宋体" w:cs="宋体"/>
          <w:color w:val="auto"/>
          <w:sz w:val="24"/>
          <w:szCs w:val="22"/>
          <w:highlight w:val="none"/>
          <w:lang w:eastAsia="zh-CN"/>
        </w:rPr>
        <w:t>。</w:t>
      </w:r>
    </w:p>
    <w:p w14:paraId="5B6DFE73">
      <w:pPr>
        <w:adjustRightInd w:val="0"/>
        <w:snapToGrid w:val="0"/>
        <w:spacing w:line="360" w:lineRule="auto"/>
        <w:rPr>
          <w:rFonts w:hint="eastAsia" w:ascii="宋体" w:hAnsi="宋体" w:eastAsia="宋体" w:cs="宋体"/>
          <w:b/>
          <w:color w:val="auto"/>
          <w:sz w:val="24"/>
          <w:szCs w:val="22"/>
          <w:highlight w:val="none"/>
          <w:lang w:eastAsia="zh-CN"/>
        </w:rPr>
      </w:pPr>
      <w:r>
        <w:rPr>
          <w:rFonts w:hint="eastAsia" w:ascii="宋体" w:hAnsi="宋体" w:eastAsia="宋体" w:cs="宋体"/>
          <w:b/>
          <w:color w:val="auto"/>
          <w:sz w:val="24"/>
          <w:szCs w:val="22"/>
          <w:highlight w:val="none"/>
          <w:lang w:eastAsia="zh-CN"/>
        </w:rPr>
        <w:t>六、质保期</w:t>
      </w:r>
    </w:p>
    <w:p w14:paraId="6D007E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2"/>
          <w:highlight w:val="none"/>
          <w:lang w:eastAsia="zh-CN"/>
        </w:rPr>
      </w:pPr>
      <w:r>
        <w:rPr>
          <w:rFonts w:hint="eastAsia" w:ascii="宋体" w:hAnsi="宋体" w:eastAsia="宋体" w:cs="宋体"/>
          <w:color w:val="auto"/>
          <w:sz w:val="24"/>
          <w:szCs w:val="22"/>
          <w:highlight w:val="none"/>
        </w:rPr>
        <w:t>自验收合格之日</w:t>
      </w:r>
      <w:r>
        <w:rPr>
          <w:rFonts w:hint="eastAsia" w:ascii="宋体" w:hAnsi="宋体" w:eastAsia="宋体" w:cs="宋体"/>
          <w:color w:val="auto"/>
          <w:sz w:val="24"/>
          <w:szCs w:val="22"/>
          <w:highlight w:val="none"/>
          <w:lang w:val="en-US" w:eastAsia="zh-CN"/>
        </w:rPr>
        <w:t>起不少于3</w:t>
      </w:r>
      <w:r>
        <w:rPr>
          <w:rFonts w:hint="eastAsia" w:ascii="宋体" w:hAnsi="宋体" w:eastAsia="宋体" w:cs="宋体"/>
          <w:color w:val="auto"/>
          <w:sz w:val="24"/>
          <w:szCs w:val="22"/>
          <w:highlight w:val="none"/>
        </w:rPr>
        <w:t>年。</w:t>
      </w:r>
    </w:p>
    <w:p w14:paraId="05565FF9">
      <w:pPr>
        <w:numPr>
          <w:ilvl w:val="0"/>
          <w:numId w:val="0"/>
        </w:numPr>
        <w:spacing w:line="360" w:lineRule="auto"/>
        <w:rPr>
          <w:rFonts w:hint="eastAsia" w:ascii="宋体" w:hAnsi="宋体" w:eastAsia="宋体" w:cs="宋体"/>
          <w:b/>
          <w:sz w:val="24"/>
          <w:highlight w:val="none"/>
        </w:rPr>
      </w:pPr>
      <w:r>
        <w:rPr>
          <w:rFonts w:hint="eastAsia" w:ascii="宋体" w:hAnsi="宋体" w:eastAsia="宋体" w:cs="宋体"/>
          <w:b/>
          <w:sz w:val="24"/>
          <w:highlight w:val="none"/>
          <w:lang w:eastAsia="zh-CN"/>
        </w:rPr>
        <w:t>七</w:t>
      </w:r>
      <w:r>
        <w:rPr>
          <w:rFonts w:hint="eastAsia" w:ascii="宋体" w:hAnsi="宋体" w:eastAsia="宋体" w:cs="宋体"/>
          <w:b/>
          <w:sz w:val="24"/>
          <w:highlight w:val="none"/>
        </w:rPr>
        <w:t>、双方承诺</w:t>
      </w:r>
    </w:p>
    <w:p w14:paraId="2DA1FD23">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1. 供应商向采购人承诺，按照本合同约定提供相关服务。</w:t>
      </w:r>
    </w:p>
    <w:p w14:paraId="7DCC6862">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2. 采购人向供应商承诺，按照本合同约定支付服务款项。</w:t>
      </w:r>
    </w:p>
    <w:p w14:paraId="7B00A155">
      <w:pPr>
        <w:tabs>
          <w:tab w:val="left" w:pos="840"/>
        </w:tabs>
        <w:spacing w:line="360" w:lineRule="auto"/>
        <w:rPr>
          <w:rFonts w:hint="eastAsia" w:ascii="宋体" w:hAnsi="宋体" w:eastAsia="宋体" w:cs="宋体"/>
          <w:b/>
          <w:sz w:val="24"/>
          <w:highlight w:val="none"/>
        </w:rPr>
      </w:pPr>
      <w:r>
        <w:rPr>
          <w:rFonts w:hint="eastAsia" w:ascii="宋体" w:hAnsi="宋体" w:eastAsia="宋体" w:cs="宋体"/>
          <w:b/>
          <w:sz w:val="24"/>
          <w:highlight w:val="none"/>
          <w:lang w:eastAsia="zh-CN"/>
        </w:rPr>
        <w:t>八</w:t>
      </w:r>
      <w:r>
        <w:rPr>
          <w:rFonts w:hint="eastAsia" w:ascii="宋体" w:hAnsi="宋体" w:eastAsia="宋体" w:cs="宋体"/>
          <w:b/>
          <w:sz w:val="24"/>
          <w:highlight w:val="none"/>
        </w:rPr>
        <w:t>、内容及要求：</w:t>
      </w:r>
    </w:p>
    <w:p w14:paraId="0907D5EE">
      <w:pPr>
        <w:tabs>
          <w:tab w:val="left" w:pos="840"/>
        </w:tabs>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即交付的设备（产品）、服务内容、数量与谈判响应文件、竞争性谈判文件等所指明的，或者与本合同所指明的设备（产品）、服务内容相一致。（附清单）</w:t>
      </w:r>
    </w:p>
    <w:p w14:paraId="01288DFE">
      <w:pPr>
        <w:spacing w:after="120" w:afterLine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供货</w:t>
      </w:r>
      <w:r>
        <w:rPr>
          <w:rFonts w:hint="eastAsia" w:ascii="宋体" w:hAnsi="宋体" w:eastAsia="宋体" w:cs="宋体"/>
          <w:b/>
          <w:sz w:val="32"/>
          <w:szCs w:val="32"/>
          <w:highlight w:val="none"/>
          <w:lang w:eastAsia="zh-CN"/>
        </w:rPr>
        <w:t>内容</w:t>
      </w:r>
      <w:r>
        <w:rPr>
          <w:rFonts w:hint="eastAsia" w:ascii="宋体" w:hAnsi="宋体" w:eastAsia="宋体" w:cs="宋体"/>
          <w:b/>
          <w:sz w:val="32"/>
          <w:szCs w:val="32"/>
          <w:highlight w:val="none"/>
        </w:rPr>
        <w:t>一览表</w:t>
      </w:r>
    </w:p>
    <w:tbl>
      <w:tblPr>
        <w:tblStyle w:val="15"/>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12F2AE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center"/>
          </w:tcPr>
          <w:p w14:paraId="74CB854E">
            <w:pPr>
              <w:spacing w:before="163" w:beforeLines="50"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序号</w:t>
            </w:r>
          </w:p>
        </w:tc>
        <w:tc>
          <w:tcPr>
            <w:tcW w:w="960" w:type="dxa"/>
            <w:vAlign w:val="center"/>
          </w:tcPr>
          <w:p w14:paraId="1458F86F">
            <w:pPr>
              <w:spacing w:before="163" w:beforeLines="50"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名称</w:t>
            </w:r>
          </w:p>
        </w:tc>
        <w:tc>
          <w:tcPr>
            <w:tcW w:w="1485" w:type="dxa"/>
            <w:tcBorders>
              <w:right w:val="single" w:color="auto" w:sz="4" w:space="0"/>
            </w:tcBorders>
            <w:vAlign w:val="center"/>
          </w:tcPr>
          <w:p w14:paraId="40847D07">
            <w:pPr>
              <w:pStyle w:val="4"/>
              <w:adjustRightInd w:val="0"/>
              <w:snapToGrid w:val="0"/>
              <w:ind w:left="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品牌、规格及型号</w:t>
            </w:r>
          </w:p>
        </w:tc>
        <w:tc>
          <w:tcPr>
            <w:tcW w:w="1695" w:type="dxa"/>
            <w:tcBorders>
              <w:left w:val="single" w:color="auto" w:sz="4" w:space="0"/>
            </w:tcBorders>
            <w:vAlign w:val="center"/>
          </w:tcPr>
          <w:p w14:paraId="370E6E34">
            <w:pPr>
              <w:pStyle w:val="4"/>
              <w:adjustRightInd w:val="0"/>
              <w:snapToGrid w:val="0"/>
              <w:ind w:left="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原产地及 制造厂名</w:t>
            </w:r>
          </w:p>
        </w:tc>
        <w:tc>
          <w:tcPr>
            <w:tcW w:w="825" w:type="dxa"/>
            <w:tcBorders>
              <w:right w:val="single" w:color="auto" w:sz="4" w:space="0"/>
            </w:tcBorders>
            <w:vAlign w:val="center"/>
          </w:tcPr>
          <w:p w14:paraId="2832C3AE">
            <w:pPr>
              <w:pStyle w:val="4"/>
              <w:adjustRightInd w:val="0"/>
              <w:snapToGrid w:val="0"/>
              <w:ind w:left="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单价</w:t>
            </w:r>
          </w:p>
        </w:tc>
        <w:tc>
          <w:tcPr>
            <w:tcW w:w="735" w:type="dxa"/>
            <w:tcBorders>
              <w:left w:val="single" w:color="auto" w:sz="4" w:space="0"/>
              <w:right w:val="single" w:color="auto" w:sz="4" w:space="0"/>
            </w:tcBorders>
            <w:vAlign w:val="center"/>
          </w:tcPr>
          <w:p w14:paraId="18A0AE3B">
            <w:pPr>
              <w:pStyle w:val="4"/>
              <w:adjustRightInd w:val="0"/>
              <w:snapToGrid w:val="0"/>
              <w:ind w:left="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数量</w:t>
            </w:r>
          </w:p>
        </w:tc>
        <w:tc>
          <w:tcPr>
            <w:tcW w:w="1050" w:type="dxa"/>
            <w:tcBorders>
              <w:left w:val="single" w:color="auto" w:sz="4" w:space="0"/>
            </w:tcBorders>
            <w:vAlign w:val="center"/>
          </w:tcPr>
          <w:p w14:paraId="0CC62302">
            <w:pPr>
              <w:pStyle w:val="4"/>
              <w:ind w:left="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交付地点</w:t>
            </w:r>
          </w:p>
        </w:tc>
        <w:tc>
          <w:tcPr>
            <w:tcW w:w="1215" w:type="dxa"/>
            <w:tcBorders>
              <w:right w:val="single" w:color="auto" w:sz="4" w:space="0"/>
            </w:tcBorders>
            <w:vAlign w:val="center"/>
          </w:tcPr>
          <w:p w14:paraId="7D766AD3">
            <w:pPr>
              <w:pStyle w:val="4"/>
              <w:ind w:left="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交付时间</w:t>
            </w:r>
          </w:p>
        </w:tc>
        <w:tc>
          <w:tcPr>
            <w:tcW w:w="903" w:type="dxa"/>
            <w:tcBorders>
              <w:right w:val="single" w:color="auto" w:sz="4" w:space="0"/>
            </w:tcBorders>
            <w:vAlign w:val="center"/>
          </w:tcPr>
          <w:p w14:paraId="099F952A">
            <w:pPr>
              <w:pStyle w:val="4"/>
              <w:ind w:left="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备注</w:t>
            </w:r>
          </w:p>
        </w:tc>
      </w:tr>
      <w:tr w14:paraId="6E1AE7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top"/>
          </w:tcPr>
          <w:p w14:paraId="4524182A">
            <w:pPr>
              <w:spacing w:before="163" w:beforeLines="50" w:line="360" w:lineRule="auto"/>
              <w:jc w:val="center"/>
              <w:rPr>
                <w:rFonts w:hint="eastAsia" w:ascii="宋体" w:hAnsi="宋体" w:eastAsia="宋体" w:cs="宋体"/>
                <w:szCs w:val="24"/>
                <w:highlight w:val="none"/>
              </w:rPr>
            </w:pPr>
          </w:p>
        </w:tc>
        <w:tc>
          <w:tcPr>
            <w:tcW w:w="960" w:type="dxa"/>
            <w:vAlign w:val="top"/>
          </w:tcPr>
          <w:p w14:paraId="1553919F">
            <w:pPr>
              <w:spacing w:before="163" w:beforeLines="50" w:line="360" w:lineRule="auto"/>
              <w:jc w:val="center"/>
              <w:rPr>
                <w:rFonts w:hint="eastAsia" w:ascii="宋体" w:hAnsi="宋体" w:eastAsia="宋体" w:cs="宋体"/>
                <w:szCs w:val="24"/>
                <w:highlight w:val="none"/>
              </w:rPr>
            </w:pPr>
          </w:p>
        </w:tc>
        <w:tc>
          <w:tcPr>
            <w:tcW w:w="1485" w:type="dxa"/>
            <w:tcBorders>
              <w:right w:val="single" w:color="auto" w:sz="4" w:space="0"/>
            </w:tcBorders>
            <w:vAlign w:val="top"/>
          </w:tcPr>
          <w:p w14:paraId="3CCCB433">
            <w:pPr>
              <w:spacing w:before="163" w:beforeLines="50" w:line="360" w:lineRule="auto"/>
              <w:jc w:val="center"/>
              <w:rPr>
                <w:rFonts w:hint="eastAsia" w:ascii="宋体" w:hAnsi="宋体" w:eastAsia="宋体" w:cs="宋体"/>
                <w:szCs w:val="24"/>
                <w:highlight w:val="none"/>
              </w:rPr>
            </w:pPr>
          </w:p>
        </w:tc>
        <w:tc>
          <w:tcPr>
            <w:tcW w:w="1695" w:type="dxa"/>
            <w:tcBorders>
              <w:left w:val="single" w:color="auto" w:sz="4" w:space="0"/>
            </w:tcBorders>
            <w:vAlign w:val="top"/>
          </w:tcPr>
          <w:p w14:paraId="6AEE19A9">
            <w:pPr>
              <w:spacing w:before="163" w:beforeLines="50" w:line="360" w:lineRule="auto"/>
              <w:jc w:val="center"/>
              <w:rPr>
                <w:rFonts w:hint="eastAsia" w:ascii="宋体" w:hAnsi="宋体" w:eastAsia="宋体" w:cs="宋体"/>
                <w:szCs w:val="24"/>
                <w:highlight w:val="none"/>
              </w:rPr>
            </w:pPr>
          </w:p>
        </w:tc>
        <w:tc>
          <w:tcPr>
            <w:tcW w:w="825" w:type="dxa"/>
            <w:tcBorders>
              <w:right w:val="single" w:color="auto" w:sz="4" w:space="0"/>
            </w:tcBorders>
            <w:vAlign w:val="top"/>
          </w:tcPr>
          <w:p w14:paraId="17037AAF">
            <w:pPr>
              <w:spacing w:before="163" w:beforeLines="50" w:line="360" w:lineRule="auto"/>
              <w:jc w:val="center"/>
              <w:rPr>
                <w:rFonts w:hint="eastAsia" w:ascii="宋体" w:hAnsi="宋体" w:eastAsia="宋体" w:cs="宋体"/>
                <w:szCs w:val="24"/>
                <w:highlight w:val="none"/>
              </w:rPr>
            </w:pPr>
          </w:p>
        </w:tc>
        <w:tc>
          <w:tcPr>
            <w:tcW w:w="735" w:type="dxa"/>
            <w:tcBorders>
              <w:left w:val="single" w:color="auto" w:sz="4" w:space="0"/>
              <w:right w:val="single" w:color="auto" w:sz="4" w:space="0"/>
            </w:tcBorders>
            <w:vAlign w:val="top"/>
          </w:tcPr>
          <w:p w14:paraId="5F968172">
            <w:pPr>
              <w:spacing w:before="163" w:beforeLines="50" w:line="360" w:lineRule="auto"/>
              <w:jc w:val="center"/>
              <w:rPr>
                <w:rFonts w:hint="eastAsia" w:ascii="宋体" w:hAnsi="宋体" w:eastAsia="宋体" w:cs="宋体"/>
                <w:szCs w:val="24"/>
                <w:highlight w:val="none"/>
              </w:rPr>
            </w:pPr>
          </w:p>
        </w:tc>
        <w:tc>
          <w:tcPr>
            <w:tcW w:w="1050" w:type="dxa"/>
            <w:tcBorders>
              <w:left w:val="single" w:color="auto" w:sz="4" w:space="0"/>
            </w:tcBorders>
            <w:vAlign w:val="top"/>
          </w:tcPr>
          <w:p w14:paraId="79A3AD69">
            <w:pPr>
              <w:spacing w:before="163" w:beforeLines="50" w:line="360" w:lineRule="auto"/>
              <w:jc w:val="center"/>
              <w:rPr>
                <w:rFonts w:hint="eastAsia" w:ascii="宋体" w:hAnsi="宋体" w:eastAsia="宋体" w:cs="宋体"/>
                <w:szCs w:val="24"/>
                <w:highlight w:val="none"/>
              </w:rPr>
            </w:pPr>
          </w:p>
        </w:tc>
        <w:tc>
          <w:tcPr>
            <w:tcW w:w="1215" w:type="dxa"/>
            <w:tcBorders>
              <w:right w:val="single" w:color="auto" w:sz="4" w:space="0"/>
            </w:tcBorders>
            <w:vAlign w:val="top"/>
          </w:tcPr>
          <w:p w14:paraId="69E31D7F">
            <w:pPr>
              <w:spacing w:before="163" w:beforeLines="50" w:line="360" w:lineRule="auto"/>
              <w:jc w:val="center"/>
              <w:rPr>
                <w:rFonts w:hint="eastAsia" w:ascii="宋体" w:hAnsi="宋体" w:eastAsia="宋体" w:cs="宋体"/>
                <w:szCs w:val="24"/>
                <w:highlight w:val="none"/>
              </w:rPr>
            </w:pPr>
          </w:p>
        </w:tc>
        <w:tc>
          <w:tcPr>
            <w:tcW w:w="903" w:type="dxa"/>
            <w:tcBorders>
              <w:right w:val="single" w:color="auto" w:sz="4" w:space="0"/>
            </w:tcBorders>
            <w:vAlign w:val="top"/>
          </w:tcPr>
          <w:p w14:paraId="47A253BF">
            <w:pPr>
              <w:spacing w:before="163" w:beforeLines="50" w:line="360" w:lineRule="auto"/>
              <w:jc w:val="center"/>
              <w:rPr>
                <w:rFonts w:hint="eastAsia" w:ascii="宋体" w:hAnsi="宋体" w:eastAsia="宋体" w:cs="宋体"/>
                <w:szCs w:val="24"/>
                <w:highlight w:val="none"/>
              </w:rPr>
            </w:pPr>
          </w:p>
        </w:tc>
      </w:tr>
      <w:tr w14:paraId="72A33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top"/>
          </w:tcPr>
          <w:p w14:paraId="4B77480C">
            <w:pPr>
              <w:spacing w:before="163" w:beforeLines="50" w:line="360" w:lineRule="auto"/>
              <w:jc w:val="center"/>
              <w:rPr>
                <w:rFonts w:hint="eastAsia" w:ascii="宋体" w:hAnsi="宋体" w:eastAsia="宋体" w:cs="宋体"/>
                <w:szCs w:val="24"/>
                <w:highlight w:val="none"/>
              </w:rPr>
            </w:pPr>
          </w:p>
        </w:tc>
        <w:tc>
          <w:tcPr>
            <w:tcW w:w="960" w:type="dxa"/>
            <w:vAlign w:val="top"/>
          </w:tcPr>
          <w:p w14:paraId="7AC31B25">
            <w:pPr>
              <w:spacing w:before="163" w:beforeLines="50" w:line="360" w:lineRule="auto"/>
              <w:jc w:val="center"/>
              <w:rPr>
                <w:rFonts w:hint="eastAsia" w:ascii="宋体" w:hAnsi="宋体" w:eastAsia="宋体" w:cs="宋体"/>
                <w:szCs w:val="24"/>
                <w:highlight w:val="none"/>
              </w:rPr>
            </w:pPr>
          </w:p>
        </w:tc>
        <w:tc>
          <w:tcPr>
            <w:tcW w:w="1485" w:type="dxa"/>
            <w:tcBorders>
              <w:right w:val="single" w:color="auto" w:sz="4" w:space="0"/>
            </w:tcBorders>
            <w:vAlign w:val="top"/>
          </w:tcPr>
          <w:p w14:paraId="5BF27542">
            <w:pPr>
              <w:spacing w:before="163" w:beforeLines="50" w:line="360" w:lineRule="auto"/>
              <w:jc w:val="center"/>
              <w:rPr>
                <w:rFonts w:hint="eastAsia" w:ascii="宋体" w:hAnsi="宋体" w:eastAsia="宋体" w:cs="宋体"/>
                <w:szCs w:val="24"/>
                <w:highlight w:val="none"/>
              </w:rPr>
            </w:pPr>
          </w:p>
        </w:tc>
        <w:tc>
          <w:tcPr>
            <w:tcW w:w="1695" w:type="dxa"/>
            <w:tcBorders>
              <w:left w:val="single" w:color="auto" w:sz="4" w:space="0"/>
            </w:tcBorders>
            <w:vAlign w:val="top"/>
          </w:tcPr>
          <w:p w14:paraId="01A82212">
            <w:pPr>
              <w:spacing w:before="163" w:beforeLines="50" w:line="360" w:lineRule="auto"/>
              <w:jc w:val="center"/>
              <w:rPr>
                <w:rFonts w:hint="eastAsia" w:ascii="宋体" w:hAnsi="宋体" w:eastAsia="宋体" w:cs="宋体"/>
                <w:szCs w:val="24"/>
                <w:highlight w:val="none"/>
              </w:rPr>
            </w:pPr>
          </w:p>
        </w:tc>
        <w:tc>
          <w:tcPr>
            <w:tcW w:w="825" w:type="dxa"/>
            <w:tcBorders>
              <w:right w:val="single" w:color="auto" w:sz="4" w:space="0"/>
            </w:tcBorders>
            <w:vAlign w:val="top"/>
          </w:tcPr>
          <w:p w14:paraId="180D96E4">
            <w:pPr>
              <w:spacing w:before="163" w:beforeLines="50" w:line="360" w:lineRule="auto"/>
              <w:jc w:val="center"/>
              <w:rPr>
                <w:rFonts w:hint="eastAsia" w:ascii="宋体" w:hAnsi="宋体" w:eastAsia="宋体" w:cs="宋体"/>
                <w:szCs w:val="24"/>
                <w:highlight w:val="none"/>
              </w:rPr>
            </w:pPr>
          </w:p>
        </w:tc>
        <w:tc>
          <w:tcPr>
            <w:tcW w:w="735" w:type="dxa"/>
            <w:tcBorders>
              <w:left w:val="single" w:color="auto" w:sz="4" w:space="0"/>
              <w:right w:val="single" w:color="auto" w:sz="4" w:space="0"/>
            </w:tcBorders>
            <w:vAlign w:val="top"/>
          </w:tcPr>
          <w:p w14:paraId="156681AD">
            <w:pPr>
              <w:spacing w:before="163" w:beforeLines="50" w:line="360" w:lineRule="auto"/>
              <w:jc w:val="center"/>
              <w:rPr>
                <w:rFonts w:hint="eastAsia" w:ascii="宋体" w:hAnsi="宋体" w:eastAsia="宋体" w:cs="宋体"/>
                <w:szCs w:val="24"/>
                <w:highlight w:val="none"/>
              </w:rPr>
            </w:pPr>
          </w:p>
        </w:tc>
        <w:tc>
          <w:tcPr>
            <w:tcW w:w="1050" w:type="dxa"/>
            <w:tcBorders>
              <w:left w:val="single" w:color="auto" w:sz="4" w:space="0"/>
            </w:tcBorders>
            <w:vAlign w:val="top"/>
          </w:tcPr>
          <w:p w14:paraId="7FCE0623">
            <w:pPr>
              <w:spacing w:before="163" w:beforeLines="50" w:line="360" w:lineRule="auto"/>
              <w:jc w:val="center"/>
              <w:rPr>
                <w:rFonts w:hint="eastAsia" w:ascii="宋体" w:hAnsi="宋体" w:eastAsia="宋体" w:cs="宋体"/>
                <w:szCs w:val="24"/>
                <w:highlight w:val="none"/>
              </w:rPr>
            </w:pPr>
          </w:p>
        </w:tc>
        <w:tc>
          <w:tcPr>
            <w:tcW w:w="1215" w:type="dxa"/>
            <w:tcBorders>
              <w:right w:val="single" w:color="auto" w:sz="4" w:space="0"/>
            </w:tcBorders>
            <w:vAlign w:val="top"/>
          </w:tcPr>
          <w:p w14:paraId="3E944562">
            <w:pPr>
              <w:spacing w:before="163" w:beforeLines="50" w:line="360" w:lineRule="auto"/>
              <w:jc w:val="center"/>
              <w:rPr>
                <w:rFonts w:hint="eastAsia" w:ascii="宋体" w:hAnsi="宋体" w:eastAsia="宋体" w:cs="宋体"/>
                <w:szCs w:val="24"/>
                <w:highlight w:val="none"/>
              </w:rPr>
            </w:pPr>
          </w:p>
        </w:tc>
        <w:tc>
          <w:tcPr>
            <w:tcW w:w="903" w:type="dxa"/>
            <w:tcBorders>
              <w:right w:val="single" w:color="auto" w:sz="4" w:space="0"/>
            </w:tcBorders>
            <w:vAlign w:val="top"/>
          </w:tcPr>
          <w:p w14:paraId="244644FE">
            <w:pPr>
              <w:spacing w:before="163" w:beforeLines="50" w:line="360" w:lineRule="auto"/>
              <w:jc w:val="center"/>
              <w:rPr>
                <w:rFonts w:hint="eastAsia" w:ascii="宋体" w:hAnsi="宋体" w:eastAsia="宋体" w:cs="宋体"/>
                <w:szCs w:val="24"/>
                <w:highlight w:val="none"/>
              </w:rPr>
            </w:pPr>
          </w:p>
        </w:tc>
      </w:tr>
      <w:tr w14:paraId="0B78DE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top"/>
          </w:tcPr>
          <w:p w14:paraId="55001437">
            <w:pPr>
              <w:spacing w:before="163" w:beforeLines="50" w:line="360" w:lineRule="auto"/>
              <w:jc w:val="center"/>
              <w:rPr>
                <w:rFonts w:hint="eastAsia" w:ascii="宋体" w:hAnsi="宋体" w:eastAsia="宋体" w:cs="宋体"/>
                <w:szCs w:val="24"/>
                <w:highlight w:val="none"/>
              </w:rPr>
            </w:pPr>
          </w:p>
        </w:tc>
        <w:tc>
          <w:tcPr>
            <w:tcW w:w="960" w:type="dxa"/>
            <w:vAlign w:val="top"/>
          </w:tcPr>
          <w:p w14:paraId="49DC6BD9">
            <w:pPr>
              <w:spacing w:before="163" w:beforeLines="50" w:line="360" w:lineRule="auto"/>
              <w:jc w:val="center"/>
              <w:rPr>
                <w:rFonts w:hint="eastAsia" w:ascii="宋体" w:hAnsi="宋体" w:eastAsia="宋体" w:cs="宋体"/>
                <w:szCs w:val="24"/>
                <w:highlight w:val="none"/>
              </w:rPr>
            </w:pPr>
          </w:p>
        </w:tc>
        <w:tc>
          <w:tcPr>
            <w:tcW w:w="1485" w:type="dxa"/>
            <w:tcBorders>
              <w:right w:val="single" w:color="auto" w:sz="4" w:space="0"/>
            </w:tcBorders>
            <w:vAlign w:val="top"/>
          </w:tcPr>
          <w:p w14:paraId="6EF07DE3">
            <w:pPr>
              <w:spacing w:before="163" w:beforeLines="50" w:line="360" w:lineRule="auto"/>
              <w:jc w:val="center"/>
              <w:rPr>
                <w:rFonts w:hint="eastAsia" w:ascii="宋体" w:hAnsi="宋体" w:eastAsia="宋体" w:cs="宋体"/>
                <w:szCs w:val="24"/>
                <w:highlight w:val="none"/>
              </w:rPr>
            </w:pPr>
          </w:p>
        </w:tc>
        <w:tc>
          <w:tcPr>
            <w:tcW w:w="1695" w:type="dxa"/>
            <w:tcBorders>
              <w:left w:val="single" w:color="auto" w:sz="4" w:space="0"/>
            </w:tcBorders>
            <w:vAlign w:val="top"/>
          </w:tcPr>
          <w:p w14:paraId="63CED19D">
            <w:pPr>
              <w:spacing w:before="163" w:beforeLines="50" w:line="360" w:lineRule="auto"/>
              <w:jc w:val="center"/>
              <w:rPr>
                <w:rFonts w:hint="eastAsia" w:ascii="宋体" w:hAnsi="宋体" w:eastAsia="宋体" w:cs="宋体"/>
                <w:szCs w:val="24"/>
                <w:highlight w:val="none"/>
              </w:rPr>
            </w:pPr>
          </w:p>
        </w:tc>
        <w:tc>
          <w:tcPr>
            <w:tcW w:w="825" w:type="dxa"/>
            <w:tcBorders>
              <w:right w:val="single" w:color="auto" w:sz="4" w:space="0"/>
            </w:tcBorders>
            <w:vAlign w:val="top"/>
          </w:tcPr>
          <w:p w14:paraId="27F786F0">
            <w:pPr>
              <w:spacing w:before="163" w:beforeLines="50" w:line="360" w:lineRule="auto"/>
              <w:jc w:val="center"/>
              <w:rPr>
                <w:rFonts w:hint="eastAsia" w:ascii="宋体" w:hAnsi="宋体" w:eastAsia="宋体" w:cs="宋体"/>
                <w:szCs w:val="24"/>
                <w:highlight w:val="none"/>
              </w:rPr>
            </w:pPr>
          </w:p>
        </w:tc>
        <w:tc>
          <w:tcPr>
            <w:tcW w:w="735" w:type="dxa"/>
            <w:tcBorders>
              <w:left w:val="single" w:color="auto" w:sz="4" w:space="0"/>
              <w:right w:val="single" w:color="auto" w:sz="4" w:space="0"/>
            </w:tcBorders>
            <w:vAlign w:val="top"/>
          </w:tcPr>
          <w:p w14:paraId="176654D5">
            <w:pPr>
              <w:spacing w:before="163" w:beforeLines="50" w:line="360" w:lineRule="auto"/>
              <w:jc w:val="center"/>
              <w:rPr>
                <w:rFonts w:hint="eastAsia" w:ascii="宋体" w:hAnsi="宋体" w:eastAsia="宋体" w:cs="宋体"/>
                <w:szCs w:val="24"/>
                <w:highlight w:val="none"/>
              </w:rPr>
            </w:pPr>
          </w:p>
        </w:tc>
        <w:tc>
          <w:tcPr>
            <w:tcW w:w="1050" w:type="dxa"/>
            <w:tcBorders>
              <w:left w:val="single" w:color="auto" w:sz="4" w:space="0"/>
            </w:tcBorders>
            <w:vAlign w:val="top"/>
          </w:tcPr>
          <w:p w14:paraId="7251C8B6">
            <w:pPr>
              <w:spacing w:before="163" w:beforeLines="50" w:line="360" w:lineRule="auto"/>
              <w:jc w:val="center"/>
              <w:rPr>
                <w:rFonts w:hint="eastAsia" w:ascii="宋体" w:hAnsi="宋体" w:eastAsia="宋体" w:cs="宋体"/>
                <w:szCs w:val="24"/>
                <w:highlight w:val="none"/>
              </w:rPr>
            </w:pPr>
          </w:p>
        </w:tc>
        <w:tc>
          <w:tcPr>
            <w:tcW w:w="1215" w:type="dxa"/>
            <w:tcBorders>
              <w:right w:val="single" w:color="auto" w:sz="4" w:space="0"/>
            </w:tcBorders>
            <w:vAlign w:val="top"/>
          </w:tcPr>
          <w:p w14:paraId="5DFA8C45">
            <w:pPr>
              <w:spacing w:before="163" w:beforeLines="50" w:line="360" w:lineRule="auto"/>
              <w:jc w:val="center"/>
              <w:rPr>
                <w:rFonts w:hint="eastAsia" w:ascii="宋体" w:hAnsi="宋体" w:eastAsia="宋体" w:cs="宋体"/>
                <w:szCs w:val="24"/>
                <w:highlight w:val="none"/>
              </w:rPr>
            </w:pPr>
          </w:p>
        </w:tc>
        <w:tc>
          <w:tcPr>
            <w:tcW w:w="903" w:type="dxa"/>
            <w:tcBorders>
              <w:right w:val="single" w:color="auto" w:sz="4" w:space="0"/>
            </w:tcBorders>
            <w:vAlign w:val="top"/>
          </w:tcPr>
          <w:p w14:paraId="72988B5B">
            <w:pPr>
              <w:spacing w:before="163" w:beforeLines="50" w:line="360" w:lineRule="auto"/>
              <w:jc w:val="center"/>
              <w:rPr>
                <w:rFonts w:hint="eastAsia" w:ascii="宋体" w:hAnsi="宋体" w:eastAsia="宋体" w:cs="宋体"/>
                <w:szCs w:val="24"/>
                <w:highlight w:val="none"/>
              </w:rPr>
            </w:pPr>
          </w:p>
        </w:tc>
      </w:tr>
      <w:tr w14:paraId="23892C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top"/>
          </w:tcPr>
          <w:p w14:paraId="7637F6C1">
            <w:pPr>
              <w:spacing w:before="163" w:beforeLines="50" w:line="360" w:lineRule="auto"/>
              <w:jc w:val="center"/>
              <w:rPr>
                <w:rFonts w:hint="eastAsia" w:ascii="宋体" w:hAnsi="宋体" w:eastAsia="宋体" w:cs="宋体"/>
                <w:szCs w:val="24"/>
                <w:highlight w:val="none"/>
              </w:rPr>
            </w:pPr>
          </w:p>
        </w:tc>
        <w:tc>
          <w:tcPr>
            <w:tcW w:w="960" w:type="dxa"/>
            <w:vAlign w:val="top"/>
          </w:tcPr>
          <w:p w14:paraId="14365F5E">
            <w:pPr>
              <w:spacing w:before="163" w:beforeLines="50" w:line="360" w:lineRule="auto"/>
              <w:jc w:val="center"/>
              <w:rPr>
                <w:rFonts w:hint="eastAsia" w:ascii="宋体" w:hAnsi="宋体" w:eastAsia="宋体" w:cs="宋体"/>
                <w:szCs w:val="24"/>
                <w:highlight w:val="none"/>
              </w:rPr>
            </w:pPr>
          </w:p>
        </w:tc>
        <w:tc>
          <w:tcPr>
            <w:tcW w:w="1485" w:type="dxa"/>
            <w:tcBorders>
              <w:right w:val="single" w:color="auto" w:sz="4" w:space="0"/>
            </w:tcBorders>
            <w:vAlign w:val="top"/>
          </w:tcPr>
          <w:p w14:paraId="6BD8B943">
            <w:pPr>
              <w:spacing w:before="163" w:beforeLines="50" w:line="360" w:lineRule="auto"/>
              <w:jc w:val="center"/>
              <w:rPr>
                <w:rFonts w:hint="eastAsia" w:ascii="宋体" w:hAnsi="宋体" w:eastAsia="宋体" w:cs="宋体"/>
                <w:szCs w:val="24"/>
                <w:highlight w:val="none"/>
              </w:rPr>
            </w:pPr>
          </w:p>
        </w:tc>
        <w:tc>
          <w:tcPr>
            <w:tcW w:w="1695" w:type="dxa"/>
            <w:tcBorders>
              <w:left w:val="single" w:color="auto" w:sz="4" w:space="0"/>
            </w:tcBorders>
            <w:vAlign w:val="top"/>
          </w:tcPr>
          <w:p w14:paraId="6EC86E51">
            <w:pPr>
              <w:spacing w:before="163" w:beforeLines="50" w:line="360" w:lineRule="auto"/>
              <w:jc w:val="center"/>
              <w:rPr>
                <w:rFonts w:hint="eastAsia" w:ascii="宋体" w:hAnsi="宋体" w:eastAsia="宋体" w:cs="宋体"/>
                <w:szCs w:val="24"/>
                <w:highlight w:val="none"/>
              </w:rPr>
            </w:pPr>
          </w:p>
        </w:tc>
        <w:tc>
          <w:tcPr>
            <w:tcW w:w="825" w:type="dxa"/>
            <w:tcBorders>
              <w:right w:val="single" w:color="auto" w:sz="4" w:space="0"/>
            </w:tcBorders>
            <w:vAlign w:val="top"/>
          </w:tcPr>
          <w:p w14:paraId="3AAD38BC">
            <w:pPr>
              <w:spacing w:before="163" w:beforeLines="50" w:line="360" w:lineRule="auto"/>
              <w:jc w:val="center"/>
              <w:rPr>
                <w:rFonts w:hint="eastAsia" w:ascii="宋体" w:hAnsi="宋体" w:eastAsia="宋体" w:cs="宋体"/>
                <w:szCs w:val="24"/>
                <w:highlight w:val="none"/>
              </w:rPr>
            </w:pPr>
          </w:p>
        </w:tc>
        <w:tc>
          <w:tcPr>
            <w:tcW w:w="735" w:type="dxa"/>
            <w:tcBorders>
              <w:left w:val="single" w:color="auto" w:sz="4" w:space="0"/>
              <w:right w:val="single" w:color="auto" w:sz="4" w:space="0"/>
            </w:tcBorders>
            <w:vAlign w:val="top"/>
          </w:tcPr>
          <w:p w14:paraId="62171C60">
            <w:pPr>
              <w:spacing w:before="163" w:beforeLines="50" w:line="360" w:lineRule="auto"/>
              <w:jc w:val="center"/>
              <w:rPr>
                <w:rFonts w:hint="eastAsia" w:ascii="宋体" w:hAnsi="宋体" w:eastAsia="宋体" w:cs="宋体"/>
                <w:szCs w:val="24"/>
                <w:highlight w:val="none"/>
              </w:rPr>
            </w:pPr>
          </w:p>
        </w:tc>
        <w:tc>
          <w:tcPr>
            <w:tcW w:w="1050" w:type="dxa"/>
            <w:tcBorders>
              <w:left w:val="single" w:color="auto" w:sz="4" w:space="0"/>
            </w:tcBorders>
            <w:vAlign w:val="top"/>
          </w:tcPr>
          <w:p w14:paraId="78880668">
            <w:pPr>
              <w:spacing w:before="163" w:beforeLines="50" w:line="360" w:lineRule="auto"/>
              <w:jc w:val="center"/>
              <w:rPr>
                <w:rFonts w:hint="eastAsia" w:ascii="宋体" w:hAnsi="宋体" w:eastAsia="宋体" w:cs="宋体"/>
                <w:szCs w:val="24"/>
                <w:highlight w:val="none"/>
              </w:rPr>
            </w:pPr>
          </w:p>
        </w:tc>
        <w:tc>
          <w:tcPr>
            <w:tcW w:w="1215" w:type="dxa"/>
            <w:tcBorders>
              <w:right w:val="single" w:color="auto" w:sz="4" w:space="0"/>
            </w:tcBorders>
            <w:vAlign w:val="top"/>
          </w:tcPr>
          <w:p w14:paraId="06E3D1BB">
            <w:pPr>
              <w:spacing w:before="163" w:beforeLines="50" w:line="360" w:lineRule="auto"/>
              <w:jc w:val="center"/>
              <w:rPr>
                <w:rFonts w:hint="eastAsia" w:ascii="宋体" w:hAnsi="宋体" w:eastAsia="宋体" w:cs="宋体"/>
                <w:szCs w:val="24"/>
                <w:highlight w:val="none"/>
              </w:rPr>
            </w:pPr>
          </w:p>
        </w:tc>
        <w:tc>
          <w:tcPr>
            <w:tcW w:w="903" w:type="dxa"/>
            <w:tcBorders>
              <w:right w:val="single" w:color="auto" w:sz="4" w:space="0"/>
            </w:tcBorders>
            <w:vAlign w:val="top"/>
          </w:tcPr>
          <w:p w14:paraId="23ED5648">
            <w:pPr>
              <w:spacing w:before="163" w:beforeLines="50" w:line="360" w:lineRule="auto"/>
              <w:jc w:val="center"/>
              <w:rPr>
                <w:rFonts w:hint="eastAsia" w:ascii="宋体" w:hAnsi="宋体" w:eastAsia="宋体" w:cs="宋体"/>
                <w:szCs w:val="24"/>
                <w:highlight w:val="none"/>
              </w:rPr>
            </w:pPr>
          </w:p>
        </w:tc>
      </w:tr>
    </w:tbl>
    <w:p w14:paraId="116F3E1D">
      <w:pPr>
        <w:pStyle w:val="8"/>
        <w:rPr>
          <w:rFonts w:hint="eastAsia" w:ascii="宋体" w:hAnsi="宋体" w:eastAsia="宋体" w:cs="宋体"/>
          <w:highlight w:val="none"/>
        </w:rPr>
      </w:pPr>
    </w:p>
    <w:p w14:paraId="03D02F77">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九、安装、调试要求：</w:t>
      </w:r>
    </w:p>
    <w:p w14:paraId="73B19F44">
      <w:pPr>
        <w:keepNext w:val="0"/>
        <w:keepLines w:val="0"/>
        <w:pageBreakBefore w:val="0"/>
        <w:widowControl w:val="0"/>
        <w:tabs>
          <w:tab w:val="left" w:pos="840"/>
        </w:tabs>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详见竞争性谈判文件合同前附表。</w:t>
      </w:r>
    </w:p>
    <w:p w14:paraId="59C71109">
      <w:pPr>
        <w:tabs>
          <w:tab w:val="left" w:pos="840"/>
        </w:tabs>
        <w:spacing w:line="360" w:lineRule="auto"/>
        <w:rPr>
          <w:rFonts w:hint="eastAsia" w:ascii="宋体" w:hAnsi="宋体" w:eastAsia="宋体" w:cs="宋体"/>
          <w:b/>
          <w:sz w:val="24"/>
          <w:highlight w:val="none"/>
        </w:rPr>
      </w:pPr>
      <w:r>
        <w:rPr>
          <w:rFonts w:hint="eastAsia" w:ascii="宋体" w:hAnsi="宋体" w:eastAsia="宋体" w:cs="宋体"/>
          <w:b/>
          <w:sz w:val="24"/>
          <w:highlight w:val="none"/>
        </w:rPr>
        <w:t>十、技术支持：</w:t>
      </w:r>
    </w:p>
    <w:p w14:paraId="65CBF7BF">
      <w:pPr>
        <w:spacing w:line="360" w:lineRule="auto"/>
        <w:ind w:firstLine="787" w:firstLineChars="328"/>
        <w:rPr>
          <w:rFonts w:hint="eastAsia" w:ascii="宋体" w:hAnsi="宋体" w:eastAsia="宋体" w:cs="宋体"/>
          <w:sz w:val="24"/>
          <w:highlight w:val="none"/>
        </w:rPr>
      </w:pPr>
      <w:r>
        <w:rPr>
          <w:rFonts w:hint="eastAsia" w:ascii="宋体" w:hAnsi="宋体" w:eastAsia="宋体" w:cs="宋体"/>
          <w:sz w:val="24"/>
          <w:highlight w:val="none"/>
        </w:rPr>
        <w:t>提供全年7×24小时的技术咨询服务。</w:t>
      </w:r>
    </w:p>
    <w:p w14:paraId="12B2D966">
      <w:pPr>
        <w:numPr>
          <w:ilvl w:val="0"/>
          <w:numId w:val="1"/>
        </w:num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技术培训：</w:t>
      </w:r>
    </w:p>
    <w:p w14:paraId="3C7142D8">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 xml:space="preserve">   </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 xml:space="preserve">  </w:t>
      </w:r>
      <w:r>
        <w:rPr>
          <w:rFonts w:hint="eastAsia" w:ascii="宋体" w:hAnsi="宋体" w:eastAsia="宋体" w:cs="宋体"/>
          <w:sz w:val="24"/>
          <w:szCs w:val="24"/>
          <w:highlight w:val="none"/>
        </w:rPr>
        <w:t>详见竞争性谈判文件合同前附表。</w:t>
      </w:r>
    </w:p>
    <w:p w14:paraId="1154A442">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十二、技术资料要求：</w:t>
      </w:r>
    </w:p>
    <w:p w14:paraId="6875F5F0">
      <w:pPr>
        <w:spacing w:line="360" w:lineRule="auto"/>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详见竞争性谈判文件合同前附表。</w:t>
      </w:r>
      <w:r>
        <w:rPr>
          <w:rFonts w:hint="eastAsia" w:ascii="宋体" w:hAnsi="宋体" w:eastAsia="宋体" w:cs="宋体"/>
          <w:sz w:val="24"/>
          <w:szCs w:val="24"/>
          <w:highlight w:val="none"/>
          <w:lang w:eastAsia="zh-CN"/>
        </w:rPr>
        <w:t xml:space="preserve">  </w:t>
      </w:r>
    </w:p>
    <w:p w14:paraId="6CFF01C7">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十三、质量保证：</w:t>
      </w:r>
    </w:p>
    <w:p w14:paraId="1F9FE727">
      <w:pPr>
        <w:spacing w:line="360" w:lineRule="auto"/>
        <w:ind w:firstLine="480" w:firstLineChars="200"/>
        <w:rPr>
          <w:rFonts w:hint="eastAsia" w:ascii="宋体" w:hAnsi="宋体" w:eastAsia="宋体" w:cs="宋体"/>
          <w:kern w:val="0"/>
          <w:sz w:val="24"/>
          <w:highlight w:val="none"/>
        </w:rPr>
      </w:pPr>
      <w:r>
        <w:rPr>
          <w:rFonts w:hint="eastAsia" w:ascii="宋体" w:hAnsi="宋体" w:eastAsia="宋体" w:cs="宋体"/>
          <w:sz w:val="24"/>
          <w:szCs w:val="24"/>
          <w:highlight w:val="none"/>
        </w:rPr>
        <w:t xml:space="preserve">  详见竞争性谈判文件合同前附表。</w:t>
      </w:r>
    </w:p>
    <w:p w14:paraId="2E8EF0C3">
      <w:pPr>
        <w:spacing w:line="36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t>十四、验收:</w:t>
      </w:r>
      <w:r>
        <w:rPr>
          <w:rFonts w:hint="eastAsia" w:ascii="宋体" w:hAnsi="宋体" w:eastAsia="宋体" w:cs="宋体"/>
          <w:sz w:val="24"/>
          <w:szCs w:val="24"/>
          <w:highlight w:val="none"/>
        </w:rPr>
        <w:t xml:space="preserve"> </w:t>
      </w:r>
    </w:p>
    <w:p w14:paraId="417518BB">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详见竞争性谈判文件合同前附表。</w:t>
      </w:r>
    </w:p>
    <w:p w14:paraId="7BC9BE97">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十五、质保及维保服务（提供售后服务承诺书）：</w:t>
      </w:r>
    </w:p>
    <w:p w14:paraId="7AD1B2B6">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详见竞争性谈判文件合同前附表。</w:t>
      </w:r>
    </w:p>
    <w:p w14:paraId="1060C3AE">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十六、保密</w:t>
      </w:r>
    </w:p>
    <w:p w14:paraId="10458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双方须对工作中了解到的使用单位技术、机密等进行严格保密，不得向他人泄漏。</w:t>
      </w:r>
    </w:p>
    <w:p w14:paraId="05C18AAF">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十七、知识产权</w:t>
      </w:r>
    </w:p>
    <w:p w14:paraId="2471B9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应保证谈判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14:paraId="691B344B">
      <w:pPr>
        <w:spacing w:line="360" w:lineRule="auto"/>
        <w:rPr>
          <w:rFonts w:hint="eastAsia" w:ascii="宋体" w:hAnsi="宋体" w:eastAsia="宋体" w:cs="宋体"/>
          <w:sz w:val="24"/>
          <w:highlight w:val="none"/>
        </w:rPr>
      </w:pPr>
      <w:r>
        <w:rPr>
          <w:rFonts w:hint="eastAsia" w:ascii="宋体" w:hAnsi="宋体" w:eastAsia="宋体" w:cs="宋体"/>
          <w:b/>
          <w:sz w:val="24"/>
          <w:highlight w:val="none"/>
        </w:rPr>
        <w:t>十八、合同争议的解决：</w:t>
      </w:r>
      <w:r>
        <w:rPr>
          <w:rFonts w:hint="eastAsia" w:ascii="宋体" w:hAnsi="宋体" w:eastAsia="宋体" w:cs="宋体"/>
          <w:sz w:val="24"/>
          <w:highlight w:val="none"/>
        </w:rPr>
        <w:t>合同执行中发生争议的，当事人双方应协商解决，协商达不成一致时，可向当地行政仲裁机关申请仲裁或者向人民法院提请诉讼。</w:t>
      </w:r>
    </w:p>
    <w:p w14:paraId="0980E08F">
      <w:pPr>
        <w:spacing w:line="360" w:lineRule="auto"/>
        <w:rPr>
          <w:rFonts w:hint="eastAsia" w:ascii="宋体" w:hAnsi="宋体" w:eastAsia="宋体" w:cs="宋体"/>
          <w:sz w:val="24"/>
          <w:highlight w:val="none"/>
        </w:rPr>
      </w:pPr>
      <w:r>
        <w:rPr>
          <w:rFonts w:hint="eastAsia" w:ascii="宋体" w:hAnsi="宋体" w:eastAsia="宋体" w:cs="宋体"/>
          <w:b/>
          <w:sz w:val="24"/>
          <w:highlight w:val="none"/>
        </w:rPr>
        <w:t>十九、</w:t>
      </w:r>
      <w:r>
        <w:rPr>
          <w:rFonts w:hint="eastAsia" w:ascii="宋体" w:hAnsi="宋体" w:eastAsia="宋体" w:cs="宋体"/>
          <w:sz w:val="24"/>
          <w:highlight w:val="none"/>
        </w:rPr>
        <w:t>在发生不可抗力情况下的应对措施和解决办法。</w:t>
      </w:r>
    </w:p>
    <w:p w14:paraId="2761007C">
      <w:pPr>
        <w:spacing w:line="360" w:lineRule="auto"/>
        <w:rPr>
          <w:rFonts w:hint="eastAsia" w:ascii="宋体" w:hAnsi="宋体" w:eastAsia="宋体" w:cs="宋体"/>
          <w:sz w:val="24"/>
          <w:highlight w:val="none"/>
        </w:rPr>
      </w:pPr>
      <w:r>
        <w:rPr>
          <w:rFonts w:hint="eastAsia" w:ascii="宋体" w:hAnsi="宋体" w:eastAsia="宋体" w:cs="宋体"/>
          <w:b/>
          <w:sz w:val="24"/>
          <w:highlight w:val="none"/>
        </w:rPr>
        <w:t>二十、</w:t>
      </w:r>
      <w:r>
        <w:rPr>
          <w:rFonts w:hint="eastAsia" w:ascii="宋体" w:hAnsi="宋体" w:eastAsia="宋体" w:cs="宋体"/>
          <w:sz w:val="24"/>
          <w:highlight w:val="none"/>
        </w:rPr>
        <w:t>合同一经签订，不得擅自变更、中止或者终止合同。对确需变更、调整或者中止、终止合同的，应按规定履行相应的手续。</w:t>
      </w:r>
    </w:p>
    <w:p w14:paraId="75350F21">
      <w:pPr>
        <w:spacing w:line="360" w:lineRule="auto"/>
        <w:rPr>
          <w:rFonts w:hint="eastAsia" w:ascii="宋体" w:hAnsi="宋体" w:eastAsia="宋体" w:cs="宋体"/>
          <w:sz w:val="24"/>
          <w:highlight w:val="none"/>
        </w:rPr>
      </w:pPr>
      <w:r>
        <w:rPr>
          <w:rFonts w:hint="eastAsia" w:ascii="宋体" w:hAnsi="宋体" w:eastAsia="宋体" w:cs="宋体"/>
          <w:b/>
          <w:sz w:val="24"/>
          <w:highlight w:val="none"/>
        </w:rPr>
        <w:t>二十一、违约责任：</w:t>
      </w:r>
      <w:r>
        <w:rPr>
          <w:rFonts w:hint="eastAsia" w:ascii="宋体" w:hAnsi="宋体" w:eastAsia="宋体" w:cs="宋体"/>
          <w:sz w:val="24"/>
          <w:highlight w:val="none"/>
        </w:rPr>
        <w:t>依据《中华人民共和国</w:t>
      </w:r>
      <w:r>
        <w:rPr>
          <w:rFonts w:hint="eastAsia" w:ascii="宋体" w:hAnsi="宋体" w:eastAsia="宋体" w:cs="宋体"/>
          <w:sz w:val="24"/>
          <w:highlight w:val="none"/>
          <w:lang w:eastAsia="zh-CN"/>
        </w:rPr>
        <w:t>民法典</w:t>
      </w:r>
      <w:r>
        <w:rPr>
          <w:rFonts w:hint="eastAsia" w:ascii="宋体" w:hAnsi="宋体" w:eastAsia="宋体" w:cs="宋体"/>
          <w:sz w:val="24"/>
          <w:highlight w:val="none"/>
        </w:rPr>
        <w:t>》、《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0A4284BA">
      <w:pPr>
        <w:spacing w:line="360" w:lineRule="auto"/>
        <w:rPr>
          <w:rFonts w:hint="eastAsia" w:ascii="宋体" w:hAnsi="宋体" w:eastAsia="宋体" w:cs="宋体"/>
          <w:sz w:val="24"/>
          <w:highlight w:val="none"/>
        </w:rPr>
      </w:pPr>
      <w:r>
        <w:rPr>
          <w:rFonts w:hint="eastAsia" w:ascii="宋体" w:hAnsi="宋体" w:eastAsia="宋体" w:cs="宋体"/>
          <w:b/>
          <w:sz w:val="24"/>
          <w:highlight w:val="none"/>
        </w:rPr>
        <w:t>二十二、其他（</w:t>
      </w:r>
      <w:r>
        <w:rPr>
          <w:rFonts w:hint="eastAsia" w:ascii="宋体" w:hAnsi="宋体" w:eastAsia="宋体" w:cs="宋体"/>
          <w:sz w:val="24"/>
          <w:highlight w:val="none"/>
        </w:rPr>
        <w:t>在合同中具体明确）</w:t>
      </w:r>
    </w:p>
    <w:p w14:paraId="42DF7E31">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二十三、合同订立</w:t>
      </w:r>
    </w:p>
    <w:p w14:paraId="664230D3">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1. 订立时间：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2DF4E2FC">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2. 订立地点：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14:paraId="05136CDE">
      <w:pPr>
        <w:tabs>
          <w:tab w:val="left" w:pos="980"/>
        </w:tabs>
        <w:kinsoku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 本合同一式</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份，具有同等法律效力，双方各执</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份，采购代理机构存档壹份。各方签字盖章后生效，合同执行完毕自动失效。（合同的服务承诺则长期有效）。</w:t>
      </w:r>
    </w:p>
    <w:p w14:paraId="6A40563B">
      <w:pPr>
        <w:pStyle w:val="8"/>
        <w:rPr>
          <w:rFonts w:hint="eastAsia" w:ascii="宋体" w:hAnsi="宋体" w:eastAsia="宋体" w:cs="宋体"/>
          <w:highlight w:val="none"/>
        </w:rPr>
      </w:pPr>
    </w:p>
    <w:p w14:paraId="4D84D571">
      <w:pPr>
        <w:rPr>
          <w:rFonts w:hint="eastAsia" w:ascii="宋体" w:hAnsi="宋体" w:eastAsia="宋体" w:cs="宋体"/>
          <w:sz w:val="24"/>
          <w:highlight w:val="none"/>
        </w:rPr>
      </w:pPr>
      <w:r>
        <w:rPr>
          <w:rFonts w:hint="eastAsia" w:ascii="宋体" w:hAnsi="宋体" w:eastAsia="宋体" w:cs="宋体"/>
          <w:sz w:val="24"/>
          <w:highlight w:val="none"/>
        </w:rPr>
        <w:br w:type="page"/>
      </w:r>
    </w:p>
    <w:p w14:paraId="5B5BE1A9">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采购人：</w:t>
      </w:r>
      <w:bookmarkStart w:id="2" w:name="OLE_LINK5"/>
      <w:r>
        <w:rPr>
          <w:rFonts w:hint="eastAsia" w:ascii="宋体" w:hAnsi="宋体" w:eastAsia="宋体" w:cs="宋体"/>
          <w:sz w:val="24"/>
          <w:highlight w:val="none"/>
          <w:u w:val="single"/>
        </w:rPr>
        <w:t xml:space="preserve">   （盖章）         </w:t>
      </w:r>
      <w:r>
        <w:rPr>
          <w:rFonts w:hint="eastAsia" w:ascii="宋体" w:hAnsi="宋体" w:eastAsia="宋体" w:cs="宋体"/>
          <w:sz w:val="24"/>
          <w:highlight w:val="none"/>
        </w:rPr>
        <w:t xml:space="preserve"> </w:t>
      </w:r>
      <w:bookmarkEnd w:id="2"/>
      <w:r>
        <w:rPr>
          <w:rFonts w:hint="eastAsia" w:ascii="宋体" w:hAnsi="宋体" w:eastAsia="宋体" w:cs="宋体"/>
          <w:sz w:val="24"/>
          <w:highlight w:val="none"/>
        </w:rPr>
        <w:t xml:space="preserve">     供应商：</w:t>
      </w:r>
      <w:r>
        <w:rPr>
          <w:rFonts w:hint="eastAsia" w:ascii="宋体" w:hAnsi="宋体" w:eastAsia="宋体" w:cs="宋体"/>
          <w:sz w:val="24"/>
          <w:highlight w:val="none"/>
          <w:u w:val="single"/>
        </w:rPr>
        <w:t xml:space="preserve">   （盖章）         </w:t>
      </w:r>
      <w:r>
        <w:rPr>
          <w:rFonts w:hint="eastAsia" w:ascii="宋体" w:hAnsi="宋体" w:eastAsia="宋体" w:cs="宋体"/>
          <w:sz w:val="24"/>
          <w:highlight w:val="none"/>
        </w:rPr>
        <w:t xml:space="preserve"> </w:t>
      </w:r>
    </w:p>
    <w:p w14:paraId="1D9E800E">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 xml:space="preserve">地  址：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地  址： </w:t>
      </w:r>
      <w:r>
        <w:rPr>
          <w:rFonts w:hint="eastAsia" w:ascii="宋体" w:hAnsi="宋体" w:eastAsia="宋体" w:cs="宋体"/>
          <w:sz w:val="24"/>
          <w:highlight w:val="none"/>
          <w:u w:val="single"/>
        </w:rPr>
        <w:t xml:space="preserve">                   </w:t>
      </w:r>
    </w:p>
    <w:p w14:paraId="791F8AE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邮政编码：</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邮政编码：</w:t>
      </w:r>
      <w:r>
        <w:rPr>
          <w:rFonts w:hint="eastAsia" w:ascii="宋体" w:hAnsi="宋体" w:eastAsia="宋体" w:cs="宋体"/>
          <w:sz w:val="24"/>
          <w:highlight w:val="none"/>
          <w:u w:val="single"/>
        </w:rPr>
        <w:t xml:space="preserve">                  </w:t>
      </w:r>
    </w:p>
    <w:p w14:paraId="46E2A6AB">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法定代表人或其授权                法定代表人或其授权</w:t>
      </w:r>
    </w:p>
    <w:p w14:paraId="21A8B31C">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的代理人：</w:t>
      </w:r>
      <w:r>
        <w:rPr>
          <w:rFonts w:hint="eastAsia" w:ascii="宋体" w:hAnsi="宋体" w:eastAsia="宋体" w:cs="宋体"/>
          <w:sz w:val="24"/>
          <w:highlight w:val="none"/>
          <w:u w:val="single"/>
        </w:rPr>
        <w:t xml:space="preserve">（签字）          </w:t>
      </w:r>
      <w:r>
        <w:rPr>
          <w:rFonts w:hint="eastAsia" w:ascii="宋体" w:hAnsi="宋体" w:eastAsia="宋体" w:cs="宋体"/>
          <w:sz w:val="24"/>
          <w:highlight w:val="none"/>
        </w:rPr>
        <w:t xml:space="preserve">      的代理人：</w:t>
      </w:r>
      <w:r>
        <w:rPr>
          <w:rFonts w:hint="eastAsia" w:ascii="宋体" w:hAnsi="宋体" w:eastAsia="宋体" w:cs="宋体"/>
          <w:sz w:val="24"/>
          <w:highlight w:val="none"/>
          <w:u w:val="single"/>
        </w:rPr>
        <w:t xml:space="preserve">（签字）          </w:t>
      </w:r>
    </w:p>
    <w:p w14:paraId="5D706836">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开户银行：</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开户银行：</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733D5BB4">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账  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账  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7B295087">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电  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  话：</w:t>
      </w:r>
      <w:r>
        <w:rPr>
          <w:rFonts w:hint="eastAsia" w:ascii="宋体" w:hAnsi="宋体" w:eastAsia="宋体" w:cs="宋体"/>
          <w:sz w:val="24"/>
          <w:highlight w:val="none"/>
          <w:u w:val="single"/>
        </w:rPr>
        <w:t xml:space="preserve">                    </w:t>
      </w:r>
    </w:p>
    <w:p w14:paraId="7171D6C8">
      <w:pPr>
        <w:adjustRightInd w:val="0"/>
        <w:snapToGrid w:val="0"/>
        <w:spacing w:line="360" w:lineRule="auto"/>
        <w:ind w:firstLine="475" w:firstLineChars="198"/>
        <w:rPr>
          <w:rFonts w:hint="eastAsia" w:ascii="宋体" w:hAnsi="宋体" w:eastAsia="宋体" w:cs="宋体"/>
          <w:sz w:val="24"/>
          <w:highlight w:val="none"/>
        </w:rPr>
      </w:pPr>
      <w:r>
        <w:rPr>
          <w:rFonts w:hint="eastAsia" w:ascii="宋体" w:hAnsi="宋体" w:eastAsia="宋体" w:cs="宋体"/>
          <w:sz w:val="24"/>
          <w:highlight w:val="none"/>
        </w:rPr>
        <w:t>传  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传  真：</w:t>
      </w:r>
      <w:r>
        <w:rPr>
          <w:rFonts w:hint="eastAsia" w:ascii="宋体" w:hAnsi="宋体" w:eastAsia="宋体" w:cs="宋体"/>
          <w:sz w:val="24"/>
          <w:highlight w:val="none"/>
          <w:u w:val="single"/>
        </w:rPr>
        <w:t xml:space="preserve">                    </w:t>
      </w:r>
    </w:p>
    <w:p w14:paraId="7D012C80">
      <w:pPr>
        <w:adjustRightInd w:val="0"/>
        <w:snapToGrid w:val="0"/>
        <w:spacing w:line="360" w:lineRule="auto"/>
        <w:ind w:firstLine="475" w:firstLineChars="198"/>
        <w:rPr>
          <w:rFonts w:hint="eastAsia" w:ascii="宋体" w:hAnsi="宋体" w:eastAsia="宋体" w:cs="宋体"/>
          <w:b/>
          <w:sz w:val="44"/>
          <w:szCs w:val="44"/>
          <w:highlight w:val="none"/>
        </w:rPr>
      </w:pPr>
      <w:r>
        <w:rPr>
          <w:rFonts w:hint="eastAsia" w:ascii="宋体" w:hAnsi="宋体" w:eastAsia="宋体" w:cs="宋体"/>
          <w:sz w:val="24"/>
          <w:highlight w:val="none"/>
        </w:rPr>
        <w:t>电子邮箱：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电子邮箱：</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5CC8008B">
      <w:pPr>
        <w:adjustRightInd w:val="0"/>
        <w:snapToGrid w:val="0"/>
        <w:spacing w:line="400" w:lineRule="exact"/>
        <w:ind w:firstLine="475" w:firstLineChars="198"/>
        <w:rPr>
          <w:rFonts w:hint="eastAsia" w:ascii="宋体" w:hAnsi="宋体" w:eastAsia="宋体" w:cs="宋体"/>
          <w:sz w:val="24"/>
          <w:szCs w:val="24"/>
          <w:highlight w:val="none"/>
          <w:lang w:val="en-US" w:eastAsia="zh-CN"/>
        </w:rPr>
      </w:pPr>
    </w:p>
    <w:p w14:paraId="647C8808">
      <w:pPr>
        <w:adjustRightInd w:val="0"/>
        <w:snapToGrid w:val="0"/>
        <w:spacing w:line="360" w:lineRule="auto"/>
        <w:ind w:firstLine="475" w:firstLineChars="198"/>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鉴证方（盖章）：</w:t>
      </w:r>
    </w:p>
    <w:p w14:paraId="00E56D94">
      <w:pPr>
        <w:rPr>
          <w:highlight w:val="none"/>
        </w:rPr>
      </w:pPr>
    </w:p>
    <w:sectPr>
      <w:headerReference r:id="rId3" w:type="default"/>
      <w:pgSz w:w="11907" w:h="16840"/>
      <w:pgMar w:top="1440" w:right="1440" w:bottom="1440" w:left="1440" w:header="851" w:footer="851" w:gutter="0"/>
      <w:pgBorders>
        <w:top w:val="none" w:sz="0" w:space="0"/>
        <w:left w:val="none" w:sz="0" w:space="0"/>
        <w:bottom w:val="none" w:sz="0" w:space="0"/>
        <w:right w:val="none" w:sz="0" w:space="0"/>
      </w:pgBorders>
      <w:pgNumType w:fmt="decimal"/>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E0065">
    <w:pPr>
      <w:pBdr>
        <w:bottom w:val="none" w:color="auto" w:sz="0" w:space="0"/>
      </w:pBdr>
      <w:jc w:val="left"/>
      <w:rPr>
        <w:rFonts w:hint="eastAsia" w:ascii="宋体" w:hAnsi="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036E04"/>
    <w:multiLevelType w:val="singleLevel"/>
    <w:tmpl w:val="57036E04"/>
    <w:lvl w:ilvl="0" w:tentative="0">
      <w:start w:val="1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ZmVkNGE5YjMxOGFlNTYyYWQzOTYyYmU0MGMwOWYifQ=="/>
  </w:docVars>
  <w:rsids>
    <w:rsidRoot w:val="0EBE35F6"/>
    <w:rsid w:val="0EBE35F6"/>
    <w:rsid w:val="12814B1A"/>
    <w:rsid w:val="13A92AC1"/>
    <w:rsid w:val="191A5A30"/>
    <w:rsid w:val="2D2029DE"/>
    <w:rsid w:val="34171BE5"/>
    <w:rsid w:val="35EA7A9A"/>
    <w:rsid w:val="3DD81A02"/>
    <w:rsid w:val="71A116E8"/>
    <w:rsid w:val="7A0917AF"/>
    <w:rsid w:val="7E963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paragraph" w:styleId="4">
    <w:name w:val="heading 2"/>
    <w:basedOn w:val="1"/>
    <w:next w:val="2"/>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keepNext/>
      <w:keepLines/>
      <w:spacing w:before="280" w:beforeLines="0" w:after="290" w:afterLines="0" w:line="376" w:lineRule="auto"/>
      <w:outlineLvl w:val="3"/>
    </w:pPr>
    <w:rPr>
      <w:rFonts w:ascii="Cambria" w:hAnsi="Cambria"/>
      <w:b/>
      <w:bCs/>
      <w:sz w:val="28"/>
      <w:szCs w:val="28"/>
      <w:lang w:eastAsia="en-US"/>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300" w:lineRule="auto"/>
      <w:ind w:firstLine="420" w:firstLineChars="200"/>
    </w:pPr>
    <w:rPr>
      <w:rFonts w:ascii="Times New Roman"/>
      <w:kern w:val="2"/>
      <w:sz w:val="21"/>
      <w:szCs w:val="24"/>
    </w:rPr>
  </w:style>
  <w:style w:type="paragraph" w:styleId="7">
    <w:name w:val="annotation text"/>
    <w:basedOn w:val="1"/>
    <w:unhideWhenUsed/>
    <w:qFormat/>
    <w:uiPriority w:val="99"/>
    <w:pPr>
      <w:jc w:val="left"/>
    </w:pPr>
    <w:rPr>
      <w:rFonts w:ascii="Arial" w:hAnsi="Arial" w:eastAsia="Times New Roman"/>
      <w:b/>
      <w:szCs w:val="24"/>
      <w:lang w:eastAsia="en-US"/>
    </w:rPr>
  </w:style>
  <w:style w:type="paragraph" w:styleId="8">
    <w:name w:val="Body Text"/>
    <w:basedOn w:val="1"/>
    <w:next w:val="1"/>
    <w:qFormat/>
    <w:uiPriority w:val="0"/>
    <w:pPr>
      <w:spacing w:after="120" w:afterLines="0"/>
    </w:pPr>
    <w:rPr>
      <w:rFonts w:ascii="Times New Roman"/>
      <w:kern w:val="2"/>
      <w:sz w:val="21"/>
    </w:rPr>
  </w:style>
  <w:style w:type="paragraph" w:styleId="9">
    <w:name w:val="Body Text Indent"/>
    <w:basedOn w:val="1"/>
    <w:next w:val="10"/>
    <w:qFormat/>
    <w:uiPriority w:val="0"/>
    <w:pPr>
      <w:ind w:firstLine="552"/>
    </w:pPr>
    <w:rPr>
      <w:rFonts w:ascii="宋体"/>
      <w:sz w:val="28"/>
    </w:rPr>
  </w:style>
  <w:style w:type="paragraph" w:styleId="10">
    <w:name w:val="annotation subject"/>
    <w:basedOn w:val="7"/>
    <w:next w:val="7"/>
    <w:unhideWhenUsed/>
    <w:qFormat/>
    <w:uiPriority w:val="99"/>
    <w:rPr>
      <w:bCs/>
    </w:rPr>
  </w:style>
  <w:style w:type="paragraph" w:styleId="11">
    <w:name w:val="Plain Text"/>
    <w:basedOn w:val="1"/>
    <w:qFormat/>
    <w:uiPriority w:val="0"/>
    <w:rPr>
      <w:rFonts w:ascii="宋体" w:hAnsi="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color w:val="3D3D3D"/>
      <w:kern w:val="0"/>
      <w:sz w:val="24"/>
      <w:lang w:val="en-US" w:eastAsia="zh-CN" w:bidi="ar"/>
    </w:rPr>
  </w:style>
  <w:style w:type="paragraph" w:styleId="14">
    <w:name w:val="Body Text First Indent 2"/>
    <w:basedOn w:val="9"/>
    <w:qFormat/>
    <w:uiPriority w:val="0"/>
    <w:pPr>
      <w:tabs>
        <w:tab w:val="left" w:pos="0"/>
      </w:tabs>
      <w:ind w:firstLine="420" w:firstLineChars="200"/>
    </w:p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列出段落1"/>
    <w:basedOn w:val="1"/>
    <w:qFormat/>
    <w:uiPriority w:val="0"/>
    <w:pPr>
      <w:ind w:firstLine="420" w:firstLineChars="200"/>
    </w:pPr>
  </w:style>
  <w:style w:type="character" w:customStyle="1" w:styleId="19">
    <w:name w:val="NormalCharacter"/>
    <w:qFormat/>
    <w:uiPriority w:val="99"/>
    <w:rPr>
      <w:rFonts w:ascii="宋体"/>
      <w:sz w:val="24"/>
      <w:lang w:val="en-US" w:eastAsia="zh-CN" w:bidi="ar-SA"/>
    </w:rPr>
  </w:style>
  <w:style w:type="paragraph" w:customStyle="1" w:styleId="20">
    <w:name w:val="方案正文"/>
    <w:basedOn w:val="1"/>
    <w:qFormat/>
    <w:uiPriority w:val="0"/>
    <w:pPr>
      <w:adjustRightInd w:val="0"/>
      <w:snapToGrid w:val="0"/>
      <w:spacing w:line="360" w:lineRule="auto"/>
      <w:ind w:firstLine="480" w:firstLineChars="200"/>
      <w:jc w:val="left"/>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3563</Words>
  <Characters>3611</Characters>
  <Lines>0</Lines>
  <Paragraphs>0</Paragraphs>
  <TotalTime>0</TotalTime>
  <ScaleCrop>false</ScaleCrop>
  <LinksUpToDate>false</LinksUpToDate>
  <CharactersWithSpaces>4380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2023-06-30T10:01:00Z</dcterms:created>
  <dc:creator>残念</dc:creator>
  <cp:lastModifiedBy>WPS_小小小小小小文</cp:lastModifiedBy>
  <dcterms:modified xsi:type="dcterms:W3CDTF">2024-08-20T13:15:00Z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8A1B77EC543647C8B901949EEEE816EE_11</vt:lpwstr>
  </property>
</Properties>
</file>