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AC24">
      <w:pPr>
        <w:spacing w:before="104" w:line="221" w:lineRule="auto"/>
        <w:ind w:left="3229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采购需求</w:t>
      </w:r>
    </w:p>
    <w:p w14:paraId="59C1C42E">
      <w:pPr>
        <w:rPr>
          <w:rFonts w:hint="eastAsia" w:ascii="宋体" w:hAnsi="宋体" w:eastAsia="宋体" w:cs="宋体"/>
          <w:color w:val="000000"/>
          <w:sz w:val="21"/>
          <w:highlight w:val="none"/>
        </w:rPr>
      </w:pPr>
    </w:p>
    <w:p w14:paraId="658AB893">
      <w:pPr>
        <w:spacing w:line="241" w:lineRule="auto"/>
        <w:rPr>
          <w:rFonts w:hint="eastAsia" w:ascii="宋体" w:hAnsi="宋体" w:eastAsia="宋体" w:cs="宋体"/>
          <w:color w:val="000000"/>
          <w:sz w:val="21"/>
          <w:highlight w:val="none"/>
        </w:rPr>
      </w:pPr>
    </w:p>
    <w:p w14:paraId="79D91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  <w:outlineLvl w:val="0"/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  <w:t>1、项目概况</w:t>
      </w:r>
    </w:p>
    <w:p w14:paraId="576C4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firstLine="456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:highlight w:val="none"/>
          <w:lang w:val="en-US" w:eastAsia="zh-CN"/>
        </w:rPr>
        <w:t>（1）西安市碑林区城市管理和综合执法局2024年碑林区垃圾分类收集箱购置及</w:t>
      </w:r>
      <w:r>
        <w:rPr>
          <w:rFonts w:hint="eastAsia" w:ascii="宋体" w:hAnsi="宋体" w:eastAsia="宋体" w:cs="宋体"/>
          <w:b w:val="0"/>
          <w:bCs w:val="0"/>
          <w:color w:val="000000"/>
          <w:spacing w:val="-6"/>
          <w:sz w:val="24"/>
          <w:szCs w:val="24"/>
          <w:highlight w:val="none"/>
          <w:lang w:val="en-US" w:eastAsia="zh-CN"/>
        </w:rPr>
        <w:t>安装项目。</w:t>
      </w:r>
    </w:p>
    <w:p w14:paraId="2542E7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firstLine="420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本项目行业属性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eastAsia="zh-CN"/>
        </w:rPr>
        <w:t>工业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划型标准为：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14:paraId="5459C3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  <w:outlineLvl w:val="0"/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  <w:t>2、采购内容及要求</w:t>
      </w:r>
    </w:p>
    <w:p w14:paraId="6B939E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0" w:firstLineChars="100"/>
        <w:textAlignment w:val="baseline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（1）约采购80个（估算）垃圾分类箱。垃圾分类箱作用就是垃圾分类，是集收纳、分类、知识宣传为一体的多功能垃圾箱，里面设置有非常详细的垃圾类别，基本涵盖了当前居民生活垃圾的所有种类，可以根据垃圾分类箱上面的指示，就能够准确地进行垃圾分类投放。是一种更加主动和人性化的方式宣传和推广垃圾分类知识。除此之外垃圾分类箱的外观设计也很漂亮、简约与现代城市生活融为一体。</w:t>
      </w:r>
    </w:p>
    <w:p w14:paraId="7BDB74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0" w:firstLineChars="100"/>
        <w:textAlignment w:val="baseline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（2）核心产品的名称：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u w:val="single"/>
          <w:lang w:val="en-US" w:eastAsia="zh-CN" w:bidi="ar-SA"/>
        </w:rPr>
        <w:t>垃圾分类收集箱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4E22A9E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21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1"/>
          <w:kern w:val="0"/>
          <w:sz w:val="24"/>
          <w:szCs w:val="24"/>
          <w:highlight w:val="none"/>
          <w:lang w:val="en-US" w:eastAsia="zh-CN"/>
        </w:rPr>
        <w:t>3、技术要求</w:t>
      </w:r>
    </w:p>
    <w:p w14:paraId="1C2C3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5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主要技术、材质及供货要求</w:t>
      </w:r>
    </w:p>
    <w:tbl>
      <w:tblPr>
        <w:tblStyle w:val="11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050"/>
        <w:gridCol w:w="2833"/>
        <w:gridCol w:w="1110"/>
        <w:gridCol w:w="1742"/>
      </w:tblGrid>
      <w:tr w14:paraId="1612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97" w:type="dxa"/>
            <w:noWrap w:val="0"/>
            <w:vAlign w:val="center"/>
          </w:tcPr>
          <w:p w14:paraId="345ED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2050" w:type="dxa"/>
            <w:noWrap w:val="0"/>
            <w:vAlign w:val="center"/>
          </w:tcPr>
          <w:p w14:paraId="56A27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名称</w:t>
            </w:r>
          </w:p>
        </w:tc>
        <w:tc>
          <w:tcPr>
            <w:tcW w:w="2833" w:type="dxa"/>
            <w:noWrap w:val="0"/>
            <w:vAlign w:val="center"/>
          </w:tcPr>
          <w:p w14:paraId="06A3B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主要技术要求及供货说明</w:t>
            </w:r>
          </w:p>
        </w:tc>
        <w:tc>
          <w:tcPr>
            <w:tcW w:w="1110" w:type="dxa"/>
            <w:noWrap w:val="0"/>
            <w:vAlign w:val="center"/>
          </w:tcPr>
          <w:p w14:paraId="5E47E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1742" w:type="dxa"/>
            <w:noWrap w:val="0"/>
            <w:vAlign w:val="center"/>
          </w:tcPr>
          <w:p w14:paraId="7DEF87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备注</w:t>
            </w:r>
          </w:p>
        </w:tc>
      </w:tr>
      <w:tr w14:paraId="6CE0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0A5B4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50" w:type="dxa"/>
            <w:noWrap w:val="0"/>
            <w:vAlign w:val="center"/>
          </w:tcPr>
          <w:p w14:paraId="666F8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 w14:paraId="2DB17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4桶/组</w:t>
            </w:r>
          </w:p>
        </w:tc>
        <w:tc>
          <w:tcPr>
            <w:tcW w:w="2833" w:type="dxa"/>
            <w:noWrap w:val="0"/>
            <w:vAlign w:val="center"/>
          </w:tcPr>
          <w:p w14:paraId="457FF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 w14:paraId="6924D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240L*4个(可回收物1个、其他垃圾1个、有害垃圾1个、厨余垃圾1个），附洗手池1个、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LED灯、镜子一块（尺寸符合现场尺寸），所有管道及对应的管道阀门配件全部采用国标合格产品。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洗手池位置居中。</w:t>
            </w:r>
          </w:p>
          <w:p w14:paraId="44815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尺寸：长≥3750mm*宽≥1200mm*高≥2200mm</w:t>
            </w:r>
          </w:p>
        </w:tc>
        <w:tc>
          <w:tcPr>
            <w:tcW w:w="1110" w:type="dxa"/>
            <w:noWrap w:val="0"/>
            <w:vAlign w:val="center"/>
          </w:tcPr>
          <w:p w14:paraId="3D220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40座（暂定，具体以实际结算为准）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 w14:paraId="06AD4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成品垃圾分类收集箱及附属设施，具备密闭上锁功能（可确保定时定点收集），地基硬化工程（以现场实际测量面积为准）、基础上下水，所有分类标识必须符合国家GB/T19095-2019标准。</w:t>
            </w:r>
          </w:p>
        </w:tc>
      </w:tr>
      <w:tr w14:paraId="366A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5C1DF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050" w:type="dxa"/>
            <w:noWrap w:val="0"/>
            <w:vAlign w:val="center"/>
          </w:tcPr>
          <w:p w14:paraId="51EAD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 w14:paraId="644D9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5桶/组</w:t>
            </w:r>
          </w:p>
        </w:tc>
        <w:tc>
          <w:tcPr>
            <w:tcW w:w="2833" w:type="dxa"/>
            <w:noWrap w:val="0"/>
            <w:vAlign w:val="center"/>
          </w:tcPr>
          <w:p w14:paraId="1700C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 w14:paraId="451CF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240L*5个(可回收物1个、其他垃圾2个、有害垃圾1个、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LED灯、镜子一块（尺寸符合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现场尺寸）、厨余垃圾1个），附洗手池1个，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所有管道及对应的管道阀门配件全部采用国标合格产品。洗手池位置居中。</w:t>
            </w:r>
          </w:p>
          <w:p w14:paraId="478EA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长≥4500mm*宽≥1200mm*高≥2200mm</w:t>
            </w:r>
          </w:p>
        </w:tc>
        <w:tc>
          <w:tcPr>
            <w:tcW w:w="1110" w:type="dxa"/>
            <w:noWrap w:val="0"/>
            <w:vAlign w:val="center"/>
          </w:tcPr>
          <w:p w14:paraId="42D29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30/座（暂定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，具体以实际结算为准）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 w14:paraId="58021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687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597" w:type="dxa"/>
            <w:noWrap w:val="0"/>
            <w:vAlign w:val="center"/>
          </w:tcPr>
          <w:p w14:paraId="76D48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050" w:type="dxa"/>
            <w:noWrap w:val="0"/>
            <w:vAlign w:val="center"/>
          </w:tcPr>
          <w:p w14:paraId="5C86E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 w14:paraId="48E379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6桶/组</w:t>
            </w:r>
          </w:p>
        </w:tc>
        <w:tc>
          <w:tcPr>
            <w:tcW w:w="2833" w:type="dxa"/>
            <w:noWrap w:val="0"/>
            <w:vAlign w:val="center"/>
          </w:tcPr>
          <w:p w14:paraId="013CAB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 w14:paraId="70FF4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240L*6个（可回收物1个、其他垃圾2个、有害垃圾1个、厨余垃圾2个）附洗手池1个、L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ED灯、镜子一块（尺寸符合现场尺寸），所有管道及对应的管道阀门配件全部采用国标合格产品。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洗手池位置居中。</w:t>
            </w:r>
          </w:p>
          <w:p w14:paraId="35312E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尺寸：长≥5250mm*宽≥1200mm*高≥2200mm</w:t>
            </w:r>
          </w:p>
        </w:tc>
        <w:tc>
          <w:tcPr>
            <w:tcW w:w="1110" w:type="dxa"/>
            <w:noWrap w:val="0"/>
            <w:vAlign w:val="center"/>
          </w:tcPr>
          <w:p w14:paraId="219B9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left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10/座（暂定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，具体以实际结算为准）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 w14:paraId="7FA42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60C0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7" w:type="dxa"/>
            <w:noWrap w:val="0"/>
            <w:vAlign w:val="center"/>
          </w:tcPr>
          <w:p w14:paraId="6E40D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050" w:type="dxa"/>
            <w:noWrap w:val="0"/>
            <w:vAlign w:val="center"/>
          </w:tcPr>
          <w:p w14:paraId="4CBC8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用途及适用范围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118DC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主要适用于小区、街道及公共场所使用。</w:t>
            </w:r>
          </w:p>
        </w:tc>
      </w:tr>
      <w:tr w14:paraId="5EAA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3DCFB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050" w:type="dxa"/>
            <w:noWrap w:val="0"/>
            <w:vAlign w:val="center"/>
          </w:tcPr>
          <w:p w14:paraId="3CDBA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电源及电控制方式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28E04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外接电源市电AC220V/50-60Hz；电器累加功率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00W，电气控制方式：PLC智能化自动可编程控制。</w:t>
            </w:r>
          </w:p>
        </w:tc>
      </w:tr>
      <w:tr w14:paraId="697F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569C7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050" w:type="dxa"/>
            <w:noWrap w:val="0"/>
            <w:vAlign w:val="center"/>
          </w:tcPr>
          <w:p w14:paraId="6454A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电器、电线说明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57343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接入电线采用RVV6mm²纯铜电缆线；电箱组装采用CCC认证资格的组装，电箱内主要配置电器C40双极漏电保护器开关40A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个。</w:t>
            </w:r>
          </w:p>
          <w:p w14:paraId="7DED4C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构筑物半径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5米以内，接电工作由中标人完成，中标人承担施工内容等相关费用；</w:t>
            </w:r>
          </w:p>
          <w:p w14:paraId="17EC6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构筑物半径5米以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外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，接电工作由中标人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配合物业方完成，物业方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承担施工内容等相关费用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 w14:paraId="11F1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28E4E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050" w:type="dxa"/>
            <w:noWrap w:val="0"/>
            <w:vAlign w:val="center"/>
          </w:tcPr>
          <w:p w14:paraId="6A759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主要骨架结构材质及工艺要求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49E2B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国标热镀锌矩形管材质结构，钢骨架采用满焊牢固，精细打磨后烤漆。整体采用冷轧钢板，厚度T≥1.2mm，屈服强度：130MPa～280MPa，结构件折弯成型拼焊连接。</w:t>
            </w:r>
          </w:p>
        </w:tc>
      </w:tr>
      <w:tr w14:paraId="535F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5B5D6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050" w:type="dxa"/>
            <w:noWrap w:val="0"/>
            <w:vAlign w:val="center"/>
          </w:tcPr>
          <w:p w14:paraId="72B1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表面处理及颜色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1B1E6B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金属材料全部采用塑粉静电喷涂工艺，色彩鲜艳不掉色，色彩可定制。</w:t>
            </w:r>
          </w:p>
        </w:tc>
      </w:tr>
      <w:tr w14:paraId="6EB5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7" w:type="dxa"/>
            <w:noWrap w:val="0"/>
            <w:vAlign w:val="center"/>
          </w:tcPr>
          <w:p w14:paraId="5EACA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050" w:type="dxa"/>
            <w:noWrap w:val="0"/>
            <w:vAlign w:val="center"/>
          </w:tcPr>
          <w:p w14:paraId="37A71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墙面装饰材料及工艺说明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45109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室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外安装抗老化宣传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标识和标牌，亚克力雕刻字、户外宣传灯箱及不干胶告示等。</w:t>
            </w:r>
          </w:p>
          <w:p w14:paraId="388A6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分类标识：标识纸粘贴，色彩鲜艳、标识醒目。</w:t>
            </w:r>
          </w:p>
          <w:p w14:paraId="1EB31B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生活垃圾分类收集箱宣传标识居中</w:t>
            </w:r>
          </w:p>
        </w:tc>
      </w:tr>
      <w:tr w14:paraId="38BB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15938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050" w:type="dxa"/>
            <w:noWrap w:val="0"/>
            <w:vAlign w:val="center"/>
          </w:tcPr>
          <w:p w14:paraId="68F2B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屋顶雨棚造型和材质工艺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49A97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屋顶雨棚做好防水。</w:t>
            </w:r>
          </w:p>
        </w:tc>
      </w:tr>
      <w:tr w14:paraId="3C4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398EF2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050" w:type="dxa"/>
            <w:noWrap w:val="0"/>
            <w:vAlign w:val="center"/>
          </w:tcPr>
          <w:p w14:paraId="61626A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地面做法及材料装饰说明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543297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地基采用人工开挖，低洼处采用碎石垫高加固，C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商混硬化15公分厚，基础必须高出周围地面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公分，防止雨水浸泡，表面水泥砂浆抹平压光，地面要求耐磨、防滑、防水、防腐。</w:t>
            </w:r>
          </w:p>
        </w:tc>
      </w:tr>
      <w:tr w14:paraId="6A88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77440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050" w:type="dxa"/>
            <w:noWrap w:val="0"/>
            <w:vAlign w:val="center"/>
          </w:tcPr>
          <w:p w14:paraId="5DCA2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安装固定要求方法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2E4BD1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垃圾分类收集箱必须固定牢固，达到抗台风级别，采用厚12㎜钢板冲4孔洞，钢板尺寸200㎜*200㎜，用直径14㎜膨胀螺丝固定在混凝土里。</w:t>
            </w:r>
          </w:p>
        </w:tc>
      </w:tr>
      <w:tr w14:paraId="616A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6280D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050" w:type="dxa"/>
            <w:noWrap w:val="0"/>
            <w:vAlign w:val="center"/>
          </w:tcPr>
          <w:p w14:paraId="179D2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洗手池和给、排水管道材质和规格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508055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采用陶瓷洗手池，所有龙头、管道及对应的管道阀门配件全部采用国标合格产品。</w:t>
            </w:r>
          </w:p>
          <w:p w14:paraId="71DF40C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构筑物半径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5米以内，给、排水工作由中标单位完成，自行承担施工内容相关费用；</w:t>
            </w:r>
          </w:p>
          <w:p w14:paraId="5C7FE9F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构筑物半径5米以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外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给、排水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工作由中标单位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配合物业方完成，物业方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承担施工内容相关费用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 w14:paraId="369E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056C7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050" w:type="dxa"/>
            <w:noWrap w:val="0"/>
            <w:vAlign w:val="center"/>
          </w:tcPr>
          <w:p w14:paraId="240DC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主要电器配置要求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1F8B3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顶棚安装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LED节能型照明灯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3个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；功率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40W。</w:t>
            </w:r>
          </w:p>
        </w:tc>
      </w:tr>
      <w:tr w14:paraId="5973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61C91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050" w:type="dxa"/>
            <w:noWrap w:val="0"/>
            <w:vAlign w:val="center"/>
          </w:tcPr>
          <w:p w14:paraId="53F56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3E020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制造工艺：满焊工艺、激光切割、数控剪折、精细打磨、高温烤漆、UV丝印等。</w:t>
            </w:r>
          </w:p>
        </w:tc>
      </w:tr>
      <w:tr w14:paraId="4A0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48F88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2050" w:type="dxa"/>
            <w:noWrap w:val="0"/>
            <w:vAlign w:val="center"/>
          </w:tcPr>
          <w:p w14:paraId="764C2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底座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1E83D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在底座前沿设置斜坡,底部宽度 900mm±10mm,坡度为 10 度±2 度，在操作工换垃圾桶时方便拉桶出入箱体。</w:t>
            </w:r>
          </w:p>
        </w:tc>
      </w:tr>
      <w:tr w14:paraId="3D15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3D85B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2050" w:type="dxa"/>
            <w:noWrap w:val="0"/>
            <w:vAlign w:val="center"/>
          </w:tcPr>
          <w:p w14:paraId="7F739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外观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 w14:paraId="64D6A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外观：严格按照《西安市垃圾分类管理条例》对可回收物、其他垃圾厨余垃圾 </w:t>
            </w:r>
          </w:p>
          <w:p w14:paraId="44A00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firstLine="0" w:firstLineChars="0"/>
              <w:textAlignment w:val="baseline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回收箱部位投口及箱门覆盖垃圾分类规定颜色【可回收物为蓝色、其他垃圾为黑色、厨余垃圾为绿色、有害垃圾回收箱部位正面为红色（投口为不锈钢本色）】进行表面静电喷色，隔断外界腐蚀物与基材接触，增加箱体的使用寿命。耐潮湿、耐腐蚀、耐高温、耐磨损、耐低温、耐老化。</w:t>
            </w:r>
          </w:p>
        </w:tc>
      </w:tr>
    </w:tbl>
    <w:p w14:paraId="74482A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1"/>
        <w:textAlignment w:val="baseline"/>
        <w:outlineLvl w:val="0"/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  <w:t>4、商务要求</w:t>
      </w:r>
    </w:p>
    <w:p w14:paraId="2132A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1" w:right="96" w:firstLine="471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:highlight w:val="none"/>
        </w:rPr>
        <w:t>交货期：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自合同签订之日起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  <w:lang w:val="en-US" w:eastAsia="zh-CN"/>
        </w:rPr>
        <w:t>50个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日历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  <w:lang w:val="en-US" w:eastAsia="zh-CN"/>
        </w:rPr>
        <w:t>天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完成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  <w:lang w:val="en-US" w:eastAsia="zh-CN"/>
        </w:rPr>
        <w:t>交货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。</w:t>
      </w:r>
    </w:p>
    <w:p w14:paraId="1B266B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483"/>
        <w:textAlignment w:val="baseline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-1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14"/>
          <w:sz w:val="24"/>
          <w:szCs w:val="24"/>
          <w:highlight w:val="none"/>
          <w:lang w:val="en-US" w:eastAsia="zh-CN"/>
        </w:rPr>
        <w:t>（2）付款方式：</w:t>
      </w:r>
    </w:p>
    <w:p w14:paraId="24CE53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合同签订后，15日内支付合同总价款40%作为预付款，全部产品到货安装调试完毕，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达到使用标准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并验收合格后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15日内，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甲方向乙方支付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合同总价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100%。</w:t>
      </w:r>
    </w:p>
    <w:p w14:paraId="0F68FB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  <w:t>在甲方付款前，乙方应开具符合甲方要求的增值税专用发票。</w:t>
      </w:r>
    </w:p>
    <w:p w14:paraId="08BB454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360" w:lineRule="auto"/>
        <w:ind w:left="13"/>
        <w:outlineLvl w:val="0"/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</w:rPr>
        <w:t>、其</w:t>
      </w:r>
      <w:r>
        <w:rPr>
          <w:rFonts w:hint="eastAsia" w:ascii="宋体" w:hAnsi="宋体" w:eastAsia="宋体" w:cs="宋体"/>
          <w:color w:val="000000"/>
          <w:spacing w:val="-18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-21"/>
          <w:sz w:val="24"/>
          <w:szCs w:val="24"/>
          <w:highlight w:val="none"/>
        </w:rPr>
        <w:t>他</w:t>
      </w:r>
    </w:p>
    <w:p w14:paraId="1A2E3C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520" w:firstLineChars="200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pacing w:val="1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1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10"/>
          <w:sz w:val="24"/>
          <w:szCs w:val="24"/>
          <w:highlight w:val="none"/>
        </w:rPr>
        <w:t>质量验收标准或规范</w:t>
      </w:r>
    </w:p>
    <w:p w14:paraId="5CB7B60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  <w:t>由采购人对项目进行整体验收，供应商协助配合。其内容包括确认产品的产地、规格、型号和数量，对其产品技术指标、性能参数、样式、材质、以及质量是否达到现行国家有关验收规范“合格”标准、是否按照采购人要求安装到位、是否按照采购人要求进行调试和提供相关培训、是否在规定时间内安装完毕、所有产品的配套包装是否完好无损等进行逐项检查。 1.所验产品的指标、性能参数最终验收达不到采购文件要求和响应文件承诺的，或在使用中发现采购人不能容忍的缺陷等，将视为产品验收不合格，供应商应在采购人要求的时间内无条件免费更换或退货。 2.若发现成交供应商有弄虚作假的，故意或随意夸大产品技术性能，采购方除要求退货外，有权要求成交供应商赔偿采购人相应的损失。 3.验收标准：产品按采购文件、响应文件及澄清函等技术指标进行验收。产品质量、设计等各项指标均应符合验收标准及要求。 4.验收合格后，填写验收单，双方签字生效。</w:t>
      </w:r>
    </w:p>
    <w:p w14:paraId="174AA0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  <w:t>质保期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  <w:t>自验收之日起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val="en-US" w:eastAsia="zh-CN"/>
        </w:rPr>
        <w:t>不少于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</w:rPr>
        <w:t>1年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val="en-US"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51C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zkzNjRmZjY4MDg4NmRmNDdiY2I0ZGM1N2RjMGEifQ=="/>
  </w:docVars>
  <w:rsids>
    <w:rsidRoot w:val="3BB84933"/>
    <w:rsid w:val="0BEE32C2"/>
    <w:rsid w:val="0E916E0F"/>
    <w:rsid w:val="2682656C"/>
    <w:rsid w:val="28C01707"/>
    <w:rsid w:val="28E03E7D"/>
    <w:rsid w:val="298970CB"/>
    <w:rsid w:val="2BED49DA"/>
    <w:rsid w:val="2C1C1DF7"/>
    <w:rsid w:val="2FCB43E0"/>
    <w:rsid w:val="37294A27"/>
    <w:rsid w:val="3BB84933"/>
    <w:rsid w:val="422C694D"/>
    <w:rsid w:val="431E61AB"/>
    <w:rsid w:val="43995A03"/>
    <w:rsid w:val="4923730E"/>
    <w:rsid w:val="492C14BA"/>
    <w:rsid w:val="4BFE3A92"/>
    <w:rsid w:val="59D41C83"/>
    <w:rsid w:val="667A008B"/>
    <w:rsid w:val="66C8483F"/>
    <w:rsid w:val="74594980"/>
    <w:rsid w:val="7C66765B"/>
    <w:rsid w:val="7E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5"/>
    <w:link w:val="14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</w:rPr>
  </w:style>
  <w:style w:type="paragraph" w:styleId="5">
    <w:name w:val="Normal Indent"/>
    <w:basedOn w:val="1"/>
    <w:next w:val="6"/>
    <w:uiPriority w:val="0"/>
    <w:pPr>
      <w:ind w:firstLine="420" w:firstLineChars="200"/>
    </w:pPr>
  </w:style>
  <w:style w:type="paragraph" w:styleId="6">
    <w:name w:val="Body Text First Indent 2"/>
    <w:basedOn w:val="7"/>
    <w:next w:val="5"/>
    <w:qFormat/>
    <w:uiPriority w:val="0"/>
    <w:pPr>
      <w:ind w:firstLine="420" w:firstLineChars="200"/>
    </w:pPr>
  </w:style>
  <w:style w:type="paragraph" w:styleId="7">
    <w:name w:val="Body Text Indent"/>
    <w:basedOn w:val="1"/>
    <w:next w:val="1"/>
    <w:uiPriority w:val="0"/>
    <w:pPr>
      <w:widowControl/>
      <w:ind w:left="426" w:hanging="426" w:hangingChars="152"/>
      <w:jc w:val="left"/>
    </w:pPr>
    <w:rPr>
      <w:rFonts w:ascii="宋体"/>
      <w:kern w:val="0"/>
      <w:sz w:val="28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8"/>
    <w:uiPriority w:val="0"/>
    <w:rPr>
      <w:rFonts w:ascii="Calibri" w:hAnsi="Calibri" w:eastAsia="宋体"/>
      <w:b/>
      <w:sz w:val="30"/>
    </w:rPr>
  </w:style>
  <w:style w:type="character" w:customStyle="1" w:styleId="14">
    <w:name w:val="标题 2 Char"/>
    <w:link w:val="4"/>
    <w:uiPriority w:val="0"/>
    <w:rPr>
      <w:rFonts w:ascii="Arial" w:hAnsi="Arial" w:eastAsia="黑体"/>
      <w:b/>
      <w:kern w:val="2"/>
      <w:sz w:val="36"/>
    </w:rPr>
  </w:style>
  <w:style w:type="character" w:customStyle="1" w:styleId="15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  <w:szCs w:val="20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1716</Words>
  <Characters>1840</Characters>
  <Lines>0</Lines>
  <Paragraphs>0</Paragraphs>
  <TotalTime>0</TotalTime>
  <ScaleCrop>false</ScaleCrop>
  <LinksUpToDate>false</LinksUpToDate>
  <CharactersWithSpaces>1859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2024-09-29T10:45:00Z</dcterms:created>
  <dc:creator>九思雨</dc:creator>
  <cp:lastModifiedBy>九思雨</cp:lastModifiedBy>
  <dcterms:modified xsi:type="dcterms:W3CDTF">2024-09-30T07:34:38Z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1272DB7207E44AC1B1D35FFCD9597DA5_11</vt:lpwstr>
  </property>
</Properties>
</file>