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827079">
      <w:pPr>
        <w:jc w:val="center"/>
        <w:rPr>
          <w:rFonts w:asciiTheme="minorEastAsia" w:hAnsiTheme="minorEastAsia" w:cstheme="minorEastAsia"/>
          <w:b/>
          <w:bCs/>
          <w:sz w:val="32"/>
          <w:szCs w:val="40"/>
        </w:rPr>
      </w:pPr>
      <w:r>
        <w:rPr>
          <w:rFonts w:hint="eastAsia" w:asciiTheme="minorEastAsia" w:hAnsiTheme="minorEastAsia" w:cstheme="minorEastAsia"/>
          <w:b/>
          <w:bCs/>
          <w:sz w:val="32"/>
          <w:szCs w:val="40"/>
        </w:rPr>
        <w:t>政府采购需求书（服务类）</w:t>
      </w:r>
    </w:p>
    <w:p w14:paraId="64E7BC40">
      <w:pPr>
        <w:rPr>
          <w:rFonts w:asciiTheme="minorEastAsia" w:hAnsiTheme="minorEastAsia" w:cstheme="minorEastAsia"/>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5"/>
        <w:gridCol w:w="1710"/>
        <w:gridCol w:w="5907"/>
      </w:tblGrid>
      <w:tr w14:paraId="5B104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905" w:type="dxa"/>
            <w:vAlign w:val="center"/>
          </w:tcPr>
          <w:p w14:paraId="3D196606">
            <w:pPr>
              <w:jc w:val="center"/>
              <w:rPr>
                <w:rFonts w:ascii="宋体" w:hAnsi="宋体" w:eastAsia="宋体" w:cs="宋体"/>
              </w:rPr>
            </w:pPr>
            <w:r>
              <w:rPr>
                <w:rFonts w:hint="eastAsia" w:ascii="宋体" w:hAnsi="宋体" w:eastAsia="宋体" w:cs="宋体"/>
              </w:rPr>
              <w:t>序号</w:t>
            </w:r>
          </w:p>
        </w:tc>
        <w:tc>
          <w:tcPr>
            <w:tcW w:w="1710" w:type="dxa"/>
            <w:vAlign w:val="center"/>
          </w:tcPr>
          <w:p w14:paraId="2A7F9024">
            <w:pPr>
              <w:jc w:val="center"/>
              <w:rPr>
                <w:rFonts w:ascii="宋体" w:hAnsi="宋体" w:eastAsia="宋体" w:cs="宋体"/>
              </w:rPr>
            </w:pPr>
            <w:r>
              <w:rPr>
                <w:rFonts w:hint="eastAsia" w:ascii="宋体" w:hAnsi="宋体" w:eastAsia="宋体" w:cs="宋体"/>
              </w:rPr>
              <w:t>关键事项</w:t>
            </w:r>
          </w:p>
        </w:tc>
        <w:tc>
          <w:tcPr>
            <w:tcW w:w="5907" w:type="dxa"/>
            <w:vAlign w:val="center"/>
          </w:tcPr>
          <w:p w14:paraId="2331D8C6">
            <w:pPr>
              <w:jc w:val="center"/>
              <w:rPr>
                <w:rFonts w:ascii="宋体" w:hAnsi="宋体" w:eastAsia="宋体" w:cs="宋体"/>
              </w:rPr>
            </w:pPr>
            <w:r>
              <w:rPr>
                <w:rFonts w:hint="eastAsia" w:ascii="宋体" w:hAnsi="宋体" w:eastAsia="宋体" w:cs="宋体"/>
              </w:rPr>
              <w:t>说明和要求</w:t>
            </w:r>
          </w:p>
        </w:tc>
      </w:tr>
      <w:tr w14:paraId="4F36F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atLeast"/>
        </w:trPr>
        <w:tc>
          <w:tcPr>
            <w:tcW w:w="905" w:type="dxa"/>
            <w:vAlign w:val="center"/>
          </w:tcPr>
          <w:p w14:paraId="448FC5F5">
            <w:pPr>
              <w:jc w:val="center"/>
              <w:rPr>
                <w:rFonts w:ascii="宋体" w:hAnsi="宋体" w:eastAsia="宋体" w:cs="宋体"/>
              </w:rPr>
            </w:pPr>
            <w:r>
              <w:rPr>
                <w:rFonts w:hint="eastAsia" w:ascii="宋体" w:hAnsi="宋体" w:eastAsia="宋体" w:cs="宋体"/>
              </w:rPr>
              <w:t>1</w:t>
            </w:r>
          </w:p>
        </w:tc>
        <w:tc>
          <w:tcPr>
            <w:tcW w:w="1710" w:type="dxa"/>
            <w:vAlign w:val="center"/>
          </w:tcPr>
          <w:p w14:paraId="22670F4A">
            <w:pPr>
              <w:jc w:val="center"/>
              <w:rPr>
                <w:rFonts w:ascii="宋体" w:hAnsi="宋体" w:eastAsia="宋体" w:cs="宋体"/>
              </w:rPr>
            </w:pPr>
            <w:r>
              <w:rPr>
                <w:rFonts w:hint="eastAsia" w:ascii="宋体" w:hAnsi="宋体" w:eastAsia="宋体" w:cs="宋体"/>
              </w:rPr>
              <w:t>采购预算</w:t>
            </w:r>
          </w:p>
        </w:tc>
        <w:tc>
          <w:tcPr>
            <w:tcW w:w="5907" w:type="dxa"/>
            <w:vAlign w:val="center"/>
          </w:tcPr>
          <w:p w14:paraId="17632386">
            <w:pPr>
              <w:jc w:val="left"/>
              <w:rPr>
                <w:rFonts w:ascii="宋体" w:hAnsi="宋体" w:eastAsia="宋体" w:cs="宋体"/>
                <w:bCs/>
                <w:kern w:val="0"/>
                <w:szCs w:val="21"/>
              </w:rPr>
            </w:pPr>
            <w:r>
              <w:rPr>
                <w:rFonts w:hint="eastAsia" w:ascii="宋体" w:hAnsi="宋体" w:eastAsia="宋体" w:cs="宋体"/>
              </w:rPr>
              <w:t>项目预算：730300</w:t>
            </w:r>
            <w:r>
              <w:rPr>
                <w:rFonts w:hint="eastAsia" w:ascii="宋体" w:hAnsi="宋体" w:eastAsia="宋体" w:cs="宋体"/>
                <w:bCs/>
                <w:kern w:val="0"/>
                <w:szCs w:val="21"/>
              </w:rPr>
              <w:t>元</w:t>
            </w:r>
          </w:p>
          <w:p w14:paraId="38337235">
            <w:pPr>
              <w:jc w:val="left"/>
              <w:rPr>
                <w:rFonts w:ascii="宋体" w:hAnsi="宋体" w:eastAsia="宋体" w:cs="宋体"/>
              </w:rPr>
            </w:pPr>
            <w:r>
              <w:rPr>
                <w:rFonts w:hint="eastAsia" w:ascii="宋体" w:hAnsi="宋体" w:eastAsia="宋体" w:cs="宋体"/>
              </w:rPr>
              <w:t>仅指与本次采购标的直接相关的费用，前期勘察费、设计费等已发生的费用，以及监理费、接口费等为未来预留费用，不应当包含在本项目采购预算内，甲方须向本级财政部门经费业务科室申请办理经费剥离手续。</w:t>
            </w:r>
          </w:p>
        </w:tc>
      </w:tr>
      <w:tr w14:paraId="2E95D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vAlign w:val="center"/>
          </w:tcPr>
          <w:p w14:paraId="7368151D">
            <w:pPr>
              <w:jc w:val="center"/>
              <w:rPr>
                <w:rFonts w:ascii="宋体" w:hAnsi="宋体" w:eastAsia="宋体" w:cs="宋体"/>
              </w:rPr>
            </w:pPr>
            <w:r>
              <w:rPr>
                <w:rFonts w:hint="eastAsia" w:ascii="宋体" w:hAnsi="宋体" w:eastAsia="宋体" w:cs="宋体"/>
              </w:rPr>
              <w:t>2</w:t>
            </w:r>
          </w:p>
        </w:tc>
        <w:tc>
          <w:tcPr>
            <w:tcW w:w="1710" w:type="dxa"/>
            <w:vAlign w:val="center"/>
          </w:tcPr>
          <w:p w14:paraId="03A95416">
            <w:pPr>
              <w:jc w:val="center"/>
              <w:rPr>
                <w:rFonts w:ascii="宋体" w:hAnsi="宋体" w:eastAsia="宋体" w:cs="宋体"/>
              </w:rPr>
            </w:pPr>
            <w:r>
              <w:rPr>
                <w:rFonts w:hint="eastAsia" w:ascii="宋体" w:hAnsi="宋体" w:eastAsia="宋体" w:cs="宋体"/>
              </w:rPr>
              <w:t>最高限价</w:t>
            </w:r>
          </w:p>
        </w:tc>
        <w:tc>
          <w:tcPr>
            <w:tcW w:w="5907" w:type="dxa"/>
            <w:vAlign w:val="center"/>
          </w:tcPr>
          <w:p w14:paraId="1B696AB2">
            <w:pPr>
              <w:jc w:val="left"/>
              <w:rPr>
                <w:rFonts w:ascii="宋体" w:hAnsi="宋体" w:eastAsia="宋体" w:cs="宋体"/>
              </w:rPr>
            </w:pPr>
            <w:r>
              <w:rPr>
                <w:rFonts w:hint="eastAsia" w:ascii="宋体" w:hAnsi="宋体" w:eastAsia="宋体" w:cs="宋体"/>
              </w:rPr>
              <w:t>最高限价：730300</w:t>
            </w:r>
            <w:r>
              <w:rPr>
                <w:rFonts w:hint="eastAsia" w:ascii="宋体" w:hAnsi="宋体" w:eastAsia="宋体" w:cs="宋体"/>
                <w:bCs/>
                <w:kern w:val="0"/>
                <w:szCs w:val="21"/>
              </w:rPr>
              <w:t>元</w:t>
            </w:r>
            <w:r>
              <w:rPr>
                <w:rFonts w:hint="eastAsia" w:ascii="宋体" w:hAnsi="宋体" w:eastAsia="宋体" w:cs="宋体"/>
              </w:rPr>
              <w:t>。</w:t>
            </w:r>
          </w:p>
          <w:p w14:paraId="03767511">
            <w:pPr>
              <w:jc w:val="left"/>
              <w:rPr>
                <w:rFonts w:ascii="宋体" w:hAnsi="宋体" w:eastAsia="宋体" w:cs="宋体"/>
              </w:rPr>
            </w:pPr>
            <w:r>
              <w:rPr>
                <w:rFonts w:hint="eastAsia" w:ascii="宋体" w:hAnsi="宋体" w:eastAsia="宋体" w:cs="宋体"/>
              </w:rPr>
              <w:t>投标人投标报价高于最高限价的则其投标文件将按无效投标文件处理。</w:t>
            </w:r>
          </w:p>
        </w:tc>
      </w:tr>
      <w:tr w14:paraId="6BA4F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vMerge w:val="restart"/>
            <w:vAlign w:val="center"/>
          </w:tcPr>
          <w:p w14:paraId="1BCA0370">
            <w:pPr>
              <w:jc w:val="center"/>
              <w:rPr>
                <w:rFonts w:ascii="宋体" w:hAnsi="宋体" w:eastAsia="宋体" w:cs="宋体"/>
              </w:rPr>
            </w:pPr>
            <w:r>
              <w:rPr>
                <w:rFonts w:hint="eastAsia" w:ascii="宋体" w:hAnsi="宋体" w:eastAsia="宋体" w:cs="宋体"/>
              </w:rPr>
              <w:t>3</w:t>
            </w:r>
          </w:p>
        </w:tc>
        <w:tc>
          <w:tcPr>
            <w:tcW w:w="1710" w:type="dxa"/>
            <w:vMerge w:val="restart"/>
            <w:vAlign w:val="center"/>
          </w:tcPr>
          <w:p w14:paraId="341A01F0">
            <w:pPr>
              <w:jc w:val="center"/>
              <w:rPr>
                <w:rFonts w:ascii="宋体" w:hAnsi="宋体" w:eastAsia="宋体" w:cs="宋体"/>
              </w:rPr>
            </w:pPr>
            <w:r>
              <w:rPr>
                <w:rFonts w:hint="eastAsia" w:ascii="宋体" w:hAnsi="宋体" w:eastAsia="宋体" w:cs="宋体"/>
              </w:rPr>
              <w:t>项目性质</w:t>
            </w:r>
          </w:p>
        </w:tc>
        <w:tc>
          <w:tcPr>
            <w:tcW w:w="5907" w:type="dxa"/>
            <w:vAlign w:val="center"/>
          </w:tcPr>
          <w:p w14:paraId="40E39EC9">
            <w:pPr>
              <w:rPr>
                <w:rFonts w:ascii="宋体" w:hAnsi="宋体" w:eastAsia="宋体" w:cs="宋体"/>
              </w:rPr>
            </w:pPr>
            <w:r>
              <w:rPr>
                <w:rFonts w:hint="eastAsia" w:ascii="宋体" w:hAnsi="宋体" w:eastAsia="宋体" w:cs="宋体"/>
                <w:szCs w:val="21"/>
              </w:rPr>
              <w:fldChar w:fldCharType="begin"/>
            </w:r>
            <w:r>
              <w:rPr>
                <w:rFonts w:hint="eastAsia" w:ascii="宋体" w:hAnsi="宋体" w:eastAsia="宋体" w:cs="宋体"/>
                <w:szCs w:val="21"/>
              </w:rPr>
              <w:instrText xml:space="preserve"> eq \o\ac(□,</w:instrText>
            </w:r>
            <w:r>
              <w:rPr>
                <w:rFonts w:hint="eastAsia" w:ascii="宋体" w:hAnsi="宋体" w:eastAsia="宋体" w:cs="宋体"/>
                <w:position w:val="2"/>
                <w:sz w:val="13"/>
                <w:szCs w:val="21"/>
              </w:rPr>
              <w:instrText xml:space="preserve">√</w:instrText>
            </w:r>
            <w:r>
              <w:rPr>
                <w:rFonts w:hint="eastAsia" w:ascii="宋体" w:hAnsi="宋体" w:eastAsia="宋体" w:cs="宋体"/>
                <w:szCs w:val="21"/>
              </w:rPr>
              <w:instrText xml:space="preserve">)</w:instrText>
            </w:r>
            <w:r>
              <w:rPr>
                <w:rFonts w:hint="eastAsia" w:ascii="宋体" w:hAnsi="宋体" w:eastAsia="宋体" w:cs="宋体"/>
                <w:szCs w:val="21"/>
              </w:rPr>
              <w:fldChar w:fldCharType="end"/>
            </w:r>
            <w:r>
              <w:rPr>
                <w:rFonts w:hint="eastAsia" w:ascii="宋体" w:hAnsi="宋体" w:eastAsia="宋体" w:cs="宋体"/>
              </w:rPr>
              <w:t>专门面向中小企业采购</w:t>
            </w:r>
          </w:p>
          <w:p w14:paraId="79115A83">
            <w:pPr>
              <w:rPr>
                <w:rFonts w:ascii="宋体" w:hAnsi="宋体" w:eastAsia="宋体" w:cs="宋体"/>
              </w:rPr>
            </w:pPr>
            <w:r>
              <w:rPr>
                <w:rFonts w:hint="eastAsia" w:ascii="宋体" w:hAnsi="宋体" w:eastAsia="宋体" w:cs="宋体"/>
              </w:rPr>
              <w:t>仅允许中小企业或小型、微型企业参与投标</w:t>
            </w:r>
          </w:p>
        </w:tc>
      </w:tr>
      <w:tr w14:paraId="423E8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vMerge w:val="continue"/>
            <w:vAlign w:val="center"/>
          </w:tcPr>
          <w:p w14:paraId="219B0E13">
            <w:pPr>
              <w:jc w:val="center"/>
              <w:rPr>
                <w:rFonts w:ascii="宋体" w:hAnsi="宋体" w:eastAsia="宋体" w:cs="宋体"/>
              </w:rPr>
            </w:pPr>
          </w:p>
        </w:tc>
        <w:tc>
          <w:tcPr>
            <w:tcW w:w="1710" w:type="dxa"/>
            <w:vMerge w:val="continue"/>
            <w:vAlign w:val="center"/>
          </w:tcPr>
          <w:p w14:paraId="737428F4">
            <w:pPr>
              <w:jc w:val="center"/>
              <w:rPr>
                <w:rFonts w:ascii="宋体" w:hAnsi="宋体" w:eastAsia="宋体" w:cs="宋体"/>
              </w:rPr>
            </w:pPr>
          </w:p>
        </w:tc>
        <w:tc>
          <w:tcPr>
            <w:tcW w:w="5907" w:type="dxa"/>
            <w:vAlign w:val="center"/>
          </w:tcPr>
          <w:p w14:paraId="4C330601">
            <w:pPr>
              <w:rPr>
                <w:rFonts w:ascii="宋体" w:hAnsi="宋体" w:eastAsia="宋体" w:cs="宋体"/>
              </w:rPr>
            </w:pPr>
            <w:r>
              <w:rPr>
                <w:rFonts w:hint="eastAsia" w:ascii="宋体" w:hAnsi="宋体" w:eastAsia="宋体" w:cs="宋体"/>
                <w:szCs w:val="21"/>
              </w:rPr>
              <w:fldChar w:fldCharType="begin"/>
            </w:r>
            <w:r>
              <w:rPr>
                <w:rFonts w:hint="eastAsia" w:ascii="宋体" w:hAnsi="宋体" w:eastAsia="宋体" w:cs="宋体"/>
                <w:szCs w:val="21"/>
              </w:rPr>
              <w:instrText xml:space="preserve"> eq \o\ac(□)</w:instrText>
            </w:r>
            <w:r>
              <w:rPr>
                <w:rFonts w:hint="eastAsia" w:ascii="宋体" w:hAnsi="宋体" w:eastAsia="宋体" w:cs="宋体"/>
                <w:szCs w:val="21"/>
              </w:rPr>
              <w:fldChar w:fldCharType="end"/>
            </w:r>
            <w:r>
              <w:rPr>
                <w:rFonts w:hint="eastAsia" w:ascii="宋体" w:hAnsi="宋体" w:eastAsia="宋体" w:cs="宋体"/>
                <w:szCs w:val="21"/>
              </w:rPr>
              <w:t xml:space="preserve"> </w:t>
            </w:r>
            <w:r>
              <w:rPr>
                <w:rFonts w:hint="eastAsia" w:ascii="宋体" w:hAnsi="宋体" w:eastAsia="宋体" w:cs="宋体"/>
              </w:rPr>
              <w:t>非专门面向中小企业采购</w:t>
            </w:r>
          </w:p>
          <w:p w14:paraId="11AED821">
            <w:pPr>
              <w:rPr>
                <w:rFonts w:ascii="宋体" w:hAnsi="宋体" w:eastAsia="宋体" w:cs="宋体"/>
              </w:rPr>
            </w:pPr>
            <w:r>
              <w:rPr>
                <w:rFonts w:hint="eastAsia" w:ascii="宋体" w:hAnsi="宋体" w:eastAsia="宋体" w:cs="宋体"/>
              </w:rPr>
              <w:t>对符合《政府采购促进中小企业发展管理办法》（财库〔2020〕 46 号）规定的小微企业（监狱企业视同小型、微型企业）的报价给予</w:t>
            </w:r>
            <w:r>
              <w:rPr>
                <w:rFonts w:hint="eastAsia" w:ascii="宋体" w:hAnsi="宋体" w:eastAsia="宋体" w:cs="宋体"/>
                <w:u w:val="single"/>
              </w:rPr>
              <w:t xml:space="preserve"> 10  </w:t>
            </w:r>
            <w:r>
              <w:rPr>
                <w:rFonts w:hint="eastAsia" w:ascii="宋体" w:hAnsi="宋体" w:eastAsia="宋体" w:cs="宋体"/>
              </w:rPr>
              <w:t>% （10%-20%）的扣除，用扣除后的价格参加评审。</w:t>
            </w:r>
          </w:p>
        </w:tc>
      </w:tr>
      <w:tr w14:paraId="37509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vAlign w:val="center"/>
          </w:tcPr>
          <w:p w14:paraId="71B3F34E">
            <w:pPr>
              <w:jc w:val="center"/>
              <w:rPr>
                <w:rFonts w:ascii="宋体" w:hAnsi="宋体" w:eastAsia="宋体" w:cs="宋体"/>
              </w:rPr>
            </w:pPr>
            <w:r>
              <w:rPr>
                <w:rFonts w:hint="eastAsia" w:ascii="宋体" w:hAnsi="宋体" w:eastAsia="宋体" w:cs="宋体"/>
              </w:rPr>
              <w:t>4</w:t>
            </w:r>
          </w:p>
        </w:tc>
        <w:tc>
          <w:tcPr>
            <w:tcW w:w="1710" w:type="dxa"/>
            <w:vAlign w:val="center"/>
          </w:tcPr>
          <w:p w14:paraId="709EC81C">
            <w:pPr>
              <w:jc w:val="center"/>
              <w:rPr>
                <w:rFonts w:ascii="宋体" w:hAnsi="宋体" w:eastAsia="宋体" w:cs="宋体"/>
              </w:rPr>
            </w:pPr>
            <w:r>
              <w:rPr>
                <w:rFonts w:hint="eastAsia" w:ascii="宋体" w:hAnsi="宋体" w:eastAsia="宋体" w:cs="宋体"/>
              </w:rPr>
              <w:t>对供应商的资格要求</w:t>
            </w:r>
          </w:p>
        </w:tc>
        <w:tc>
          <w:tcPr>
            <w:tcW w:w="5907" w:type="dxa"/>
            <w:vAlign w:val="center"/>
          </w:tcPr>
          <w:p w14:paraId="2131AD09">
            <w:pPr>
              <w:rPr>
                <w:rFonts w:ascii="宋体" w:hAnsi="宋体" w:eastAsia="宋体" w:cs="宋体"/>
                <w:bCs/>
                <w:szCs w:val="21"/>
              </w:rPr>
            </w:pPr>
            <w:r>
              <w:rPr>
                <w:rFonts w:hint="eastAsia" w:ascii="宋体" w:hAnsi="宋体" w:eastAsia="宋体" w:cs="宋体"/>
                <w:bCs/>
                <w:szCs w:val="21"/>
              </w:rPr>
              <w:t>1、营业执照、事业单位法人证书、自然人身份证明：供应商为具有独立承担民事责任能力的法人其他组织或自然人，并提供法人或者其他组织合法有效的营业执照等证明文件，事业单位应提供事业单位法人证书，自然人应提供身份证明文件；</w:t>
            </w:r>
          </w:p>
          <w:p w14:paraId="5E3ACD3C">
            <w:pPr>
              <w:rPr>
                <w:rFonts w:ascii="宋体" w:hAnsi="宋体" w:eastAsia="宋体" w:cs="宋体"/>
                <w:bCs/>
                <w:szCs w:val="21"/>
              </w:rPr>
            </w:pPr>
            <w:r>
              <w:rPr>
                <w:rFonts w:hint="eastAsia" w:ascii="宋体" w:hAnsi="宋体" w:eastAsia="宋体" w:cs="宋体"/>
                <w:bCs/>
                <w:szCs w:val="21"/>
              </w:rPr>
              <w:t>2、法人身份证复印件或法定代表人授权书及被授权人身份证复印件：供应商应授权合法的人员参加磋商全过程，其中法定代表人直接参加磋商的，须出具法人身份证复印件，并与营业执照上信息一致。法定代表人授权他人参加磋商的，须出具法定代表人授权书及被授权人身份证复印件；</w:t>
            </w:r>
          </w:p>
          <w:p w14:paraId="2F2A15C9">
            <w:pPr>
              <w:rPr>
                <w:rFonts w:ascii="宋体" w:hAnsi="宋体" w:eastAsia="宋体" w:cs="宋体"/>
                <w:bCs/>
                <w:szCs w:val="21"/>
              </w:rPr>
            </w:pPr>
            <w:r>
              <w:rPr>
                <w:rFonts w:hint="eastAsia" w:ascii="宋体" w:hAnsi="宋体" w:eastAsia="宋体" w:cs="宋体"/>
                <w:bCs/>
                <w:szCs w:val="21"/>
              </w:rPr>
              <w:t>3、财务会计制度的证明材料：供应商应提供财务状况报告（以下两种方式任选其一）1．2023年度经审计的财务会计报告（至少包括审计报告、资产负债表、利润表、现金流量表、所有者权益变动表及其附注，成立时间至提交响应文件截止时间不足一年的可提供成立后任意时段的资产负债表）； 2．提交响应文件截止时间前三个月内其基本账户开户银行出具的资信证明（附基本存款账户信息）。</w:t>
            </w:r>
          </w:p>
          <w:p w14:paraId="6FA7B1BE">
            <w:pPr>
              <w:rPr>
                <w:rFonts w:ascii="宋体" w:hAnsi="宋体" w:eastAsia="宋体" w:cs="宋体"/>
                <w:bCs/>
                <w:szCs w:val="21"/>
              </w:rPr>
            </w:pPr>
            <w:r>
              <w:rPr>
                <w:rFonts w:hint="eastAsia" w:ascii="宋体" w:hAnsi="宋体" w:eastAsia="宋体" w:cs="宋体"/>
                <w:bCs/>
                <w:szCs w:val="21"/>
              </w:rPr>
              <w:t>4、税收缴纳证明：提供2024年1月至今任意时段已缴纳完税凭证或税务机关开具的完税证明（任意税种）；依法免 税的应提供相关文件证明；</w:t>
            </w:r>
          </w:p>
          <w:p w14:paraId="118BF3B1">
            <w:pPr>
              <w:rPr>
                <w:rFonts w:ascii="宋体" w:hAnsi="宋体" w:eastAsia="宋体" w:cs="宋体"/>
                <w:bCs/>
                <w:szCs w:val="21"/>
              </w:rPr>
            </w:pPr>
            <w:r>
              <w:rPr>
                <w:rFonts w:hint="eastAsia" w:ascii="宋体" w:hAnsi="宋体" w:eastAsia="宋体" w:cs="宋体"/>
                <w:bCs/>
                <w:szCs w:val="21"/>
              </w:rPr>
              <w:t>5、社保缴纳证明：提供2024年1月至今任意时段已缴纳的社会保障资金缴存单据或社保机构开具的社会保险参保缴 费情况证明；依法不需要缴纳社会保障资金的应提供相关文件证明；</w:t>
            </w:r>
          </w:p>
          <w:p w14:paraId="7F15C021">
            <w:pPr>
              <w:rPr>
                <w:rFonts w:ascii="宋体" w:hAnsi="宋体" w:eastAsia="宋体" w:cs="宋体"/>
                <w:bCs/>
                <w:szCs w:val="21"/>
              </w:rPr>
            </w:pPr>
            <w:r>
              <w:rPr>
                <w:rFonts w:hint="eastAsia" w:ascii="宋体" w:hAnsi="宋体" w:eastAsia="宋体" w:cs="宋体"/>
                <w:bCs/>
                <w:szCs w:val="21"/>
              </w:rPr>
              <w:t>6、具备履行合同所必需的设备和专业技术能力；</w:t>
            </w:r>
          </w:p>
          <w:p w14:paraId="1DC88DD5">
            <w:pPr>
              <w:rPr>
                <w:rFonts w:ascii="宋体" w:hAnsi="宋体" w:eastAsia="宋体" w:cs="宋体"/>
                <w:bCs/>
                <w:szCs w:val="21"/>
              </w:rPr>
            </w:pPr>
            <w:r>
              <w:rPr>
                <w:rFonts w:hint="eastAsia" w:ascii="宋体" w:hAnsi="宋体" w:eastAsia="宋体" w:cs="宋体"/>
                <w:bCs/>
                <w:szCs w:val="21"/>
              </w:rPr>
              <w:t>7、参加政府采购活动前3年内，在经营活动中没有重大违法记录</w:t>
            </w:r>
          </w:p>
          <w:p w14:paraId="734DB55C">
            <w:pPr>
              <w:pStyle w:val="22"/>
              <w:jc w:val="both"/>
              <w:rPr>
                <w:bCs/>
                <w:sz w:val="21"/>
                <w:szCs w:val="21"/>
              </w:rPr>
            </w:pPr>
            <w:r>
              <w:rPr>
                <w:rFonts w:hint="eastAsia"/>
                <w:bCs/>
                <w:sz w:val="21"/>
                <w:szCs w:val="21"/>
              </w:rPr>
              <w:t>8、供应商信用：采购人或代理机构根据《关于在政府采购活动中查询及使用信用记录有关问题的通知》（财库〔2016〕125号）的要求，通过“信用中国”网站（www.creditchina.gov.cn）、“中国政府采购网” 网站（www.ccgp.gov.cn）等渠道，查询供应商在响应文件提交截止时间前的信用记录并保存信用记录结果网页截图，拒绝列入失信被执行人名单、重大税收违法案件当事人名单、政府采购严重违法失信行为记录名单中的供应商参加本项目的采购活动。</w:t>
            </w:r>
          </w:p>
          <w:p w14:paraId="0D0DB686">
            <w:pPr>
              <w:jc w:val="left"/>
              <w:rPr>
                <w:rFonts w:ascii="宋体" w:hAnsi="宋体" w:eastAsia="宋体" w:cs="宋体"/>
                <w:bCs/>
                <w:kern w:val="0"/>
                <w:sz w:val="24"/>
                <w:u w:val="single"/>
              </w:rPr>
            </w:pPr>
            <w:r>
              <w:rPr>
                <w:rFonts w:hint="eastAsia" w:ascii="宋体" w:hAnsi="宋体" w:eastAsia="宋体" w:cs="宋体"/>
                <w:bCs/>
                <w:szCs w:val="21"/>
              </w:rPr>
              <w:t>9、本项目不接受联合体投标：供应商应提供《非联合体投标声明》，视为独立投标。</w:t>
            </w:r>
          </w:p>
        </w:tc>
      </w:tr>
      <w:tr w14:paraId="3B620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vMerge w:val="restart"/>
            <w:vAlign w:val="center"/>
          </w:tcPr>
          <w:p w14:paraId="3BDE3DE7">
            <w:pPr>
              <w:jc w:val="center"/>
              <w:rPr>
                <w:rFonts w:ascii="宋体" w:hAnsi="宋体" w:eastAsia="宋体" w:cs="宋体"/>
              </w:rPr>
            </w:pPr>
            <w:r>
              <w:rPr>
                <w:rFonts w:hint="eastAsia" w:ascii="宋体" w:hAnsi="宋体" w:eastAsia="宋体" w:cs="宋体"/>
              </w:rPr>
              <w:t>5</w:t>
            </w:r>
          </w:p>
        </w:tc>
        <w:tc>
          <w:tcPr>
            <w:tcW w:w="1710" w:type="dxa"/>
            <w:vMerge w:val="restart"/>
            <w:vAlign w:val="center"/>
          </w:tcPr>
          <w:p w14:paraId="035B56A3">
            <w:pPr>
              <w:jc w:val="center"/>
              <w:rPr>
                <w:rFonts w:ascii="宋体" w:hAnsi="宋体" w:eastAsia="宋体" w:cs="宋体"/>
                <w:bCs/>
                <w:kern w:val="0"/>
                <w:szCs w:val="21"/>
              </w:rPr>
            </w:pPr>
            <w:r>
              <w:rPr>
                <w:rFonts w:hint="eastAsia" w:ascii="宋体" w:hAnsi="宋体" w:eastAsia="宋体" w:cs="宋体"/>
                <w:bCs/>
                <w:kern w:val="0"/>
                <w:szCs w:val="21"/>
              </w:rPr>
              <w:t>是否允许进口产品</w:t>
            </w:r>
          </w:p>
        </w:tc>
        <w:tc>
          <w:tcPr>
            <w:tcW w:w="5907" w:type="dxa"/>
            <w:vAlign w:val="center"/>
          </w:tcPr>
          <w:p w14:paraId="32C2F4CA">
            <w:pPr>
              <w:jc w:val="left"/>
              <w:rPr>
                <w:rFonts w:ascii="宋体" w:hAnsi="宋体" w:eastAsia="宋体" w:cs="宋体"/>
                <w:bCs/>
                <w:kern w:val="0"/>
                <w:szCs w:val="21"/>
              </w:rPr>
            </w:pPr>
            <w:r>
              <w:rPr>
                <w:rFonts w:hint="eastAsia" w:ascii="宋体" w:hAnsi="宋体" w:eastAsia="宋体" w:cs="宋体"/>
                <w:bCs/>
                <w:kern w:val="0"/>
                <w:szCs w:val="21"/>
              </w:rPr>
              <w:fldChar w:fldCharType="begin"/>
            </w:r>
            <w:r>
              <w:rPr>
                <w:rFonts w:hint="eastAsia" w:ascii="宋体" w:hAnsi="宋体" w:eastAsia="宋体" w:cs="宋体"/>
                <w:bCs/>
                <w:kern w:val="0"/>
                <w:szCs w:val="21"/>
              </w:rPr>
              <w:instrText xml:space="preserve"> eq \o\ac(□)</w:instrText>
            </w:r>
            <w:r>
              <w:rPr>
                <w:rFonts w:hint="eastAsia" w:ascii="宋体" w:hAnsi="宋体" w:eastAsia="宋体" w:cs="宋体"/>
                <w:bCs/>
                <w:kern w:val="0"/>
                <w:szCs w:val="21"/>
              </w:rPr>
              <w:fldChar w:fldCharType="end"/>
            </w:r>
            <w:r>
              <w:rPr>
                <w:rFonts w:hint="eastAsia" w:ascii="宋体" w:hAnsi="宋体" w:eastAsia="宋体" w:cs="宋体"/>
                <w:bCs/>
                <w:kern w:val="0"/>
                <w:szCs w:val="21"/>
              </w:rPr>
              <w:t>允许（须提供财政部门审核通过的复印件）</w:t>
            </w:r>
          </w:p>
          <w:p w14:paraId="58679433">
            <w:pPr>
              <w:jc w:val="left"/>
              <w:rPr>
                <w:rFonts w:ascii="宋体" w:hAnsi="宋体" w:eastAsia="宋体" w:cs="宋体"/>
                <w:bCs/>
                <w:kern w:val="0"/>
                <w:szCs w:val="21"/>
              </w:rPr>
            </w:pPr>
            <w:r>
              <w:rPr>
                <w:rFonts w:hint="eastAsia" w:ascii="宋体" w:hAnsi="宋体" w:eastAsia="宋体" w:cs="宋体"/>
                <w:bCs/>
                <w:kern w:val="0"/>
                <w:szCs w:val="21"/>
              </w:rPr>
              <w:t>根据《政府采购进口产品管理办法》（财库〔2007〕119号）的规定，采购人采购进口产品时，必须在采购活动开始前向财政部门提出申请并获得财政部门审核同意后，才能开展采购活动。且不得因此排斥国产产品，满足需求的国产产品依然可以参与竞争。“进口产品的认定”参见《关于政府采购进口产品管理有关问题的通知》（财办库〔2008〕248号）文件有关规定。</w:t>
            </w:r>
          </w:p>
        </w:tc>
      </w:tr>
      <w:tr w14:paraId="24250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vMerge w:val="continue"/>
            <w:vAlign w:val="center"/>
          </w:tcPr>
          <w:p w14:paraId="2BAA840A">
            <w:pPr>
              <w:jc w:val="center"/>
              <w:rPr>
                <w:rFonts w:ascii="宋体" w:hAnsi="宋体" w:eastAsia="宋体" w:cs="宋体"/>
              </w:rPr>
            </w:pPr>
          </w:p>
        </w:tc>
        <w:tc>
          <w:tcPr>
            <w:tcW w:w="1710" w:type="dxa"/>
            <w:vMerge w:val="continue"/>
            <w:vAlign w:val="center"/>
          </w:tcPr>
          <w:p w14:paraId="4683B581">
            <w:pPr>
              <w:jc w:val="left"/>
              <w:rPr>
                <w:rFonts w:ascii="宋体" w:hAnsi="宋体" w:eastAsia="宋体" w:cs="宋体"/>
                <w:bCs/>
                <w:kern w:val="0"/>
                <w:szCs w:val="21"/>
              </w:rPr>
            </w:pPr>
          </w:p>
        </w:tc>
        <w:tc>
          <w:tcPr>
            <w:tcW w:w="5907" w:type="dxa"/>
            <w:vAlign w:val="center"/>
          </w:tcPr>
          <w:p w14:paraId="0793A96C">
            <w:pPr>
              <w:jc w:val="left"/>
              <w:rPr>
                <w:rFonts w:ascii="宋体" w:hAnsi="宋体" w:eastAsia="宋体" w:cs="宋体"/>
                <w:bCs/>
                <w:kern w:val="0"/>
                <w:szCs w:val="21"/>
              </w:rPr>
            </w:pPr>
            <w:r>
              <w:rPr>
                <w:rFonts w:hint="eastAsia" w:ascii="宋体" w:hAnsi="宋体" w:eastAsia="宋体" w:cs="宋体"/>
                <w:bCs/>
                <w:kern w:val="0"/>
                <w:szCs w:val="21"/>
              </w:rPr>
              <w:fldChar w:fldCharType="begin"/>
            </w:r>
            <w:r>
              <w:rPr>
                <w:rFonts w:hint="eastAsia" w:ascii="宋体" w:hAnsi="宋体" w:eastAsia="宋体" w:cs="宋体"/>
                <w:bCs/>
                <w:kern w:val="0"/>
                <w:szCs w:val="21"/>
              </w:rPr>
              <w:instrText xml:space="preserve"> eq \o\ac(□,</w:instrText>
            </w:r>
            <w:r>
              <w:rPr>
                <w:rFonts w:hint="eastAsia" w:ascii="宋体" w:hAnsi="宋体" w:eastAsia="宋体" w:cs="宋体"/>
                <w:bCs/>
                <w:kern w:val="0"/>
                <w:position w:val="2"/>
                <w:sz w:val="13"/>
                <w:szCs w:val="21"/>
              </w:rPr>
              <w:instrText xml:space="preserve">√</w:instrText>
            </w:r>
            <w:r>
              <w:rPr>
                <w:rFonts w:hint="eastAsia" w:ascii="宋体" w:hAnsi="宋体" w:eastAsia="宋体" w:cs="宋体"/>
                <w:bCs/>
                <w:kern w:val="0"/>
                <w:szCs w:val="21"/>
              </w:rPr>
              <w:instrText xml:space="preserve">)</w:instrText>
            </w:r>
            <w:r>
              <w:rPr>
                <w:rFonts w:hint="eastAsia" w:ascii="宋体" w:hAnsi="宋体" w:eastAsia="宋体" w:cs="宋体"/>
                <w:bCs/>
                <w:kern w:val="0"/>
                <w:szCs w:val="21"/>
              </w:rPr>
              <w:fldChar w:fldCharType="end"/>
            </w:r>
            <w:r>
              <w:rPr>
                <w:rFonts w:hint="eastAsia" w:ascii="宋体" w:hAnsi="宋体" w:eastAsia="宋体" w:cs="宋体"/>
                <w:bCs/>
                <w:kern w:val="0"/>
                <w:szCs w:val="21"/>
              </w:rPr>
              <w:t>不允许</w:t>
            </w:r>
          </w:p>
          <w:p w14:paraId="2B2EA772">
            <w:pPr>
              <w:jc w:val="left"/>
              <w:rPr>
                <w:rFonts w:ascii="宋体" w:hAnsi="宋体" w:eastAsia="宋体" w:cs="宋体"/>
                <w:bCs/>
                <w:kern w:val="0"/>
                <w:szCs w:val="21"/>
              </w:rPr>
            </w:pPr>
            <w:r>
              <w:rPr>
                <w:rFonts w:hint="eastAsia" w:ascii="宋体" w:hAnsi="宋体" w:eastAsia="宋体" w:cs="宋体"/>
                <w:bCs/>
                <w:kern w:val="0"/>
                <w:szCs w:val="21"/>
              </w:rPr>
              <w:t>所投产品为进口产品时，将被视为无效投标。</w:t>
            </w:r>
          </w:p>
        </w:tc>
      </w:tr>
      <w:tr w14:paraId="5C862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vMerge w:val="restart"/>
            <w:vAlign w:val="center"/>
          </w:tcPr>
          <w:p w14:paraId="575728B1">
            <w:pPr>
              <w:jc w:val="center"/>
              <w:rPr>
                <w:rFonts w:ascii="宋体" w:hAnsi="宋体" w:eastAsia="宋体" w:cs="宋体"/>
              </w:rPr>
            </w:pPr>
            <w:r>
              <w:rPr>
                <w:rFonts w:hint="eastAsia" w:ascii="宋体" w:hAnsi="宋体" w:eastAsia="宋体" w:cs="宋体"/>
              </w:rPr>
              <w:t>5</w:t>
            </w:r>
          </w:p>
        </w:tc>
        <w:tc>
          <w:tcPr>
            <w:tcW w:w="1710" w:type="dxa"/>
            <w:vMerge w:val="restart"/>
            <w:vAlign w:val="center"/>
          </w:tcPr>
          <w:p w14:paraId="33D4AD42">
            <w:pPr>
              <w:jc w:val="center"/>
              <w:rPr>
                <w:rFonts w:ascii="宋体" w:hAnsi="宋体" w:eastAsia="宋体" w:cs="宋体"/>
              </w:rPr>
            </w:pPr>
            <w:r>
              <w:rPr>
                <w:rFonts w:hint="eastAsia" w:ascii="宋体" w:hAnsi="宋体" w:eastAsia="宋体" w:cs="宋体"/>
              </w:rPr>
              <w:t>是否接受联合体投标</w:t>
            </w:r>
          </w:p>
        </w:tc>
        <w:tc>
          <w:tcPr>
            <w:tcW w:w="5907" w:type="dxa"/>
            <w:vAlign w:val="center"/>
          </w:tcPr>
          <w:p w14:paraId="1B8D9F8C">
            <w:pPr>
              <w:jc w:val="left"/>
              <w:rPr>
                <w:rFonts w:ascii="宋体" w:hAnsi="宋体" w:eastAsia="宋体" w:cs="宋体"/>
                <w:szCs w:val="21"/>
              </w:rPr>
            </w:pPr>
            <w:r>
              <w:rPr>
                <w:rFonts w:hint="eastAsia" w:ascii="宋体" w:hAnsi="宋体" w:eastAsia="宋体" w:cs="宋体"/>
                <w:szCs w:val="21"/>
              </w:rPr>
              <w:fldChar w:fldCharType="begin"/>
            </w:r>
            <w:r>
              <w:rPr>
                <w:rFonts w:hint="eastAsia" w:ascii="宋体" w:hAnsi="宋体" w:eastAsia="宋体" w:cs="宋体"/>
                <w:szCs w:val="21"/>
              </w:rPr>
              <w:instrText xml:space="preserve"> eq \o\ac(□)</w:instrText>
            </w:r>
            <w:r>
              <w:rPr>
                <w:rFonts w:hint="eastAsia" w:ascii="宋体" w:hAnsi="宋体" w:eastAsia="宋体" w:cs="宋体"/>
                <w:szCs w:val="21"/>
              </w:rPr>
              <w:fldChar w:fldCharType="end"/>
            </w:r>
            <w:r>
              <w:rPr>
                <w:rFonts w:hint="eastAsia" w:ascii="宋体" w:hAnsi="宋体" w:eastAsia="宋体" w:cs="宋体"/>
                <w:szCs w:val="21"/>
              </w:rPr>
              <w:t>接受</w:t>
            </w:r>
          </w:p>
          <w:p w14:paraId="6452935F">
            <w:pPr>
              <w:jc w:val="left"/>
              <w:rPr>
                <w:rFonts w:ascii="宋体" w:hAnsi="宋体" w:eastAsia="宋体" w:cs="宋体"/>
              </w:rPr>
            </w:pPr>
            <w:r>
              <w:rPr>
                <w:rFonts w:hint="eastAsia" w:ascii="宋体" w:hAnsi="宋体" w:eastAsia="宋体" w:cs="宋体"/>
                <w:szCs w:val="21"/>
              </w:rPr>
              <w:t>对于联合体协议或者分包意向协议约定小微企业的合同份额占到合同总金额30%以上的，对联合体或者大中型企业的报价给予</w:t>
            </w:r>
            <w:r>
              <w:rPr>
                <w:rFonts w:hint="eastAsia" w:ascii="宋体" w:hAnsi="宋体" w:eastAsia="宋体" w:cs="宋体"/>
                <w:szCs w:val="21"/>
                <w:u w:val="single"/>
              </w:rPr>
              <w:t xml:space="preserve"> 2 </w:t>
            </w:r>
            <w:r>
              <w:rPr>
                <w:rFonts w:hint="eastAsia" w:ascii="宋体" w:hAnsi="宋体" w:eastAsia="宋体" w:cs="宋体"/>
                <w:szCs w:val="21"/>
              </w:rPr>
              <w:t>% (2% -3%)的扣除，用扣除后的报价参加评审。</w:t>
            </w:r>
          </w:p>
        </w:tc>
      </w:tr>
      <w:tr w14:paraId="4C04A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vMerge w:val="continue"/>
            <w:vAlign w:val="center"/>
          </w:tcPr>
          <w:p w14:paraId="6587BC96">
            <w:pPr>
              <w:jc w:val="center"/>
              <w:rPr>
                <w:rFonts w:ascii="宋体" w:hAnsi="宋体" w:eastAsia="宋体" w:cs="宋体"/>
              </w:rPr>
            </w:pPr>
          </w:p>
        </w:tc>
        <w:tc>
          <w:tcPr>
            <w:tcW w:w="1710" w:type="dxa"/>
            <w:vMerge w:val="continue"/>
            <w:vAlign w:val="center"/>
          </w:tcPr>
          <w:p w14:paraId="3BFBB643">
            <w:pPr>
              <w:jc w:val="center"/>
              <w:rPr>
                <w:rFonts w:ascii="宋体" w:hAnsi="宋体" w:eastAsia="宋体" w:cs="宋体"/>
              </w:rPr>
            </w:pPr>
          </w:p>
        </w:tc>
        <w:tc>
          <w:tcPr>
            <w:tcW w:w="5907" w:type="dxa"/>
            <w:vAlign w:val="center"/>
          </w:tcPr>
          <w:p w14:paraId="5853E10C">
            <w:pPr>
              <w:jc w:val="left"/>
              <w:rPr>
                <w:rFonts w:ascii="宋体" w:hAnsi="宋体" w:eastAsia="宋体" w:cs="宋体"/>
              </w:rPr>
            </w:pPr>
            <w:r>
              <w:rPr>
                <w:rFonts w:hint="eastAsia" w:ascii="宋体" w:hAnsi="宋体" w:eastAsia="宋体" w:cs="宋体"/>
                <w:szCs w:val="21"/>
              </w:rPr>
              <w:fldChar w:fldCharType="begin"/>
            </w:r>
            <w:r>
              <w:rPr>
                <w:rFonts w:hint="eastAsia" w:ascii="宋体" w:hAnsi="宋体" w:eastAsia="宋体" w:cs="宋体"/>
                <w:szCs w:val="21"/>
              </w:rPr>
              <w:instrText xml:space="preserve"> eq \o\ac(□,</w:instrText>
            </w:r>
            <w:r>
              <w:rPr>
                <w:rFonts w:hint="eastAsia" w:ascii="宋体" w:hAnsi="宋体" w:eastAsia="宋体" w:cs="宋体"/>
                <w:position w:val="2"/>
                <w:sz w:val="13"/>
                <w:szCs w:val="21"/>
              </w:rPr>
              <w:instrText xml:space="preserve">√</w:instrText>
            </w:r>
            <w:r>
              <w:rPr>
                <w:rFonts w:hint="eastAsia" w:ascii="宋体" w:hAnsi="宋体" w:eastAsia="宋体" w:cs="宋体"/>
                <w:szCs w:val="21"/>
              </w:rPr>
              <w:instrText xml:space="preserve">)</w:instrText>
            </w:r>
            <w:r>
              <w:rPr>
                <w:rFonts w:hint="eastAsia" w:ascii="宋体" w:hAnsi="宋体" w:eastAsia="宋体" w:cs="宋体"/>
                <w:szCs w:val="21"/>
              </w:rPr>
              <w:fldChar w:fldCharType="end"/>
            </w:r>
            <w:r>
              <w:rPr>
                <w:rFonts w:hint="eastAsia" w:ascii="宋体" w:hAnsi="宋体" w:eastAsia="宋体" w:cs="宋体"/>
                <w:szCs w:val="21"/>
              </w:rPr>
              <w:t>不接受</w:t>
            </w:r>
          </w:p>
        </w:tc>
      </w:tr>
      <w:tr w14:paraId="14DBB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905" w:type="dxa"/>
            <w:vAlign w:val="center"/>
          </w:tcPr>
          <w:p w14:paraId="382C1EB8">
            <w:pPr>
              <w:jc w:val="center"/>
              <w:rPr>
                <w:rFonts w:ascii="宋体" w:hAnsi="宋体" w:eastAsia="宋体" w:cs="宋体"/>
              </w:rPr>
            </w:pPr>
            <w:r>
              <w:rPr>
                <w:rFonts w:hint="eastAsia" w:ascii="宋体" w:hAnsi="宋体" w:eastAsia="宋体" w:cs="宋体"/>
              </w:rPr>
              <w:t>6</w:t>
            </w:r>
          </w:p>
        </w:tc>
        <w:tc>
          <w:tcPr>
            <w:tcW w:w="1710" w:type="dxa"/>
            <w:vAlign w:val="center"/>
          </w:tcPr>
          <w:p w14:paraId="62C4A62A">
            <w:pPr>
              <w:jc w:val="center"/>
              <w:rPr>
                <w:rFonts w:ascii="宋体" w:hAnsi="宋体" w:eastAsia="宋体" w:cs="宋体"/>
              </w:rPr>
            </w:pPr>
            <w:r>
              <w:rPr>
                <w:rFonts w:hint="eastAsia" w:ascii="宋体" w:hAnsi="宋体" w:eastAsia="宋体" w:cs="宋体"/>
              </w:rPr>
              <w:t>履约保证金</w:t>
            </w:r>
          </w:p>
        </w:tc>
        <w:tc>
          <w:tcPr>
            <w:tcW w:w="5907" w:type="dxa"/>
            <w:vAlign w:val="center"/>
          </w:tcPr>
          <w:p w14:paraId="7EAA36F0">
            <w:pPr>
              <w:jc w:val="left"/>
              <w:rPr>
                <w:rFonts w:ascii="宋体" w:hAnsi="宋体" w:eastAsia="宋体" w:cs="宋体"/>
              </w:rPr>
            </w:pPr>
            <w:r>
              <w:rPr>
                <w:rFonts w:hint="eastAsia" w:ascii="宋体" w:hAnsi="宋体" w:eastAsia="宋体" w:cs="宋体"/>
              </w:rPr>
              <w:t>本项目不要求</w:t>
            </w:r>
          </w:p>
        </w:tc>
      </w:tr>
      <w:tr w14:paraId="08ACA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vAlign w:val="center"/>
          </w:tcPr>
          <w:p w14:paraId="341129E4">
            <w:pPr>
              <w:jc w:val="center"/>
              <w:rPr>
                <w:rFonts w:ascii="宋体" w:hAnsi="宋体" w:eastAsia="宋体" w:cs="宋体"/>
              </w:rPr>
            </w:pPr>
            <w:r>
              <w:rPr>
                <w:rFonts w:hint="eastAsia" w:ascii="宋体" w:hAnsi="宋体" w:eastAsia="宋体" w:cs="宋体"/>
              </w:rPr>
              <w:t>7</w:t>
            </w:r>
          </w:p>
        </w:tc>
        <w:tc>
          <w:tcPr>
            <w:tcW w:w="1710" w:type="dxa"/>
            <w:vAlign w:val="center"/>
          </w:tcPr>
          <w:p w14:paraId="0AA87E5D">
            <w:pPr>
              <w:jc w:val="center"/>
              <w:rPr>
                <w:rFonts w:ascii="宋体" w:hAnsi="宋体" w:eastAsia="宋体" w:cs="宋体"/>
              </w:rPr>
            </w:pPr>
            <w:r>
              <w:rPr>
                <w:rFonts w:hint="eastAsia" w:ascii="宋体" w:hAnsi="宋体" w:eastAsia="宋体" w:cs="宋体"/>
              </w:rPr>
              <w:t>现场踏勘和集中答疑</w:t>
            </w:r>
          </w:p>
        </w:tc>
        <w:tc>
          <w:tcPr>
            <w:tcW w:w="5907" w:type="dxa"/>
            <w:vAlign w:val="center"/>
          </w:tcPr>
          <w:p w14:paraId="3CC1BD55">
            <w:pPr>
              <w:jc w:val="left"/>
              <w:rPr>
                <w:rFonts w:ascii="宋体" w:hAnsi="宋体" w:eastAsia="宋体" w:cs="宋体"/>
                <w:szCs w:val="21"/>
              </w:rPr>
            </w:pPr>
            <w:r>
              <w:rPr>
                <w:rFonts w:hint="eastAsia" w:ascii="宋体" w:hAnsi="宋体" w:eastAsia="宋体" w:cs="宋体"/>
                <w:szCs w:val="21"/>
              </w:rPr>
              <w:fldChar w:fldCharType="begin"/>
            </w:r>
            <w:r>
              <w:rPr>
                <w:rFonts w:hint="eastAsia" w:ascii="宋体" w:hAnsi="宋体" w:eastAsia="宋体" w:cs="宋体"/>
                <w:szCs w:val="21"/>
              </w:rPr>
              <w:instrText xml:space="preserve"> eq \o\ac(□)</w:instrText>
            </w:r>
            <w:r>
              <w:rPr>
                <w:rFonts w:hint="eastAsia" w:ascii="宋体" w:hAnsi="宋体" w:eastAsia="宋体" w:cs="宋体"/>
                <w:szCs w:val="21"/>
              </w:rPr>
              <w:fldChar w:fldCharType="end"/>
            </w:r>
            <w:r>
              <w:rPr>
                <w:rFonts w:hint="eastAsia" w:ascii="宋体" w:hAnsi="宋体" w:eastAsia="宋体" w:cs="宋体"/>
                <w:szCs w:val="21"/>
              </w:rPr>
              <w:t xml:space="preserve"> 组织</w:t>
            </w:r>
          </w:p>
          <w:p w14:paraId="120C1C21">
            <w:pPr>
              <w:jc w:val="left"/>
              <w:rPr>
                <w:rFonts w:ascii="宋体" w:hAnsi="宋体" w:eastAsia="宋体" w:cs="宋体"/>
                <w:szCs w:val="21"/>
              </w:rPr>
            </w:pPr>
            <w:r>
              <w:rPr>
                <w:rFonts w:hint="eastAsia" w:ascii="宋体" w:hAnsi="宋体" w:eastAsia="宋体" w:cs="宋体"/>
                <w:szCs w:val="21"/>
              </w:rPr>
              <w:fldChar w:fldCharType="begin"/>
            </w:r>
            <w:r>
              <w:rPr>
                <w:rFonts w:hint="eastAsia" w:ascii="宋体" w:hAnsi="宋体" w:eastAsia="宋体" w:cs="宋体"/>
                <w:szCs w:val="21"/>
              </w:rPr>
              <w:instrText xml:space="preserve"> eq \o\ac(□,</w:instrText>
            </w:r>
            <w:r>
              <w:rPr>
                <w:rFonts w:hint="eastAsia" w:ascii="宋体" w:hAnsi="宋体" w:eastAsia="宋体" w:cs="宋体"/>
                <w:position w:val="2"/>
                <w:sz w:val="13"/>
                <w:szCs w:val="21"/>
              </w:rPr>
              <w:instrText xml:space="preserve">√</w:instrText>
            </w:r>
            <w:r>
              <w:rPr>
                <w:rFonts w:hint="eastAsia" w:ascii="宋体" w:hAnsi="宋体" w:eastAsia="宋体" w:cs="宋体"/>
                <w:szCs w:val="21"/>
              </w:rPr>
              <w:instrText xml:space="preserve">)</w:instrText>
            </w:r>
            <w:r>
              <w:rPr>
                <w:rFonts w:hint="eastAsia" w:ascii="宋体" w:hAnsi="宋体" w:eastAsia="宋体" w:cs="宋体"/>
                <w:szCs w:val="21"/>
              </w:rPr>
              <w:fldChar w:fldCharType="end"/>
            </w:r>
            <w:r>
              <w:rPr>
                <w:rFonts w:hint="eastAsia" w:ascii="宋体" w:hAnsi="宋体" w:eastAsia="宋体" w:cs="宋体"/>
                <w:szCs w:val="21"/>
              </w:rPr>
              <w:t xml:space="preserve"> 不组织</w:t>
            </w:r>
          </w:p>
        </w:tc>
      </w:tr>
      <w:tr w14:paraId="02B68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905" w:type="dxa"/>
            <w:vAlign w:val="center"/>
          </w:tcPr>
          <w:p w14:paraId="018BF1B6">
            <w:pPr>
              <w:jc w:val="center"/>
              <w:rPr>
                <w:rFonts w:ascii="宋体" w:hAnsi="宋体" w:eastAsia="宋体" w:cs="宋体"/>
              </w:rPr>
            </w:pPr>
            <w:r>
              <w:rPr>
                <w:rFonts w:hint="eastAsia" w:ascii="宋体" w:hAnsi="宋体" w:eastAsia="宋体" w:cs="宋体"/>
              </w:rPr>
              <w:t>8</w:t>
            </w:r>
          </w:p>
        </w:tc>
        <w:tc>
          <w:tcPr>
            <w:tcW w:w="1710" w:type="dxa"/>
            <w:vAlign w:val="center"/>
          </w:tcPr>
          <w:p w14:paraId="33122641">
            <w:pPr>
              <w:jc w:val="center"/>
              <w:rPr>
                <w:rFonts w:ascii="宋体" w:hAnsi="宋体" w:eastAsia="宋体" w:cs="宋体"/>
              </w:rPr>
            </w:pPr>
            <w:r>
              <w:rPr>
                <w:rFonts w:hint="eastAsia" w:ascii="宋体" w:hAnsi="宋体" w:eastAsia="宋体" w:cs="宋体"/>
              </w:rPr>
              <w:t>价格分比重</w:t>
            </w:r>
          </w:p>
        </w:tc>
        <w:tc>
          <w:tcPr>
            <w:tcW w:w="5907" w:type="dxa"/>
            <w:vAlign w:val="center"/>
          </w:tcPr>
          <w:p w14:paraId="2C9044BA">
            <w:pPr>
              <w:pStyle w:val="21"/>
              <w:spacing w:line="240" w:lineRule="auto"/>
              <w:ind w:firstLine="0"/>
              <w:jc w:val="left"/>
              <w:rPr>
                <w:sz w:val="21"/>
                <w:szCs w:val="24"/>
                <w:lang w:val="zh-CN" w:eastAsia="zh-CN" w:bidi="ar-SA"/>
              </w:rPr>
            </w:pPr>
            <w:r>
              <w:rPr>
                <w:rFonts w:hint="eastAsia"/>
                <w:sz w:val="21"/>
                <w:szCs w:val="24"/>
                <w:lang w:val="zh-CN" w:eastAsia="zh-CN" w:bidi="ar-SA"/>
              </w:rPr>
              <w:t>占总分值的</w:t>
            </w:r>
            <w:r>
              <w:rPr>
                <w:rFonts w:hint="eastAsia"/>
                <w:sz w:val="21"/>
                <w:szCs w:val="24"/>
                <w:lang w:val="en-US" w:eastAsia="zh-CN" w:bidi="ar-SA"/>
              </w:rPr>
              <w:t xml:space="preserve"> 10 </w:t>
            </w:r>
            <w:r>
              <w:rPr>
                <w:rFonts w:hint="eastAsia"/>
                <w:sz w:val="21"/>
                <w:szCs w:val="24"/>
                <w:lang w:val="zh-CN" w:eastAsia="zh-CN" w:bidi="ar-SA"/>
              </w:rPr>
              <w:t>%</w:t>
            </w:r>
          </w:p>
          <w:p w14:paraId="2C1EED31">
            <w:pPr>
              <w:jc w:val="left"/>
              <w:rPr>
                <w:rFonts w:ascii="宋体" w:hAnsi="宋体" w:eastAsia="宋体" w:cs="宋体"/>
              </w:rPr>
            </w:pPr>
            <w:r>
              <w:rPr>
                <w:rFonts w:hint="eastAsia" w:ascii="宋体" w:hAnsi="宋体" w:eastAsia="宋体" w:cs="宋体"/>
                <w:lang w:val="zh-CN"/>
              </w:rPr>
              <w:t>［磋商］根据《政府采购竞争性磋商采购方式管理暂行办法》（财库〔2014〕214号）的规定，服务项目的价格分值占总分值的比重（即权值）为10%-30%。</w:t>
            </w:r>
          </w:p>
        </w:tc>
      </w:tr>
      <w:tr w14:paraId="7DA7B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vAlign w:val="center"/>
          </w:tcPr>
          <w:p w14:paraId="1010ACEB">
            <w:pPr>
              <w:jc w:val="center"/>
              <w:rPr>
                <w:rFonts w:ascii="宋体" w:hAnsi="宋体" w:eastAsia="宋体" w:cs="宋体"/>
              </w:rPr>
            </w:pPr>
            <w:r>
              <w:rPr>
                <w:rFonts w:hint="eastAsia" w:ascii="宋体" w:hAnsi="宋体" w:eastAsia="宋体" w:cs="宋体"/>
              </w:rPr>
              <w:t>9</w:t>
            </w:r>
          </w:p>
        </w:tc>
        <w:tc>
          <w:tcPr>
            <w:tcW w:w="1710" w:type="dxa"/>
            <w:vAlign w:val="center"/>
          </w:tcPr>
          <w:p w14:paraId="6C962FE8">
            <w:pPr>
              <w:jc w:val="center"/>
              <w:rPr>
                <w:rFonts w:ascii="宋体" w:hAnsi="宋体" w:eastAsia="宋体" w:cs="宋体"/>
              </w:rPr>
            </w:pPr>
            <w:r>
              <w:rPr>
                <w:rFonts w:hint="eastAsia" w:ascii="宋体" w:hAnsi="宋体" w:eastAsia="宋体" w:cs="宋体"/>
              </w:rPr>
              <w:t>合同类型</w:t>
            </w:r>
          </w:p>
        </w:tc>
        <w:tc>
          <w:tcPr>
            <w:tcW w:w="5907" w:type="dxa"/>
            <w:vAlign w:val="center"/>
          </w:tcPr>
          <w:p w14:paraId="15552884">
            <w:pPr>
              <w:jc w:val="left"/>
              <w:rPr>
                <w:rFonts w:ascii="宋体" w:hAnsi="宋体" w:eastAsia="宋体" w:cs="宋体"/>
              </w:rPr>
            </w:pPr>
            <w:r>
              <w:rPr>
                <w:rFonts w:hint="eastAsia" w:ascii="宋体" w:hAnsi="宋体" w:eastAsia="宋体" w:cs="宋体"/>
                <w:szCs w:val="21"/>
              </w:rPr>
              <w:fldChar w:fldCharType="begin"/>
            </w:r>
            <w:r>
              <w:rPr>
                <w:rFonts w:hint="eastAsia" w:ascii="宋体" w:hAnsi="宋体" w:eastAsia="宋体" w:cs="宋体"/>
                <w:szCs w:val="21"/>
              </w:rPr>
              <w:instrText xml:space="preserve"> eq \o\ac(□,</w:instrText>
            </w:r>
            <w:r>
              <w:rPr>
                <w:rFonts w:hint="eastAsia" w:ascii="宋体" w:hAnsi="宋体" w:eastAsia="宋体" w:cs="宋体"/>
                <w:position w:val="2"/>
                <w:sz w:val="13"/>
                <w:szCs w:val="21"/>
              </w:rPr>
              <w:instrText xml:space="preserve">√</w:instrText>
            </w:r>
            <w:r>
              <w:rPr>
                <w:rFonts w:hint="eastAsia" w:ascii="宋体" w:hAnsi="宋体" w:eastAsia="宋体" w:cs="宋体"/>
                <w:szCs w:val="21"/>
              </w:rPr>
              <w:instrText xml:space="preserve">)</w:instrText>
            </w:r>
            <w:r>
              <w:rPr>
                <w:rFonts w:hint="eastAsia" w:ascii="宋体" w:hAnsi="宋体" w:eastAsia="宋体" w:cs="宋体"/>
                <w:szCs w:val="21"/>
              </w:rPr>
              <w:fldChar w:fldCharType="end"/>
            </w:r>
            <w:r>
              <w:rPr>
                <w:rFonts w:hint="eastAsia" w:ascii="宋体" w:hAnsi="宋体" w:eastAsia="宋体" w:cs="宋体"/>
                <w:szCs w:val="21"/>
              </w:rPr>
              <w:t xml:space="preserve"> </w:t>
            </w:r>
            <w:r>
              <w:rPr>
                <w:rFonts w:hint="eastAsia" w:ascii="宋体" w:hAnsi="宋体" w:eastAsia="宋体" w:cs="宋体"/>
              </w:rPr>
              <w:t>固定总价</w:t>
            </w:r>
          </w:p>
          <w:p w14:paraId="75586C1C">
            <w:pPr>
              <w:jc w:val="left"/>
              <w:rPr>
                <w:rFonts w:ascii="宋体" w:hAnsi="宋体" w:eastAsia="宋体" w:cs="宋体"/>
              </w:rPr>
            </w:pPr>
            <w:r>
              <w:rPr>
                <w:rFonts w:hint="eastAsia" w:ascii="宋体" w:hAnsi="宋体" w:eastAsia="宋体" w:cs="宋体"/>
                <w:szCs w:val="21"/>
              </w:rPr>
              <w:fldChar w:fldCharType="begin"/>
            </w:r>
            <w:r>
              <w:rPr>
                <w:rFonts w:hint="eastAsia" w:ascii="宋体" w:hAnsi="宋体" w:eastAsia="宋体" w:cs="宋体"/>
                <w:szCs w:val="21"/>
              </w:rPr>
              <w:instrText xml:space="preserve"> eq \o\ac(□)</w:instrText>
            </w:r>
            <w:r>
              <w:rPr>
                <w:rFonts w:hint="eastAsia" w:ascii="宋体" w:hAnsi="宋体" w:eastAsia="宋体" w:cs="宋体"/>
                <w:szCs w:val="21"/>
              </w:rPr>
              <w:fldChar w:fldCharType="end"/>
            </w:r>
            <w:r>
              <w:rPr>
                <w:rFonts w:hint="eastAsia" w:ascii="宋体" w:hAnsi="宋体" w:eastAsia="宋体" w:cs="宋体"/>
                <w:szCs w:val="21"/>
              </w:rPr>
              <w:t xml:space="preserve"> </w:t>
            </w:r>
            <w:r>
              <w:rPr>
                <w:rFonts w:hint="eastAsia" w:ascii="宋体" w:hAnsi="宋体" w:eastAsia="宋体" w:cs="宋体"/>
              </w:rPr>
              <w:t>固定单价</w:t>
            </w:r>
          </w:p>
        </w:tc>
      </w:tr>
      <w:tr w14:paraId="485B7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vAlign w:val="center"/>
          </w:tcPr>
          <w:p w14:paraId="340FC00C">
            <w:pPr>
              <w:jc w:val="center"/>
              <w:rPr>
                <w:rFonts w:ascii="宋体" w:hAnsi="宋体" w:eastAsia="宋体" w:cs="宋体"/>
              </w:rPr>
            </w:pPr>
            <w:r>
              <w:rPr>
                <w:rFonts w:hint="eastAsia" w:ascii="宋体" w:hAnsi="宋体" w:eastAsia="宋体" w:cs="宋体"/>
              </w:rPr>
              <w:t>10</w:t>
            </w:r>
          </w:p>
        </w:tc>
        <w:tc>
          <w:tcPr>
            <w:tcW w:w="1710" w:type="dxa"/>
            <w:vAlign w:val="center"/>
          </w:tcPr>
          <w:p w14:paraId="5C4BF3E5">
            <w:pPr>
              <w:jc w:val="center"/>
              <w:rPr>
                <w:rFonts w:ascii="宋体" w:hAnsi="宋体" w:eastAsia="宋体" w:cs="宋体"/>
              </w:rPr>
            </w:pPr>
            <w:r>
              <w:rPr>
                <w:rFonts w:hint="eastAsia" w:ascii="宋体" w:hAnsi="宋体" w:eastAsia="宋体" w:cs="宋体"/>
              </w:rPr>
              <w:t>争议解决途径</w:t>
            </w:r>
          </w:p>
        </w:tc>
        <w:tc>
          <w:tcPr>
            <w:tcW w:w="5907" w:type="dxa"/>
            <w:vAlign w:val="center"/>
          </w:tcPr>
          <w:p w14:paraId="460345DF">
            <w:pPr>
              <w:jc w:val="left"/>
              <w:rPr>
                <w:rFonts w:ascii="宋体" w:hAnsi="宋体" w:eastAsia="宋体" w:cs="宋体"/>
              </w:rPr>
            </w:pPr>
            <w:r>
              <w:rPr>
                <w:rFonts w:hint="eastAsia" w:ascii="宋体" w:hAnsi="宋体" w:eastAsia="宋体" w:cs="宋体"/>
                <w:szCs w:val="21"/>
              </w:rPr>
              <w:fldChar w:fldCharType="begin"/>
            </w:r>
            <w:r>
              <w:rPr>
                <w:rFonts w:hint="eastAsia" w:ascii="宋体" w:hAnsi="宋体" w:eastAsia="宋体" w:cs="宋体"/>
                <w:szCs w:val="21"/>
              </w:rPr>
              <w:instrText xml:space="preserve"> eq \o\ac(□)</w:instrText>
            </w:r>
            <w:r>
              <w:rPr>
                <w:rFonts w:hint="eastAsia" w:ascii="宋体" w:hAnsi="宋体" w:eastAsia="宋体" w:cs="宋体"/>
                <w:szCs w:val="21"/>
              </w:rPr>
              <w:fldChar w:fldCharType="end"/>
            </w:r>
            <w:r>
              <w:rPr>
                <w:rFonts w:hint="eastAsia" w:ascii="宋体" w:hAnsi="宋体" w:eastAsia="宋体" w:cs="宋体"/>
              </w:rPr>
              <w:t>向有管辖权的人民法院提起诉讼</w:t>
            </w:r>
          </w:p>
          <w:p w14:paraId="0D5429FF">
            <w:pPr>
              <w:jc w:val="left"/>
              <w:rPr>
                <w:rFonts w:ascii="宋体" w:hAnsi="宋体" w:eastAsia="宋体" w:cs="宋体"/>
              </w:rPr>
            </w:pPr>
            <w:r>
              <w:rPr>
                <w:rFonts w:hint="eastAsia" w:ascii="宋体" w:hAnsi="宋体" w:eastAsia="宋体" w:cs="宋体"/>
                <w:szCs w:val="21"/>
              </w:rPr>
              <w:fldChar w:fldCharType="begin"/>
            </w:r>
            <w:r>
              <w:rPr>
                <w:rFonts w:hint="eastAsia" w:ascii="宋体" w:hAnsi="宋体" w:eastAsia="宋体" w:cs="宋体"/>
                <w:szCs w:val="21"/>
              </w:rPr>
              <w:instrText xml:space="preserve"> eq \o\ac(□,</w:instrText>
            </w:r>
            <w:r>
              <w:rPr>
                <w:rFonts w:hint="eastAsia" w:ascii="宋体" w:hAnsi="宋体" w:eastAsia="宋体" w:cs="宋体"/>
                <w:position w:val="2"/>
                <w:sz w:val="13"/>
                <w:szCs w:val="21"/>
              </w:rPr>
              <w:instrText xml:space="preserve">√</w:instrText>
            </w:r>
            <w:r>
              <w:rPr>
                <w:rFonts w:hint="eastAsia" w:ascii="宋体" w:hAnsi="宋体" w:eastAsia="宋体" w:cs="宋体"/>
                <w:szCs w:val="21"/>
              </w:rPr>
              <w:instrText xml:space="preserve">)</w:instrText>
            </w:r>
            <w:r>
              <w:rPr>
                <w:rFonts w:hint="eastAsia" w:ascii="宋体" w:hAnsi="宋体" w:eastAsia="宋体" w:cs="宋体"/>
                <w:szCs w:val="21"/>
              </w:rPr>
              <w:fldChar w:fldCharType="end"/>
            </w:r>
            <w:r>
              <w:rPr>
                <w:rFonts w:hint="eastAsia" w:ascii="宋体" w:hAnsi="宋体" w:eastAsia="宋体" w:cs="宋体"/>
              </w:rPr>
              <w:t>向西安仲裁委员会提请仲裁</w:t>
            </w:r>
          </w:p>
          <w:p w14:paraId="6EE2680A">
            <w:pPr>
              <w:jc w:val="left"/>
              <w:rPr>
                <w:rFonts w:ascii="宋体" w:hAnsi="宋体" w:eastAsia="宋体" w:cs="宋体"/>
              </w:rPr>
            </w:pPr>
            <w:r>
              <w:rPr>
                <w:rFonts w:hint="eastAsia" w:ascii="宋体" w:hAnsi="宋体" w:eastAsia="宋体" w:cs="宋体"/>
                <w:szCs w:val="21"/>
              </w:rPr>
              <w:fldChar w:fldCharType="begin"/>
            </w:r>
            <w:r>
              <w:rPr>
                <w:rFonts w:hint="eastAsia" w:ascii="宋体" w:hAnsi="宋体" w:eastAsia="宋体" w:cs="宋体"/>
                <w:szCs w:val="21"/>
              </w:rPr>
              <w:instrText xml:space="preserve"> eq \o\ac(□)</w:instrText>
            </w:r>
            <w:r>
              <w:rPr>
                <w:rFonts w:hint="eastAsia" w:ascii="宋体" w:hAnsi="宋体" w:eastAsia="宋体" w:cs="宋体"/>
                <w:szCs w:val="21"/>
              </w:rPr>
              <w:fldChar w:fldCharType="end"/>
            </w:r>
            <w:r>
              <w:rPr>
                <w:rFonts w:hint="eastAsia" w:ascii="宋体" w:hAnsi="宋体" w:eastAsia="宋体" w:cs="宋体"/>
              </w:rPr>
              <w:t>由供应商做出选择</w:t>
            </w:r>
          </w:p>
        </w:tc>
      </w:tr>
      <w:tr w14:paraId="40FC2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vAlign w:val="center"/>
          </w:tcPr>
          <w:p w14:paraId="544B0F18">
            <w:pPr>
              <w:jc w:val="center"/>
              <w:rPr>
                <w:rFonts w:ascii="宋体" w:hAnsi="宋体" w:eastAsia="宋体" w:cs="宋体"/>
              </w:rPr>
            </w:pPr>
            <w:r>
              <w:rPr>
                <w:rFonts w:hint="eastAsia" w:ascii="宋体" w:hAnsi="宋体" w:eastAsia="宋体" w:cs="宋体"/>
              </w:rPr>
              <w:t>11</w:t>
            </w:r>
          </w:p>
        </w:tc>
        <w:tc>
          <w:tcPr>
            <w:tcW w:w="1710" w:type="dxa"/>
            <w:vAlign w:val="center"/>
          </w:tcPr>
          <w:p w14:paraId="2B2D6153">
            <w:pPr>
              <w:jc w:val="center"/>
              <w:rPr>
                <w:rFonts w:ascii="宋体" w:hAnsi="宋体" w:eastAsia="宋体" w:cs="宋体"/>
              </w:rPr>
            </w:pPr>
            <w:r>
              <w:rPr>
                <w:rFonts w:hint="eastAsia" w:ascii="宋体" w:hAnsi="宋体" w:eastAsia="宋体" w:cs="宋体"/>
              </w:rPr>
              <w:t>联系方式</w:t>
            </w:r>
          </w:p>
        </w:tc>
        <w:tc>
          <w:tcPr>
            <w:tcW w:w="5907" w:type="dxa"/>
            <w:vAlign w:val="center"/>
          </w:tcPr>
          <w:p w14:paraId="1CAF8F15">
            <w:pPr>
              <w:jc w:val="left"/>
              <w:rPr>
                <w:rFonts w:ascii="宋体" w:hAnsi="宋体" w:eastAsia="宋体" w:cs="宋体"/>
                <w:u w:val="single"/>
              </w:rPr>
            </w:pPr>
            <w:r>
              <w:rPr>
                <w:rFonts w:hint="eastAsia" w:ascii="宋体" w:hAnsi="宋体" w:eastAsia="宋体" w:cs="宋体"/>
              </w:rPr>
              <w:t>项目对接人：</w:t>
            </w:r>
            <w:r>
              <w:rPr>
                <w:rFonts w:hint="eastAsia" w:ascii="宋体" w:hAnsi="宋体" w:eastAsia="宋体" w:cs="宋体"/>
                <w:u w:val="single"/>
              </w:rPr>
              <w:t xml:space="preserve">李军平 </w:t>
            </w:r>
          </w:p>
          <w:p w14:paraId="4BD32D2A">
            <w:pPr>
              <w:jc w:val="left"/>
              <w:rPr>
                <w:rFonts w:ascii="宋体" w:hAnsi="宋体" w:eastAsia="宋体" w:cs="宋体"/>
                <w:u w:val="single"/>
              </w:rPr>
            </w:pPr>
            <w:r>
              <w:rPr>
                <w:rFonts w:hint="eastAsia" w:ascii="宋体" w:hAnsi="宋体" w:eastAsia="宋体" w:cs="宋体"/>
              </w:rPr>
              <w:t>联系电话：</w:t>
            </w:r>
            <w:r>
              <w:rPr>
                <w:rFonts w:hint="eastAsia" w:ascii="宋体" w:hAnsi="宋体" w:eastAsia="宋体" w:cs="宋体"/>
                <w:u w:val="single"/>
              </w:rPr>
              <w:t xml:space="preserve"> 18991326508 </w:t>
            </w:r>
          </w:p>
          <w:p w14:paraId="73884F0E">
            <w:pPr>
              <w:jc w:val="left"/>
              <w:rPr>
                <w:rFonts w:ascii="宋体" w:hAnsi="宋体" w:eastAsia="宋体" w:cs="宋体"/>
              </w:rPr>
            </w:pPr>
            <w:r>
              <w:rPr>
                <w:rFonts w:hint="eastAsia" w:ascii="宋体" w:hAnsi="宋体" w:eastAsia="宋体" w:cs="宋体"/>
              </w:rPr>
              <w:t>电子邮箱：</w:t>
            </w:r>
            <w:r>
              <w:rPr>
                <w:rFonts w:hint="eastAsia" w:ascii="宋体" w:hAnsi="宋体" w:eastAsia="宋体" w:cs="宋体"/>
                <w:u w:val="single"/>
              </w:rPr>
              <w:t xml:space="preserve"> / </w:t>
            </w:r>
          </w:p>
        </w:tc>
      </w:tr>
    </w:tbl>
    <w:p w14:paraId="22CA1E15">
      <w:pPr>
        <w:rPr>
          <w:rFonts w:asciiTheme="minorEastAsia" w:hAnsiTheme="minorEastAsia" w:cstheme="minorEastAsia"/>
        </w:rPr>
      </w:pPr>
      <w:r>
        <w:rPr>
          <w:rFonts w:hint="eastAsia" w:asciiTheme="minorEastAsia" w:hAnsiTheme="minorEastAsia" w:cstheme="minorEastAsia"/>
        </w:rPr>
        <w:br w:type="page"/>
      </w:r>
    </w:p>
    <w:p w14:paraId="40007BBD">
      <w:pPr>
        <w:jc w:val="center"/>
        <w:rPr>
          <w:rFonts w:asciiTheme="minorEastAsia" w:hAnsiTheme="minorEastAsia" w:cstheme="minorEastAsia"/>
          <w:b/>
          <w:bCs/>
          <w:sz w:val="32"/>
          <w:szCs w:val="32"/>
        </w:rPr>
      </w:pPr>
      <w:r>
        <w:rPr>
          <w:rFonts w:hint="eastAsia" w:asciiTheme="minorEastAsia" w:hAnsiTheme="minorEastAsia" w:cstheme="minorEastAsia"/>
          <w:b/>
          <w:bCs/>
          <w:sz w:val="32"/>
          <w:szCs w:val="32"/>
        </w:rPr>
        <w:t>需求框架（服务类）</w:t>
      </w:r>
    </w:p>
    <w:p w14:paraId="3C629B4B">
      <w:pPr>
        <w:spacing w:line="360" w:lineRule="auto"/>
        <w:rPr>
          <w:rFonts w:ascii="宋体" w:hAnsi="宋体" w:eastAsia="宋体" w:cs="宋体"/>
          <w:b/>
          <w:bCs/>
          <w:szCs w:val="21"/>
        </w:rPr>
      </w:pPr>
      <w:r>
        <w:rPr>
          <w:rFonts w:hint="eastAsia" w:ascii="宋体" w:hAnsi="宋体" w:eastAsia="宋体" w:cs="宋体"/>
          <w:b/>
          <w:bCs/>
          <w:szCs w:val="21"/>
        </w:rPr>
        <w:t>一、项目概况</w:t>
      </w:r>
    </w:p>
    <w:p w14:paraId="65885C0B">
      <w:pPr>
        <w:pStyle w:val="9"/>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东门市民服务中心就餐人员约</w:t>
      </w:r>
      <w:r>
        <w:rPr>
          <w:rFonts w:hint="eastAsia" w:ascii="宋体" w:hAnsi="宋体" w:eastAsia="宋体" w:cs="宋体"/>
          <w:sz w:val="21"/>
          <w:szCs w:val="21"/>
          <w:lang w:val="en-US" w:eastAsia="zh-CN"/>
        </w:rPr>
        <w:t>270</w:t>
      </w:r>
      <w:r>
        <w:rPr>
          <w:rFonts w:hint="eastAsia" w:ascii="宋体" w:hAnsi="宋体" w:eastAsia="宋体" w:cs="宋体"/>
          <w:sz w:val="21"/>
          <w:szCs w:val="21"/>
        </w:rPr>
        <w:t>人。餐厅、主操作间、大厅面积，桌椅等，供应商可自行到现场勘查，自行负责因踏勘所产生的费用和其他一切后果。</w:t>
      </w:r>
    </w:p>
    <w:p w14:paraId="018B5856">
      <w:pPr>
        <w:pStyle w:val="9"/>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服务内容：餐厅清洁保洁、设备管理维护、工作日一日两餐制作、易耗品保护（碗筷清洗）、安全防护（水、电、气、火灾、食品安全）、人员管理、就餐人员秩序管理等相关餐厅事务。</w:t>
      </w:r>
    </w:p>
    <w:p w14:paraId="7B8326CE">
      <w:pPr>
        <w:pStyle w:val="9"/>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供餐标准（不限于）：</w:t>
      </w:r>
    </w:p>
    <w:p w14:paraId="43A2AF47">
      <w:pPr>
        <w:pStyle w:val="9"/>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1、早餐：小菜*种，稀饭（豆浆等）*种，主食类（馒头、油饼、包子、花卷等）*种；</w:t>
      </w:r>
    </w:p>
    <w:p w14:paraId="44606D36">
      <w:pPr>
        <w:pStyle w:val="9"/>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2、中餐：*种，其中热菜*种，小吃*种，面食*种，汤*种，水果*种，米饭。</w:t>
      </w:r>
    </w:p>
    <w:p w14:paraId="1933858E">
      <w:pPr>
        <w:pStyle w:val="9"/>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供餐形式：自助餐</w:t>
      </w:r>
    </w:p>
    <w:p w14:paraId="7B8E0DE1">
      <w:pPr>
        <w:pStyle w:val="9"/>
        <w:spacing w:line="360" w:lineRule="auto"/>
        <w:ind w:firstLine="422" w:firstLineChars="200"/>
        <w:rPr>
          <w:rFonts w:ascii="宋体" w:hAnsi="宋体" w:eastAsia="宋体" w:cs="宋体"/>
          <w:b/>
          <w:bCs/>
          <w:sz w:val="21"/>
          <w:szCs w:val="21"/>
        </w:rPr>
      </w:pPr>
      <w:r>
        <w:rPr>
          <w:rFonts w:hint="eastAsia" w:ascii="宋体" w:hAnsi="宋体" w:eastAsia="宋体" w:cs="宋体"/>
          <w:b/>
          <w:bCs/>
          <w:sz w:val="21"/>
          <w:szCs w:val="21"/>
        </w:rPr>
        <w:t>本项目所属行业为</w:t>
      </w:r>
      <w:r>
        <w:rPr>
          <w:rFonts w:hint="eastAsia" w:ascii="宋体" w:hAnsi="宋体" w:eastAsia="宋体" w:cs="宋体"/>
          <w:b/>
          <w:bCs/>
          <w:sz w:val="21"/>
          <w:szCs w:val="21"/>
          <w:u w:val="single"/>
        </w:rPr>
        <w:t>餐饮业</w:t>
      </w:r>
      <w:r>
        <w:rPr>
          <w:rFonts w:hint="eastAsia" w:ascii="宋体" w:hAnsi="宋体" w:eastAsia="宋体" w:cs="宋体"/>
          <w:b/>
          <w:bCs/>
          <w:sz w:val="21"/>
          <w:szCs w:val="21"/>
        </w:rPr>
        <w:t>。</w:t>
      </w:r>
    </w:p>
    <w:p w14:paraId="214DCAE2">
      <w:pPr>
        <w:spacing w:line="360" w:lineRule="auto"/>
        <w:rPr>
          <w:rFonts w:ascii="宋体" w:hAnsi="宋体" w:eastAsia="宋体" w:cs="宋体"/>
          <w:b/>
          <w:bCs/>
          <w:szCs w:val="21"/>
        </w:rPr>
      </w:pPr>
      <w:r>
        <w:rPr>
          <w:rFonts w:hint="eastAsia" w:ascii="宋体" w:hAnsi="宋体" w:eastAsia="宋体" w:cs="宋体"/>
          <w:b/>
          <w:bCs/>
          <w:szCs w:val="21"/>
        </w:rPr>
        <w:t>二、服务内容</w:t>
      </w:r>
    </w:p>
    <w:p w14:paraId="3242BED4">
      <w:pPr>
        <w:spacing w:line="360" w:lineRule="auto"/>
        <w:ind w:firstLine="420" w:firstLineChars="200"/>
        <w:rPr>
          <w:rFonts w:ascii="宋体" w:hAnsi="宋体" w:eastAsia="宋体" w:cs="宋体"/>
          <w:szCs w:val="21"/>
        </w:rPr>
      </w:pPr>
      <w:r>
        <w:rPr>
          <w:rFonts w:hint="eastAsia" w:ascii="宋体" w:hAnsi="宋体" w:eastAsia="宋体" w:cs="宋体"/>
          <w:szCs w:val="21"/>
        </w:rPr>
        <w:t>1、采购人提供原材料、供餐场地、制作场地、收银设备、餐厅及后厨设备、厨具及餐具（一次性餐具除外）；承担水、电、气和正常维修，提供值班室一间，供应商根据本项目的用餐人数、规模及采购人要求，为就餐地点合理配备各类服务人员，人数不少于13人（其中：厨师长1人、炒菜1人、管理人员1人、</w:t>
      </w:r>
      <w:r>
        <w:rPr>
          <w:rFonts w:hint="eastAsia" w:ascii="宋体" w:hAnsi="宋体" w:eastAsia="宋体" w:cs="宋体"/>
          <w:szCs w:val="21"/>
          <w:lang w:val="en-US" w:eastAsia="zh-CN"/>
        </w:rPr>
        <w:t>厨师</w:t>
      </w:r>
      <w:r>
        <w:rPr>
          <w:rFonts w:ascii="宋体" w:hAnsi="宋体" w:eastAsia="宋体" w:cs="宋体"/>
          <w:szCs w:val="21"/>
        </w:rPr>
        <w:t>2</w:t>
      </w:r>
      <w:r>
        <w:rPr>
          <w:rFonts w:hint="eastAsia" w:ascii="宋体" w:hAnsi="宋体" w:eastAsia="宋体" w:cs="宋体"/>
          <w:szCs w:val="21"/>
        </w:rPr>
        <w:t>人、切配2人、面点</w:t>
      </w:r>
      <w:r>
        <w:rPr>
          <w:rFonts w:ascii="宋体" w:hAnsi="宋体" w:eastAsia="宋体" w:cs="宋体"/>
          <w:szCs w:val="21"/>
        </w:rPr>
        <w:t>2</w:t>
      </w:r>
      <w:r>
        <w:rPr>
          <w:rFonts w:hint="eastAsia" w:ascii="宋体" w:hAnsi="宋体" w:eastAsia="宋体" w:cs="宋体"/>
          <w:szCs w:val="21"/>
        </w:rPr>
        <w:t>人、洗消2人、服务人员</w:t>
      </w:r>
      <w:r>
        <w:rPr>
          <w:rFonts w:ascii="宋体" w:hAnsi="宋体" w:eastAsia="宋体" w:cs="宋体"/>
          <w:szCs w:val="21"/>
        </w:rPr>
        <w:t>2</w:t>
      </w:r>
      <w:r>
        <w:rPr>
          <w:rFonts w:hint="eastAsia" w:ascii="宋体" w:hAnsi="宋体" w:eastAsia="宋体" w:cs="宋体"/>
          <w:szCs w:val="21"/>
        </w:rPr>
        <w:t>人。）总报价为服务过程中产生的所有费用，包括但不限于人工费（含工服费）、社会保障费、住宿费、保险费、管理费、培训费、税金等其他一切相关费用。</w:t>
      </w:r>
    </w:p>
    <w:p w14:paraId="7E177D2B">
      <w:pPr>
        <w:spacing w:line="360" w:lineRule="auto"/>
        <w:ind w:firstLine="420" w:firstLineChars="200"/>
        <w:rPr>
          <w:rFonts w:ascii="宋体" w:hAnsi="宋体" w:eastAsia="宋体" w:cs="宋体"/>
          <w:szCs w:val="21"/>
        </w:rPr>
      </w:pPr>
      <w:r>
        <w:rPr>
          <w:rFonts w:hint="eastAsia" w:ascii="宋体" w:hAnsi="宋体" w:eastAsia="宋体" w:cs="宋体"/>
          <w:szCs w:val="21"/>
        </w:rPr>
        <w:t>2、采购人承担食材采购费用。供应商按照采购人餐费标准及要求制定菜谱及就餐形式，每周菜品不重复，做到营养搭配、均衡膳食，每周五出下周菜单予以审核。</w:t>
      </w:r>
    </w:p>
    <w:p w14:paraId="5E3D73B6">
      <w:pPr>
        <w:spacing w:line="360" w:lineRule="auto"/>
        <w:ind w:firstLine="420" w:firstLineChars="200"/>
        <w:rPr>
          <w:rFonts w:ascii="宋体" w:hAnsi="宋体" w:eastAsia="宋体" w:cs="宋体"/>
          <w:szCs w:val="21"/>
        </w:rPr>
      </w:pPr>
      <w:r>
        <w:rPr>
          <w:rFonts w:hint="eastAsia" w:ascii="宋体" w:hAnsi="宋体" w:eastAsia="宋体" w:cs="宋体"/>
          <w:szCs w:val="21"/>
        </w:rPr>
        <w:t>3、供应商应保证所录用人员身体健康、无传染性疾病、无刑事违法或处分犯罪记录，所有从业人员经过岗前培训、健康检查合格且拥有健康证；服务人员按岗位统一着装，言行规范，文明礼貌。</w:t>
      </w:r>
    </w:p>
    <w:p w14:paraId="4B91C028">
      <w:pPr>
        <w:spacing w:line="360" w:lineRule="auto"/>
        <w:rPr>
          <w:rFonts w:ascii="宋体" w:hAnsi="宋体" w:eastAsia="宋体" w:cs="宋体"/>
          <w:b/>
          <w:bCs/>
          <w:szCs w:val="21"/>
        </w:rPr>
      </w:pPr>
      <w:r>
        <w:rPr>
          <w:rFonts w:hint="eastAsia" w:ascii="宋体" w:hAnsi="宋体" w:eastAsia="宋体" w:cs="宋体"/>
          <w:b/>
          <w:bCs/>
          <w:szCs w:val="21"/>
        </w:rPr>
        <w:t>三、工作要求</w:t>
      </w:r>
    </w:p>
    <w:p w14:paraId="44153DCE">
      <w:pPr>
        <w:spacing w:line="360" w:lineRule="auto"/>
        <w:ind w:firstLine="420" w:firstLineChars="200"/>
        <w:rPr>
          <w:rFonts w:ascii="宋体" w:hAnsi="宋体" w:eastAsia="宋体" w:cs="宋体"/>
          <w:szCs w:val="21"/>
        </w:rPr>
      </w:pPr>
      <w:r>
        <w:rPr>
          <w:rFonts w:hint="eastAsia" w:ascii="宋体" w:hAnsi="宋体" w:eastAsia="宋体" w:cs="宋体"/>
          <w:szCs w:val="21"/>
        </w:rPr>
        <w:t>1、消毒间人员熟知消毒液的配置比例和允许使用的时间，严格按照配比标准配置消毒液并在规定的时间内使用。</w:t>
      </w:r>
    </w:p>
    <w:p w14:paraId="0EEFB012">
      <w:pPr>
        <w:spacing w:line="360" w:lineRule="auto"/>
        <w:ind w:firstLine="420" w:firstLineChars="200"/>
        <w:rPr>
          <w:rFonts w:ascii="宋体" w:hAnsi="宋体" w:eastAsia="宋体" w:cs="宋体"/>
          <w:szCs w:val="21"/>
        </w:rPr>
      </w:pPr>
      <w:r>
        <w:rPr>
          <w:rFonts w:hint="eastAsia" w:ascii="宋体" w:hAnsi="宋体" w:eastAsia="宋体" w:cs="宋体"/>
          <w:szCs w:val="21"/>
        </w:rPr>
        <w:t>2、坚持洗消工序：即去残渣、洗涤剂洗刷、净水冲、热力消毒四道工序，消毒温度达到标准。</w:t>
      </w:r>
    </w:p>
    <w:p w14:paraId="59BCB31C">
      <w:pPr>
        <w:spacing w:line="360" w:lineRule="auto"/>
        <w:ind w:firstLine="420" w:firstLineChars="200"/>
        <w:rPr>
          <w:rFonts w:ascii="宋体" w:hAnsi="宋体" w:eastAsia="宋体" w:cs="宋体"/>
          <w:szCs w:val="21"/>
        </w:rPr>
      </w:pPr>
      <w:r>
        <w:rPr>
          <w:rFonts w:hint="eastAsia" w:ascii="宋体" w:hAnsi="宋体" w:eastAsia="宋体" w:cs="宋体"/>
          <w:szCs w:val="21"/>
        </w:rPr>
        <w:t>3、消毒后的备用餐具、茶具要有专柜储存、整洁有序，无杂物，无油垢。</w:t>
      </w:r>
    </w:p>
    <w:p w14:paraId="5FB0093E">
      <w:pPr>
        <w:spacing w:line="360" w:lineRule="auto"/>
        <w:ind w:firstLine="420" w:firstLineChars="200"/>
        <w:rPr>
          <w:rFonts w:ascii="宋体" w:hAnsi="宋体" w:eastAsia="宋体" w:cs="宋体"/>
          <w:szCs w:val="21"/>
        </w:rPr>
      </w:pPr>
      <w:r>
        <w:rPr>
          <w:rFonts w:hint="eastAsia" w:ascii="宋体" w:hAnsi="宋体" w:eastAsia="宋体" w:cs="宋体"/>
          <w:szCs w:val="21"/>
        </w:rPr>
        <w:t>4、废弃物专用容器摆放，做到不暴露，不积压，不外溢。</w:t>
      </w:r>
    </w:p>
    <w:p w14:paraId="6FFFEE88">
      <w:pPr>
        <w:spacing w:line="360" w:lineRule="auto"/>
        <w:ind w:firstLine="420" w:firstLineChars="200"/>
        <w:rPr>
          <w:rFonts w:ascii="宋体" w:hAnsi="宋体" w:eastAsia="宋体" w:cs="宋体"/>
          <w:szCs w:val="21"/>
        </w:rPr>
      </w:pPr>
      <w:r>
        <w:rPr>
          <w:rFonts w:hint="eastAsia" w:ascii="宋体" w:hAnsi="宋体" w:eastAsia="宋体" w:cs="宋体"/>
          <w:szCs w:val="21"/>
        </w:rPr>
        <w:t>5、饭菜必须做到安全、卫生、营养，合理搭配，均衡膳食；</w:t>
      </w:r>
    </w:p>
    <w:p w14:paraId="4A668B97">
      <w:pPr>
        <w:spacing w:line="360" w:lineRule="auto"/>
        <w:ind w:firstLine="420" w:firstLineChars="200"/>
        <w:rPr>
          <w:rFonts w:ascii="宋体" w:hAnsi="宋体" w:eastAsia="宋体" w:cs="宋体"/>
          <w:szCs w:val="21"/>
        </w:rPr>
      </w:pPr>
      <w:r>
        <w:rPr>
          <w:rFonts w:hint="eastAsia" w:ascii="宋体" w:hAnsi="宋体" w:eastAsia="宋体" w:cs="宋体"/>
          <w:szCs w:val="21"/>
        </w:rPr>
        <w:t>6、对厨房设备应当合理使用，妥善保管、不得人为损坏和丢失，同时应节约水电和燃料费用，做到良好内控管理记录。</w:t>
      </w:r>
    </w:p>
    <w:p w14:paraId="1B01F209">
      <w:pPr>
        <w:spacing w:line="360" w:lineRule="auto"/>
        <w:jc w:val="left"/>
        <w:rPr>
          <w:rFonts w:ascii="宋体" w:hAnsi="宋体" w:eastAsia="宋体" w:cs="宋体"/>
          <w:b/>
          <w:bCs/>
          <w:szCs w:val="21"/>
        </w:rPr>
      </w:pPr>
      <w:r>
        <w:rPr>
          <w:rFonts w:hint="eastAsia" w:ascii="宋体" w:hAnsi="宋体" w:cs="宋体"/>
          <w:b/>
          <w:bCs/>
          <w:szCs w:val="21"/>
        </w:rPr>
        <w:t>四</w:t>
      </w:r>
      <w:r>
        <w:rPr>
          <w:rFonts w:hint="eastAsia" w:ascii="宋体" w:hAnsi="宋体" w:eastAsia="宋体" w:cs="宋体"/>
          <w:b/>
          <w:bCs/>
          <w:szCs w:val="21"/>
        </w:rPr>
        <w:t>、服务、产品（如有）执行的标准、规范：</w:t>
      </w:r>
    </w:p>
    <w:p w14:paraId="6ADC73B3">
      <w:pPr>
        <w:spacing w:line="360" w:lineRule="auto"/>
        <w:ind w:firstLine="420" w:firstLineChars="200"/>
        <w:rPr>
          <w:rFonts w:ascii="宋体" w:hAnsi="宋体" w:eastAsia="宋体" w:cs="宋体"/>
          <w:szCs w:val="21"/>
        </w:rPr>
      </w:pPr>
      <w:r>
        <w:rPr>
          <w:rFonts w:hint="eastAsia" w:ascii="宋体" w:hAnsi="宋体" w:eastAsia="宋体" w:cs="宋体"/>
          <w:szCs w:val="21"/>
        </w:rPr>
        <w:t>（1）国家标准、规范:</w:t>
      </w:r>
      <w:r>
        <w:rPr>
          <w:rFonts w:hint="eastAsia" w:ascii="宋体" w:hAnsi="宋体" w:eastAsia="宋体" w:cs="宋体"/>
          <w:szCs w:val="21"/>
          <w:u w:val="single"/>
        </w:rPr>
        <w:t xml:space="preserve">      /     </w:t>
      </w:r>
      <w:r>
        <w:rPr>
          <w:rFonts w:hint="eastAsia" w:ascii="宋体" w:hAnsi="宋体" w:eastAsia="宋体" w:cs="宋体"/>
          <w:szCs w:val="21"/>
        </w:rPr>
        <w:t>；</w:t>
      </w:r>
    </w:p>
    <w:p w14:paraId="468135CC">
      <w:pPr>
        <w:spacing w:line="360" w:lineRule="auto"/>
        <w:ind w:firstLine="420" w:firstLineChars="200"/>
        <w:rPr>
          <w:rFonts w:ascii="宋体" w:hAnsi="宋体" w:eastAsia="宋体" w:cs="宋体"/>
          <w:szCs w:val="21"/>
        </w:rPr>
      </w:pPr>
      <w:r>
        <w:rPr>
          <w:rFonts w:hint="eastAsia" w:ascii="宋体" w:hAnsi="宋体" w:eastAsia="宋体" w:cs="宋体"/>
          <w:szCs w:val="21"/>
        </w:rPr>
        <w:t>（2）行业标准、规范:</w:t>
      </w:r>
      <w:r>
        <w:rPr>
          <w:rFonts w:hint="eastAsia" w:ascii="宋体" w:hAnsi="宋体" w:eastAsia="宋体" w:cs="宋体"/>
          <w:szCs w:val="21"/>
          <w:u w:val="single"/>
        </w:rPr>
        <w:t xml:space="preserve">      /     </w:t>
      </w:r>
      <w:r>
        <w:rPr>
          <w:rFonts w:hint="eastAsia" w:ascii="宋体" w:hAnsi="宋体" w:eastAsia="宋体" w:cs="宋体"/>
          <w:szCs w:val="21"/>
        </w:rPr>
        <w:t>；</w:t>
      </w:r>
    </w:p>
    <w:p w14:paraId="7449377A">
      <w:pPr>
        <w:spacing w:line="360" w:lineRule="auto"/>
        <w:ind w:firstLine="420" w:firstLineChars="200"/>
        <w:rPr>
          <w:rFonts w:ascii="宋体" w:hAnsi="宋体" w:eastAsia="宋体" w:cs="宋体"/>
          <w:szCs w:val="21"/>
        </w:rPr>
      </w:pPr>
      <w:r>
        <w:rPr>
          <w:rFonts w:hint="eastAsia" w:ascii="宋体" w:hAnsi="宋体" w:eastAsia="宋体" w:cs="宋体"/>
          <w:szCs w:val="21"/>
        </w:rPr>
        <w:t>（3）地方标准、规范:</w:t>
      </w:r>
      <w:r>
        <w:rPr>
          <w:rFonts w:hint="eastAsia" w:ascii="宋体" w:hAnsi="宋体" w:eastAsia="宋体" w:cs="宋体"/>
          <w:szCs w:val="21"/>
          <w:u w:val="single"/>
        </w:rPr>
        <w:t xml:space="preserve">      /     </w:t>
      </w:r>
      <w:r>
        <w:rPr>
          <w:rFonts w:hint="eastAsia" w:ascii="宋体" w:hAnsi="宋体" w:eastAsia="宋体" w:cs="宋体"/>
          <w:szCs w:val="21"/>
        </w:rPr>
        <w:t>；</w:t>
      </w:r>
    </w:p>
    <w:p w14:paraId="1D4ED873">
      <w:pPr>
        <w:spacing w:line="360" w:lineRule="auto"/>
        <w:ind w:firstLine="420" w:firstLineChars="200"/>
        <w:rPr>
          <w:rFonts w:ascii="宋体" w:hAnsi="宋体" w:eastAsia="宋体" w:cs="宋体"/>
          <w:szCs w:val="21"/>
        </w:rPr>
      </w:pPr>
      <w:r>
        <w:rPr>
          <w:rFonts w:hint="eastAsia" w:ascii="宋体" w:hAnsi="宋体" w:eastAsia="宋体" w:cs="宋体"/>
          <w:szCs w:val="21"/>
        </w:rPr>
        <w:t>（4）企业标准、规范:</w:t>
      </w:r>
      <w:r>
        <w:rPr>
          <w:rFonts w:hint="eastAsia" w:ascii="宋体" w:hAnsi="宋体" w:eastAsia="宋体" w:cs="宋体"/>
          <w:szCs w:val="21"/>
          <w:u w:val="single"/>
        </w:rPr>
        <w:t xml:space="preserve">      /     </w:t>
      </w:r>
      <w:r>
        <w:rPr>
          <w:rFonts w:hint="eastAsia" w:ascii="宋体" w:hAnsi="宋体" w:eastAsia="宋体" w:cs="宋体"/>
          <w:szCs w:val="21"/>
        </w:rPr>
        <w:t>。</w:t>
      </w:r>
    </w:p>
    <w:p w14:paraId="75C1112C">
      <w:pPr>
        <w:spacing w:line="360" w:lineRule="auto"/>
        <w:ind w:firstLine="420" w:firstLineChars="200"/>
        <w:rPr>
          <w:rFonts w:ascii="宋体" w:hAnsi="宋体" w:eastAsia="宋体" w:cs="宋体"/>
          <w:szCs w:val="21"/>
        </w:rPr>
      </w:pPr>
      <w:r>
        <w:rPr>
          <w:rFonts w:hint="eastAsia" w:ascii="宋体" w:hAnsi="宋体" w:eastAsia="宋体" w:cs="宋体"/>
          <w:szCs w:val="21"/>
        </w:rPr>
        <w:t>质量验收标准或规范：依照检测样品的国家标准。现行的国家标准或国家行政部门颁布的法律法规、规章制度等，是项目验收的重要依据。对没有国家标准的，可按照地方标准、卫生标准、质量标准和相关的行业标准、地方标准、企业标准、产品标签明示值或国家明文规定的限量值及国家指定的特定检验方法等进行检验。</w:t>
      </w:r>
    </w:p>
    <w:p w14:paraId="24A2EA50">
      <w:pPr>
        <w:spacing w:line="360" w:lineRule="auto"/>
        <w:ind w:firstLine="420" w:firstLineChars="200"/>
        <w:rPr>
          <w:rFonts w:ascii="宋体" w:hAnsi="宋体" w:eastAsia="宋体" w:cs="宋体"/>
          <w:szCs w:val="21"/>
        </w:rPr>
      </w:pPr>
      <w:r>
        <w:rPr>
          <w:rFonts w:hint="eastAsia" w:ascii="宋体" w:hAnsi="宋体" w:eastAsia="宋体" w:cs="宋体"/>
          <w:szCs w:val="21"/>
        </w:rPr>
        <w:t>本章第</w:t>
      </w:r>
      <w:r>
        <w:rPr>
          <w:rFonts w:hint="eastAsia" w:ascii="宋体" w:hAnsi="宋体" w:cs="宋体"/>
          <w:szCs w:val="21"/>
        </w:rPr>
        <w:t>五</w:t>
      </w:r>
      <w:r>
        <w:rPr>
          <w:rFonts w:hint="eastAsia" w:ascii="宋体" w:hAnsi="宋体" w:eastAsia="宋体" w:cs="宋体"/>
          <w:szCs w:val="21"/>
        </w:rPr>
        <w:t>条款未明确服务执行标准、规范的，则按下列方法进行选择：</w:t>
      </w:r>
    </w:p>
    <w:p w14:paraId="3C3358DF">
      <w:pPr>
        <w:spacing w:line="360" w:lineRule="auto"/>
        <w:ind w:firstLine="420" w:firstLineChars="200"/>
        <w:rPr>
          <w:rFonts w:ascii="宋体" w:hAnsi="宋体" w:eastAsia="宋体" w:cs="宋体"/>
          <w:szCs w:val="21"/>
        </w:rPr>
      </w:pPr>
      <w:r>
        <w:rPr>
          <w:rFonts w:hint="eastAsia" w:ascii="宋体" w:hAnsi="宋体" w:eastAsia="宋体" w:cs="宋体"/>
          <w:szCs w:val="21"/>
        </w:rPr>
        <w:t xml:space="preserve">     □ 顺序执行：国家标准→行业标准→地方标准→企业标准（有国家标准按国家标准执行，没有国家标准按行业标准，以此类推）；</w:t>
      </w:r>
    </w:p>
    <w:p w14:paraId="4082CE9B">
      <w:pPr>
        <w:spacing w:line="360" w:lineRule="auto"/>
        <w:ind w:firstLine="420" w:firstLineChars="200"/>
        <w:rPr>
          <w:rFonts w:ascii="宋体" w:hAnsi="宋体" w:eastAsia="宋体" w:cs="宋体"/>
          <w:szCs w:val="21"/>
        </w:rPr>
      </w:pPr>
      <w:r>
        <w:rPr>
          <w:rFonts w:hint="eastAsia" w:ascii="宋体" w:hAnsi="宋体" w:eastAsia="宋体" w:cs="宋体"/>
          <w:szCs w:val="21"/>
        </w:rPr>
        <w:t xml:space="preserve">     □ 最高标准执行：国家标准，行业标准，地方标准，企业标准（那个标准高执行那个标准）；</w:t>
      </w:r>
    </w:p>
    <w:p w14:paraId="795D7BC3">
      <w:pPr>
        <w:spacing w:line="360" w:lineRule="auto"/>
        <w:ind w:firstLine="420" w:firstLineChars="200"/>
        <w:rPr>
          <w:rFonts w:ascii="宋体" w:hAnsi="宋体" w:eastAsia="宋体" w:cs="宋体"/>
          <w:szCs w:val="21"/>
        </w:rPr>
      </w:pPr>
      <w:r>
        <w:rPr>
          <w:rFonts w:hint="eastAsia" w:ascii="宋体" w:hAnsi="宋体" w:eastAsia="宋体" w:cs="宋体"/>
          <w:szCs w:val="21"/>
        </w:rPr>
        <w:t xml:space="preserve">     </w:t>
      </w:r>
      <w:r>
        <w:rPr>
          <w:rFonts w:hint="eastAsia" w:ascii="宋体" w:hAnsi="宋体" w:eastAsia="宋体" w:cs="宋体"/>
          <w:szCs w:val="21"/>
        </w:rPr>
        <w:fldChar w:fldCharType="begin"/>
      </w:r>
      <w:r>
        <w:rPr>
          <w:rFonts w:hint="eastAsia" w:ascii="宋体" w:hAnsi="宋体" w:eastAsia="宋体" w:cs="宋体"/>
          <w:szCs w:val="21"/>
        </w:rPr>
        <w:instrText xml:space="preserve"> eq \o\ac(</w:instrText>
      </w:r>
      <w:r>
        <w:rPr>
          <w:rFonts w:hint="eastAsia" w:ascii="宋体" w:hAnsi="宋体" w:eastAsia="宋体" w:cs="宋体"/>
          <w:position w:val="-4"/>
          <w:sz w:val="31"/>
          <w:szCs w:val="21"/>
        </w:rPr>
        <w:instrText xml:space="preserve">□</w:instrText>
      </w:r>
      <w:r>
        <w:rPr>
          <w:rFonts w:hint="eastAsia" w:ascii="宋体" w:hAnsi="宋体" w:eastAsia="宋体" w:cs="宋体"/>
          <w:szCs w:val="21"/>
        </w:rPr>
        <w:instrText xml:space="preserve">,√)</w:instrText>
      </w:r>
      <w:r>
        <w:rPr>
          <w:rFonts w:hint="eastAsia" w:ascii="宋体" w:hAnsi="宋体" w:eastAsia="宋体" w:cs="宋体"/>
          <w:szCs w:val="21"/>
        </w:rPr>
        <w:fldChar w:fldCharType="end"/>
      </w:r>
      <w:r>
        <w:rPr>
          <w:rFonts w:hint="eastAsia" w:ascii="宋体" w:hAnsi="宋体" w:eastAsia="宋体" w:cs="宋体"/>
          <w:szCs w:val="21"/>
        </w:rPr>
        <w:t xml:space="preserve"> 必须执行：国家、行业强制性标准。</w:t>
      </w:r>
    </w:p>
    <w:p w14:paraId="27FFCACB">
      <w:pPr>
        <w:spacing w:line="360" w:lineRule="auto"/>
        <w:rPr>
          <w:rFonts w:ascii="宋体" w:hAnsi="宋体" w:eastAsia="宋体" w:cs="宋体"/>
          <w:b/>
          <w:bCs/>
          <w:szCs w:val="21"/>
        </w:rPr>
      </w:pPr>
      <w:r>
        <w:rPr>
          <w:rFonts w:hint="eastAsia" w:ascii="宋体" w:hAnsi="宋体" w:cs="宋体"/>
          <w:b/>
          <w:bCs/>
          <w:szCs w:val="21"/>
        </w:rPr>
        <w:t>五、</w:t>
      </w:r>
      <w:r>
        <w:rPr>
          <w:rFonts w:hint="eastAsia" w:ascii="宋体" w:hAnsi="宋体" w:eastAsia="宋体" w:cs="宋体"/>
          <w:b/>
          <w:bCs/>
          <w:szCs w:val="21"/>
        </w:rPr>
        <w:t>商务要求</w:t>
      </w:r>
    </w:p>
    <w:p w14:paraId="0B913B66">
      <w:pPr>
        <w:spacing w:line="360" w:lineRule="auto"/>
        <w:ind w:firstLine="420" w:firstLineChars="200"/>
        <w:jc w:val="left"/>
        <w:rPr>
          <w:rFonts w:ascii="宋体" w:hAnsi="宋体" w:eastAsia="宋体" w:cs="宋体"/>
          <w:szCs w:val="21"/>
        </w:rPr>
      </w:pPr>
      <w:r>
        <w:rPr>
          <w:rFonts w:hint="eastAsia" w:ascii="宋体" w:hAnsi="宋体" w:cs="宋体"/>
          <w:szCs w:val="21"/>
        </w:rPr>
        <w:t>（1）</w:t>
      </w:r>
      <w:r>
        <w:rPr>
          <w:rFonts w:hint="eastAsia" w:ascii="宋体" w:hAnsi="宋体" w:eastAsia="宋体" w:cs="宋体"/>
          <w:szCs w:val="21"/>
        </w:rPr>
        <w:t>服务期限：自合同签订之日起1年</w:t>
      </w:r>
    </w:p>
    <w:p w14:paraId="5AA33565">
      <w:pPr>
        <w:tabs>
          <w:tab w:val="left" w:pos="1440"/>
        </w:tabs>
        <w:spacing w:line="360" w:lineRule="auto"/>
        <w:ind w:firstLine="420" w:firstLineChars="200"/>
        <w:rPr>
          <w:rFonts w:ascii="宋体" w:hAnsi="宋体" w:eastAsia="宋体" w:cs="宋体"/>
          <w:szCs w:val="21"/>
        </w:rPr>
      </w:pPr>
      <w:r>
        <w:rPr>
          <w:rFonts w:hint="eastAsia" w:ascii="宋体" w:hAnsi="宋体" w:cs="宋体"/>
          <w:szCs w:val="21"/>
        </w:rPr>
        <w:t>（2）</w:t>
      </w:r>
      <w:r>
        <w:rPr>
          <w:rFonts w:hint="eastAsia" w:ascii="宋体" w:hAnsi="宋体" w:eastAsia="宋体" w:cs="宋体"/>
          <w:szCs w:val="21"/>
        </w:rPr>
        <w:t>服务地点：东门市民服务中心</w:t>
      </w:r>
    </w:p>
    <w:p w14:paraId="179AD43F">
      <w:pPr>
        <w:spacing w:line="360" w:lineRule="auto"/>
        <w:ind w:firstLine="420" w:firstLineChars="200"/>
        <w:jc w:val="left"/>
        <w:rPr>
          <w:rFonts w:ascii="宋体" w:hAnsi="宋体" w:cs="宋体"/>
          <w:szCs w:val="21"/>
        </w:rPr>
      </w:pPr>
      <w:r>
        <w:rPr>
          <w:rFonts w:hint="eastAsia" w:ascii="宋体" w:hAnsi="宋体" w:cs="宋体"/>
          <w:szCs w:val="21"/>
        </w:rPr>
        <w:t>（3）1.由甲方负责结算，在付款前，乙方必须开具发票。甲方根据月检查考核结果于次月20日前向乙方支付上一月服务费。</w:t>
      </w:r>
    </w:p>
    <w:p w14:paraId="0BA7E1EF">
      <w:pPr>
        <w:spacing w:line="360" w:lineRule="auto"/>
        <w:ind w:firstLine="840" w:firstLineChars="400"/>
        <w:jc w:val="left"/>
        <w:rPr>
          <w:rFonts w:ascii="宋体" w:hAnsi="宋体" w:cs="宋体"/>
          <w:szCs w:val="21"/>
        </w:rPr>
      </w:pPr>
      <w:r>
        <w:rPr>
          <w:rFonts w:hint="eastAsia" w:ascii="宋体" w:hAnsi="宋体" w:cs="宋体"/>
          <w:szCs w:val="21"/>
        </w:rPr>
        <w:t>2.支付方式：银行转账。</w:t>
      </w:r>
    </w:p>
    <w:p w14:paraId="7CC815C0">
      <w:pPr>
        <w:tabs>
          <w:tab w:val="left" w:pos="1440"/>
        </w:tabs>
        <w:spacing w:line="360" w:lineRule="auto"/>
        <w:rPr>
          <w:rFonts w:asciiTheme="minorEastAsia" w:hAnsiTheme="minorEastAsia" w:cstheme="minorEastAsia"/>
          <w:b/>
          <w:bCs/>
          <w:szCs w:val="21"/>
        </w:rPr>
      </w:pPr>
      <w:r>
        <w:rPr>
          <w:rFonts w:hint="eastAsia" w:asciiTheme="minorEastAsia" w:hAnsiTheme="minorEastAsia" w:cstheme="minorEastAsia"/>
          <w:b/>
          <w:bCs/>
          <w:szCs w:val="21"/>
        </w:rPr>
        <w:t>六、本项目需要落实的政府采购政策</w:t>
      </w:r>
    </w:p>
    <w:p w14:paraId="16D4BD9F">
      <w:pPr>
        <w:pStyle w:val="10"/>
        <w:wordWrap w:val="0"/>
        <w:spacing w:before="0" w:beforeAutospacing="0" w:after="0" w:afterAutospacing="0" w:line="360" w:lineRule="auto"/>
        <w:ind w:firstLine="384"/>
        <w:jc w:val="both"/>
        <w:rPr>
          <w:rFonts w:eastAsia="宋体" w:cs="宋体"/>
          <w:sz w:val="21"/>
          <w:szCs w:val="21"/>
        </w:rPr>
      </w:pPr>
      <w:r>
        <w:rPr>
          <w:rFonts w:hint="eastAsia" w:eastAsia="宋体" w:cs="宋体"/>
          <w:sz w:val="21"/>
          <w:szCs w:val="21"/>
        </w:rPr>
        <w:t>（1）《政府采购促进中小企业发展管理办法》（财库〔2020〕46号）；</w:t>
      </w:r>
    </w:p>
    <w:p w14:paraId="48583DA7">
      <w:pPr>
        <w:pStyle w:val="10"/>
        <w:wordWrap w:val="0"/>
        <w:spacing w:before="0" w:beforeAutospacing="0" w:after="0" w:afterAutospacing="0" w:line="360" w:lineRule="auto"/>
        <w:ind w:firstLine="384"/>
        <w:jc w:val="both"/>
        <w:rPr>
          <w:rFonts w:eastAsia="宋体" w:cs="宋体"/>
          <w:sz w:val="21"/>
          <w:szCs w:val="21"/>
        </w:rPr>
      </w:pPr>
      <w:r>
        <w:rPr>
          <w:rFonts w:hint="eastAsia" w:eastAsia="宋体" w:cs="宋体"/>
          <w:sz w:val="21"/>
          <w:szCs w:val="21"/>
        </w:rPr>
        <w:t xml:space="preserve">（2）《财政部司法部关于政府采购支持监狱企业发展有关问题的通知》（财库〔2014〕68号）；     </w:t>
      </w:r>
    </w:p>
    <w:p w14:paraId="478F0E32">
      <w:pPr>
        <w:pStyle w:val="10"/>
        <w:wordWrap w:val="0"/>
        <w:spacing w:before="0" w:beforeAutospacing="0" w:after="0" w:afterAutospacing="0" w:line="360" w:lineRule="auto"/>
        <w:ind w:firstLine="384"/>
        <w:jc w:val="both"/>
        <w:rPr>
          <w:rFonts w:eastAsia="宋体" w:cs="宋体"/>
          <w:sz w:val="21"/>
          <w:szCs w:val="21"/>
        </w:rPr>
      </w:pPr>
      <w:r>
        <w:rPr>
          <w:rFonts w:hint="eastAsia" w:eastAsia="宋体" w:cs="宋体"/>
          <w:sz w:val="21"/>
          <w:szCs w:val="21"/>
        </w:rPr>
        <w:t>（3）《财政部 发展改革委 生态环境部 市场监管总局关于调整优化节能产品、环境标志产品政府采购执行机制的通知》（财库〔2019〕9号）；</w:t>
      </w:r>
    </w:p>
    <w:p w14:paraId="52B21130">
      <w:pPr>
        <w:pStyle w:val="10"/>
        <w:wordWrap w:val="0"/>
        <w:spacing w:before="0" w:beforeAutospacing="0" w:after="0" w:afterAutospacing="0" w:line="360" w:lineRule="auto"/>
        <w:ind w:firstLine="384"/>
        <w:jc w:val="both"/>
        <w:rPr>
          <w:rFonts w:eastAsia="宋体" w:cs="宋体"/>
          <w:sz w:val="21"/>
          <w:szCs w:val="21"/>
        </w:rPr>
      </w:pPr>
      <w:r>
        <w:rPr>
          <w:rFonts w:hint="eastAsia" w:eastAsia="宋体" w:cs="宋体"/>
          <w:sz w:val="21"/>
          <w:szCs w:val="21"/>
        </w:rPr>
        <w:t>（4）《财政部、民政部、中国残疾人联合会关于促进残疾人就业政府采购政策的通知》（财库〔2017〕141号）；</w:t>
      </w:r>
    </w:p>
    <w:p w14:paraId="0F0DE42B">
      <w:pPr>
        <w:pStyle w:val="10"/>
        <w:wordWrap w:val="0"/>
        <w:spacing w:before="0" w:beforeAutospacing="0" w:after="0" w:afterAutospacing="0" w:line="360" w:lineRule="auto"/>
        <w:ind w:firstLine="384"/>
        <w:jc w:val="both"/>
        <w:rPr>
          <w:rFonts w:eastAsia="宋体" w:cs="宋体"/>
          <w:sz w:val="21"/>
          <w:szCs w:val="21"/>
        </w:rPr>
      </w:pPr>
      <w:r>
        <w:rPr>
          <w:rFonts w:hint="eastAsia" w:eastAsia="宋体" w:cs="宋体"/>
          <w:sz w:val="21"/>
          <w:szCs w:val="21"/>
        </w:rPr>
        <w:t>（5）《关于运用政府采购政策支持乡村产业振兴的通知》（财库〔2021〕19 号）</w:t>
      </w:r>
    </w:p>
    <w:p w14:paraId="45A5DEC7">
      <w:pPr>
        <w:pStyle w:val="10"/>
        <w:wordWrap w:val="0"/>
        <w:spacing w:before="0" w:beforeAutospacing="0" w:after="0" w:afterAutospacing="0" w:line="360" w:lineRule="auto"/>
        <w:ind w:firstLine="384"/>
        <w:jc w:val="both"/>
        <w:rPr>
          <w:rFonts w:eastAsia="宋体" w:cs="宋体"/>
          <w:sz w:val="21"/>
          <w:szCs w:val="21"/>
        </w:rPr>
      </w:pPr>
      <w:r>
        <w:rPr>
          <w:rFonts w:hint="eastAsia" w:eastAsia="宋体" w:cs="宋体"/>
          <w:sz w:val="21"/>
          <w:szCs w:val="21"/>
        </w:rPr>
        <w:t>（6）陕西省财政厅关于印发《陕西省中小企业政府采购信用融资办法》（陕财办采〔2018〕23号）；</w:t>
      </w:r>
    </w:p>
    <w:p w14:paraId="5B1C41A3">
      <w:pPr>
        <w:pStyle w:val="10"/>
        <w:wordWrap w:val="0"/>
        <w:spacing w:before="0" w:beforeAutospacing="0" w:after="0" w:afterAutospacing="0" w:line="360" w:lineRule="auto"/>
        <w:ind w:firstLine="384"/>
        <w:jc w:val="both"/>
        <w:rPr>
          <w:rFonts w:eastAsia="宋体" w:cs="宋体"/>
          <w:sz w:val="21"/>
          <w:szCs w:val="21"/>
        </w:rPr>
      </w:pPr>
      <w:r>
        <w:rPr>
          <w:rFonts w:hint="eastAsia" w:eastAsia="宋体" w:cs="宋体"/>
          <w:sz w:val="21"/>
          <w:szCs w:val="21"/>
        </w:rPr>
        <w:t>（7）陕西省财政厅《关于进一步加强政府绿色采购有关问题的通知》（陕财办采〔2021〕29号）；</w:t>
      </w:r>
    </w:p>
    <w:p w14:paraId="03B25B2C">
      <w:pPr>
        <w:pStyle w:val="10"/>
        <w:wordWrap w:val="0"/>
        <w:spacing w:before="0" w:beforeAutospacing="0" w:after="0" w:afterAutospacing="0" w:line="360" w:lineRule="auto"/>
        <w:ind w:firstLine="384"/>
        <w:jc w:val="both"/>
        <w:rPr>
          <w:rFonts w:eastAsia="宋体" w:cs="宋体"/>
          <w:sz w:val="21"/>
          <w:szCs w:val="21"/>
        </w:rPr>
      </w:pPr>
      <w:r>
        <w:rPr>
          <w:rFonts w:hint="eastAsia" w:eastAsia="宋体" w:cs="宋体"/>
          <w:sz w:val="21"/>
          <w:szCs w:val="21"/>
        </w:rPr>
        <w:t>（8）《财政部 国家发展改革委关于印发&lt;节能产品政府采购实施意见&gt;的通知》(财库〔2004〕185号) ；</w:t>
      </w:r>
    </w:p>
    <w:p w14:paraId="7EFC200D">
      <w:pPr>
        <w:pStyle w:val="10"/>
        <w:wordWrap w:val="0"/>
        <w:spacing w:before="0" w:beforeAutospacing="0" w:after="0" w:afterAutospacing="0" w:line="360" w:lineRule="auto"/>
        <w:ind w:firstLine="384"/>
        <w:jc w:val="both"/>
        <w:rPr>
          <w:rFonts w:eastAsia="宋体" w:cs="宋体"/>
          <w:sz w:val="21"/>
          <w:szCs w:val="21"/>
        </w:rPr>
      </w:pPr>
      <w:r>
        <w:rPr>
          <w:rFonts w:hint="eastAsia" w:eastAsia="宋体" w:cs="宋体"/>
          <w:sz w:val="21"/>
          <w:szCs w:val="21"/>
        </w:rPr>
        <w:t>（9）《国务院办公厅关于建立政府强制采购节能产品制度的通知》(国办发〔2007〕51号) ；</w:t>
      </w:r>
    </w:p>
    <w:p w14:paraId="76193BA9">
      <w:pPr>
        <w:pStyle w:val="10"/>
        <w:wordWrap w:val="0"/>
        <w:spacing w:before="0" w:beforeAutospacing="0" w:after="0" w:afterAutospacing="0" w:line="360" w:lineRule="auto"/>
        <w:ind w:firstLine="384"/>
        <w:jc w:val="both"/>
        <w:rPr>
          <w:rFonts w:eastAsia="宋体" w:cs="宋体"/>
          <w:sz w:val="21"/>
          <w:szCs w:val="21"/>
        </w:rPr>
      </w:pPr>
      <w:r>
        <w:rPr>
          <w:rFonts w:hint="eastAsia" w:eastAsia="宋体" w:cs="宋体"/>
          <w:sz w:val="21"/>
          <w:szCs w:val="21"/>
        </w:rPr>
        <w:t>（10）《财政部环保总局关于环境标志产品政府采购实施的章见》(财库〔2006〕90号) ；</w:t>
      </w:r>
    </w:p>
    <w:p w14:paraId="3EBFF554">
      <w:pPr>
        <w:pStyle w:val="10"/>
        <w:wordWrap w:val="0"/>
        <w:spacing w:before="0" w:beforeAutospacing="0" w:after="0" w:afterAutospacing="0" w:line="360" w:lineRule="auto"/>
        <w:ind w:firstLine="384"/>
        <w:jc w:val="both"/>
        <w:rPr>
          <w:rFonts w:eastAsia="宋体" w:cs="宋体"/>
          <w:sz w:val="21"/>
          <w:szCs w:val="21"/>
        </w:rPr>
      </w:pPr>
      <w:r>
        <w:rPr>
          <w:rFonts w:hint="eastAsia" w:eastAsia="宋体" w:cs="宋体"/>
          <w:sz w:val="21"/>
          <w:szCs w:val="21"/>
        </w:rPr>
        <w:t>（11）《关于进一步加大政府采购支持中小企业力度的通知》（财库〔2022〕19号）；</w:t>
      </w:r>
    </w:p>
    <w:p w14:paraId="6A1E4882">
      <w:pPr>
        <w:pStyle w:val="10"/>
        <w:wordWrap w:val="0"/>
        <w:spacing w:before="0" w:beforeAutospacing="0" w:after="0" w:afterAutospacing="0" w:line="360" w:lineRule="auto"/>
        <w:ind w:firstLine="384"/>
        <w:jc w:val="both"/>
        <w:rPr>
          <w:rFonts w:eastAsia="宋体" w:cs="宋体"/>
          <w:sz w:val="21"/>
          <w:szCs w:val="21"/>
        </w:rPr>
      </w:pPr>
      <w:r>
        <w:rPr>
          <w:rFonts w:hint="eastAsia" w:eastAsia="宋体" w:cs="宋体"/>
          <w:sz w:val="21"/>
          <w:szCs w:val="21"/>
        </w:rPr>
        <w:t>（12）《陕西省财政厅关于加快推进我省中小企业政府采购信用融资工作的通知》（陕财办采〔2020〕15号）</w:t>
      </w:r>
    </w:p>
    <w:p w14:paraId="767EDCD1">
      <w:pPr>
        <w:pStyle w:val="10"/>
        <w:wordWrap w:val="0"/>
        <w:spacing w:before="0" w:beforeAutospacing="0" w:after="0" w:afterAutospacing="0" w:line="360" w:lineRule="auto"/>
        <w:ind w:firstLine="384"/>
        <w:jc w:val="both"/>
        <w:rPr>
          <w:rFonts w:eastAsia="宋体" w:cs="宋体"/>
          <w:sz w:val="21"/>
          <w:szCs w:val="21"/>
        </w:rPr>
      </w:pPr>
      <w:r>
        <w:rPr>
          <w:rFonts w:hint="eastAsia" w:eastAsia="宋体" w:cs="宋体"/>
          <w:sz w:val="21"/>
          <w:szCs w:val="21"/>
        </w:rPr>
        <w:t>（13） 《财政部关于在政府采购活动中查询及使用信用记录有关问题的通知》（财库〔2016〕125号）</w:t>
      </w:r>
    </w:p>
    <w:p w14:paraId="6990441B">
      <w:pPr>
        <w:pStyle w:val="10"/>
        <w:wordWrap w:val="0"/>
        <w:spacing w:before="0" w:beforeAutospacing="0" w:after="0" w:afterAutospacing="0" w:line="360" w:lineRule="auto"/>
        <w:ind w:firstLine="384"/>
        <w:jc w:val="both"/>
        <w:rPr>
          <w:rFonts w:eastAsia="宋体" w:cs="宋体"/>
          <w:sz w:val="21"/>
          <w:szCs w:val="21"/>
        </w:rPr>
      </w:pPr>
      <w:r>
        <w:rPr>
          <w:rFonts w:hint="eastAsia" w:eastAsia="宋体" w:cs="宋体"/>
          <w:sz w:val="21"/>
          <w:szCs w:val="21"/>
        </w:rPr>
        <w:t>（14）其他落实的政府采购政策。若享受以上政策优惠的企业，需提供相应声明函或品目清单范围内产品的有效认证证书。</w:t>
      </w:r>
    </w:p>
    <w:p w14:paraId="777C135C">
      <w:pPr>
        <w:pStyle w:val="10"/>
        <w:wordWrap w:val="0"/>
        <w:spacing w:before="0" w:beforeAutospacing="0" w:after="0" w:afterAutospacing="0" w:line="360" w:lineRule="auto"/>
        <w:ind w:firstLine="384"/>
        <w:jc w:val="both"/>
        <w:rPr>
          <w:rFonts w:eastAsia="宋体" w:cs="宋体"/>
          <w:sz w:val="21"/>
          <w:szCs w:val="21"/>
        </w:rPr>
      </w:pPr>
    </w:p>
    <w:p w14:paraId="2E3F7DE6">
      <w:pPr>
        <w:spacing w:line="360" w:lineRule="auto"/>
        <w:ind w:firstLine="420" w:firstLineChars="200"/>
        <w:jc w:val="right"/>
        <w:rPr>
          <w:rFonts w:asciiTheme="minorEastAsia" w:hAnsiTheme="minorEastAsia" w:cstheme="minorEastAsia"/>
          <w:szCs w:val="21"/>
        </w:rPr>
      </w:pPr>
      <w:r>
        <w:rPr>
          <w:rFonts w:hint="eastAsia" w:asciiTheme="minorEastAsia" w:hAnsiTheme="minorEastAsia" w:cstheme="minorEastAsia"/>
          <w:szCs w:val="21"/>
        </w:rPr>
        <w:t xml:space="preserve"> 西安市碑林区机关事务服务中心</w:t>
      </w:r>
    </w:p>
    <w:p w14:paraId="53B244C7">
      <w:pPr>
        <w:spacing w:line="360" w:lineRule="auto"/>
        <w:ind w:firstLine="420" w:firstLineChars="200"/>
        <w:jc w:val="right"/>
        <w:rPr>
          <w:rFonts w:asciiTheme="minorEastAsia" w:hAnsiTheme="minorEastAsia" w:cstheme="minorEastAsia"/>
          <w:sz w:val="24"/>
        </w:rPr>
      </w:pPr>
      <w:r>
        <w:rPr>
          <w:rFonts w:hint="eastAsia" w:asciiTheme="minorEastAsia" w:hAnsiTheme="minorEastAsia" w:cstheme="minorEastAsia"/>
          <w:szCs w:val="21"/>
        </w:rPr>
        <w:t>2024年9月1</w:t>
      </w:r>
      <w:r>
        <w:rPr>
          <w:rFonts w:hint="eastAsia" w:asciiTheme="minorEastAsia" w:hAnsiTheme="minorEastAsia" w:cstheme="minorEastAsia"/>
          <w:szCs w:val="21"/>
          <w:lang w:val="en-US" w:eastAsia="zh-CN"/>
        </w:rPr>
        <w:t>4</w:t>
      </w:r>
      <w:bookmarkStart w:id="0" w:name="_GoBack"/>
      <w:bookmarkEnd w:id="0"/>
      <w:r>
        <w:rPr>
          <w:rFonts w:hint="eastAsia" w:asciiTheme="minorEastAsia" w:hAnsiTheme="minorEastAsia" w:cstheme="minorEastAsia"/>
          <w:szCs w:val="21"/>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DJiZWNiMmE2ZThlNzQxZWQ4MWY5Yzg4NzMyN2IwZTkifQ=="/>
  </w:docVars>
  <w:rsids>
    <w:rsidRoot w:val="00BD070A"/>
    <w:rsid w:val="00253FE0"/>
    <w:rsid w:val="002E20F8"/>
    <w:rsid w:val="002F76CF"/>
    <w:rsid w:val="00507B4E"/>
    <w:rsid w:val="00B96FAE"/>
    <w:rsid w:val="00BC31B4"/>
    <w:rsid w:val="00BD070A"/>
    <w:rsid w:val="00F30786"/>
    <w:rsid w:val="02001D14"/>
    <w:rsid w:val="0302244E"/>
    <w:rsid w:val="03211064"/>
    <w:rsid w:val="03962E0E"/>
    <w:rsid w:val="03E85C69"/>
    <w:rsid w:val="04230D95"/>
    <w:rsid w:val="042A1B22"/>
    <w:rsid w:val="0602610F"/>
    <w:rsid w:val="06F201F3"/>
    <w:rsid w:val="073F427D"/>
    <w:rsid w:val="090F3977"/>
    <w:rsid w:val="0A822B6C"/>
    <w:rsid w:val="0A97537F"/>
    <w:rsid w:val="0E9E1EB3"/>
    <w:rsid w:val="103B5227"/>
    <w:rsid w:val="108B50C3"/>
    <w:rsid w:val="10D97588"/>
    <w:rsid w:val="10E864EC"/>
    <w:rsid w:val="12042B30"/>
    <w:rsid w:val="123477C3"/>
    <w:rsid w:val="12705BC2"/>
    <w:rsid w:val="147F0745"/>
    <w:rsid w:val="1526611D"/>
    <w:rsid w:val="155E732C"/>
    <w:rsid w:val="157C6F1C"/>
    <w:rsid w:val="169B2510"/>
    <w:rsid w:val="16CC15EE"/>
    <w:rsid w:val="185D1643"/>
    <w:rsid w:val="199D4E8C"/>
    <w:rsid w:val="1A1F6854"/>
    <w:rsid w:val="1A412BC2"/>
    <w:rsid w:val="1A765ECB"/>
    <w:rsid w:val="1AED4116"/>
    <w:rsid w:val="1B58721A"/>
    <w:rsid w:val="1BD83E0B"/>
    <w:rsid w:val="1D2630A1"/>
    <w:rsid w:val="1E740913"/>
    <w:rsid w:val="1ED07971"/>
    <w:rsid w:val="1ED24E6B"/>
    <w:rsid w:val="1F186F59"/>
    <w:rsid w:val="1F894E79"/>
    <w:rsid w:val="1F93503F"/>
    <w:rsid w:val="1FDA6679"/>
    <w:rsid w:val="1FEA715D"/>
    <w:rsid w:val="2008706A"/>
    <w:rsid w:val="20BC4EEF"/>
    <w:rsid w:val="211F7D87"/>
    <w:rsid w:val="21D6704A"/>
    <w:rsid w:val="229D6DCE"/>
    <w:rsid w:val="25046AA6"/>
    <w:rsid w:val="2560021A"/>
    <w:rsid w:val="26E26245"/>
    <w:rsid w:val="2863398B"/>
    <w:rsid w:val="2918783F"/>
    <w:rsid w:val="29DF629D"/>
    <w:rsid w:val="2A197C3C"/>
    <w:rsid w:val="2B812715"/>
    <w:rsid w:val="2C244829"/>
    <w:rsid w:val="2D04385E"/>
    <w:rsid w:val="2DBD7280"/>
    <w:rsid w:val="2DC375A3"/>
    <w:rsid w:val="2E0126F3"/>
    <w:rsid w:val="2E362C7D"/>
    <w:rsid w:val="2FD40F93"/>
    <w:rsid w:val="302F6BEF"/>
    <w:rsid w:val="31BC4D7D"/>
    <w:rsid w:val="31ED71CF"/>
    <w:rsid w:val="31F31542"/>
    <w:rsid w:val="326B48B4"/>
    <w:rsid w:val="32761300"/>
    <w:rsid w:val="32872C49"/>
    <w:rsid w:val="34433444"/>
    <w:rsid w:val="35443F37"/>
    <w:rsid w:val="35650B13"/>
    <w:rsid w:val="35D730DA"/>
    <w:rsid w:val="35EA497A"/>
    <w:rsid w:val="37BD1F6F"/>
    <w:rsid w:val="38782CFA"/>
    <w:rsid w:val="388E38CC"/>
    <w:rsid w:val="3A186315"/>
    <w:rsid w:val="3A74677E"/>
    <w:rsid w:val="3A842D10"/>
    <w:rsid w:val="3ACA4067"/>
    <w:rsid w:val="3BCC07B4"/>
    <w:rsid w:val="3BE60A7D"/>
    <w:rsid w:val="3C581DD0"/>
    <w:rsid w:val="3CD776FD"/>
    <w:rsid w:val="3CE66676"/>
    <w:rsid w:val="3DC07304"/>
    <w:rsid w:val="3E1449C5"/>
    <w:rsid w:val="401E314A"/>
    <w:rsid w:val="40BD0CAC"/>
    <w:rsid w:val="416A76E2"/>
    <w:rsid w:val="41ED075E"/>
    <w:rsid w:val="424A7D7E"/>
    <w:rsid w:val="42690AFC"/>
    <w:rsid w:val="433520B0"/>
    <w:rsid w:val="45424BA7"/>
    <w:rsid w:val="46A1356C"/>
    <w:rsid w:val="470D3712"/>
    <w:rsid w:val="474A401C"/>
    <w:rsid w:val="476056D2"/>
    <w:rsid w:val="477D13BE"/>
    <w:rsid w:val="491E5E9F"/>
    <w:rsid w:val="498F59F6"/>
    <w:rsid w:val="4990351E"/>
    <w:rsid w:val="4B3F63AB"/>
    <w:rsid w:val="4C0D2C49"/>
    <w:rsid w:val="4C2E2564"/>
    <w:rsid w:val="4CD27358"/>
    <w:rsid w:val="4CE16248"/>
    <w:rsid w:val="4DD23881"/>
    <w:rsid w:val="5007101B"/>
    <w:rsid w:val="50241C1E"/>
    <w:rsid w:val="512832A4"/>
    <w:rsid w:val="51910D6E"/>
    <w:rsid w:val="52B30E2E"/>
    <w:rsid w:val="53227405"/>
    <w:rsid w:val="53A514B2"/>
    <w:rsid w:val="53CB39A6"/>
    <w:rsid w:val="54AF3541"/>
    <w:rsid w:val="555B1FD4"/>
    <w:rsid w:val="55807311"/>
    <w:rsid w:val="56B51C18"/>
    <w:rsid w:val="56C902BE"/>
    <w:rsid w:val="573D68B5"/>
    <w:rsid w:val="5962332C"/>
    <w:rsid w:val="59631A5C"/>
    <w:rsid w:val="59F863FF"/>
    <w:rsid w:val="5B98530E"/>
    <w:rsid w:val="5BCA729C"/>
    <w:rsid w:val="5BFD1233"/>
    <w:rsid w:val="5CBC24FC"/>
    <w:rsid w:val="5CE62761"/>
    <w:rsid w:val="5E367320"/>
    <w:rsid w:val="5F8D4FB7"/>
    <w:rsid w:val="60AF4BB5"/>
    <w:rsid w:val="60FB6AFD"/>
    <w:rsid w:val="60FF1051"/>
    <w:rsid w:val="619C6384"/>
    <w:rsid w:val="629D35E7"/>
    <w:rsid w:val="62CA1E5D"/>
    <w:rsid w:val="63665C0C"/>
    <w:rsid w:val="643A4740"/>
    <w:rsid w:val="64732886"/>
    <w:rsid w:val="649632E4"/>
    <w:rsid w:val="650115F7"/>
    <w:rsid w:val="655E3C36"/>
    <w:rsid w:val="65DE0B5D"/>
    <w:rsid w:val="66807F0F"/>
    <w:rsid w:val="66C7297C"/>
    <w:rsid w:val="66CB39D0"/>
    <w:rsid w:val="67952E82"/>
    <w:rsid w:val="6946046E"/>
    <w:rsid w:val="6BBE3053"/>
    <w:rsid w:val="6BC40B78"/>
    <w:rsid w:val="6CCA4217"/>
    <w:rsid w:val="6CDE4430"/>
    <w:rsid w:val="6E7065BA"/>
    <w:rsid w:val="6E9B23A5"/>
    <w:rsid w:val="6FC03D7B"/>
    <w:rsid w:val="700B7CDB"/>
    <w:rsid w:val="70B42046"/>
    <w:rsid w:val="710873AA"/>
    <w:rsid w:val="71E93F53"/>
    <w:rsid w:val="71EA42CD"/>
    <w:rsid w:val="720B56C7"/>
    <w:rsid w:val="723754EA"/>
    <w:rsid w:val="727C0CCD"/>
    <w:rsid w:val="733F5307"/>
    <w:rsid w:val="74396611"/>
    <w:rsid w:val="74E71B34"/>
    <w:rsid w:val="750839ED"/>
    <w:rsid w:val="75401CB0"/>
    <w:rsid w:val="75835FDA"/>
    <w:rsid w:val="75A3712E"/>
    <w:rsid w:val="760C67B3"/>
    <w:rsid w:val="773A2A48"/>
    <w:rsid w:val="77F94C47"/>
    <w:rsid w:val="787E6EC0"/>
    <w:rsid w:val="787F3340"/>
    <w:rsid w:val="7A466B0B"/>
    <w:rsid w:val="7A6D576E"/>
    <w:rsid w:val="7AD90381"/>
    <w:rsid w:val="7B0F1F66"/>
    <w:rsid w:val="7B48770E"/>
    <w:rsid w:val="7BC43085"/>
    <w:rsid w:val="7BC91DDA"/>
    <w:rsid w:val="7BEA02DF"/>
    <w:rsid w:val="7C0E2544"/>
    <w:rsid w:val="7C402EA1"/>
    <w:rsid w:val="7C9540D4"/>
    <w:rsid w:val="7DCB1906"/>
    <w:rsid w:val="7E5D76DD"/>
    <w:rsid w:val="7F2145C5"/>
    <w:rsid w:val="7FFA0187"/>
    <w:rsid w:val="7FFA36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99"/>
    <w:pPr>
      <w:keepNext/>
      <w:keepLines/>
      <w:spacing w:before="340" w:after="330" w:line="578" w:lineRule="auto"/>
      <w:outlineLvl w:val="0"/>
    </w:pPr>
    <w:rPr>
      <w:b/>
      <w:bCs/>
      <w:kern w:val="44"/>
      <w:sz w:val="44"/>
      <w:szCs w:val="44"/>
    </w:rPr>
  </w:style>
  <w:style w:type="paragraph" w:styleId="4">
    <w:name w:val="heading 3"/>
    <w:basedOn w:val="1"/>
    <w:next w:val="1"/>
    <w:qFormat/>
    <w:uiPriority w:val="0"/>
    <w:pPr>
      <w:keepNext/>
      <w:keepLines/>
      <w:spacing w:line="360" w:lineRule="auto"/>
      <w:outlineLvl w:val="2"/>
    </w:pPr>
    <w:rPr>
      <w:b/>
      <w:bCs/>
      <w:sz w:val="24"/>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4">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widowControl/>
      <w:spacing w:before="100" w:beforeAutospacing="1" w:after="100" w:afterAutospacing="1"/>
      <w:jc w:val="left"/>
    </w:pPr>
    <w:rPr>
      <w:rFonts w:ascii="宋体" w:hAnsi="宋体" w:eastAsia="宋体" w:cs="Times New Roman"/>
    </w:rPr>
  </w:style>
  <w:style w:type="paragraph" w:styleId="6">
    <w:name w:val="Normal Indent"/>
    <w:basedOn w:val="1"/>
    <w:next w:val="1"/>
    <w:qFormat/>
    <w:uiPriority w:val="0"/>
    <w:pPr>
      <w:ind w:firstLine="420"/>
    </w:pPr>
    <w:rPr>
      <w:szCs w:val="20"/>
    </w:rPr>
  </w:style>
  <w:style w:type="paragraph" w:styleId="7">
    <w:name w:val="annotation text"/>
    <w:basedOn w:val="1"/>
    <w:qFormat/>
    <w:uiPriority w:val="0"/>
    <w:pPr>
      <w:jc w:val="left"/>
    </w:pPr>
  </w:style>
  <w:style w:type="paragraph" w:styleId="8">
    <w:name w:val="Plain Text"/>
    <w:basedOn w:val="1"/>
    <w:qFormat/>
    <w:uiPriority w:val="0"/>
    <w:rPr>
      <w:rFonts w:ascii="宋体" w:hAnsi="Courier New" w:cs="Courier New"/>
      <w:szCs w:val="21"/>
    </w:rPr>
  </w:style>
  <w:style w:type="paragraph" w:styleId="9">
    <w:name w:val="footer"/>
    <w:basedOn w:val="1"/>
    <w:qFormat/>
    <w:uiPriority w:val="99"/>
    <w:pPr>
      <w:tabs>
        <w:tab w:val="center" w:pos="4153"/>
        <w:tab w:val="right" w:pos="8306"/>
      </w:tabs>
      <w:snapToGrid w:val="0"/>
      <w:jc w:val="left"/>
    </w:pPr>
    <w:rPr>
      <w:kern w:val="0"/>
      <w:sz w:val="18"/>
      <w:szCs w:val="18"/>
    </w:rPr>
  </w:style>
  <w:style w:type="paragraph" w:styleId="10">
    <w:name w:val="Normal (Web)"/>
    <w:basedOn w:val="1"/>
    <w:qFormat/>
    <w:uiPriority w:val="0"/>
    <w:pPr>
      <w:widowControl/>
      <w:spacing w:before="100" w:beforeAutospacing="1" w:after="100" w:afterAutospacing="1"/>
      <w:jc w:val="left"/>
    </w:pPr>
    <w:rPr>
      <w:rFonts w:ascii="宋体" w:hAnsi="宋体"/>
      <w:kern w:val="0"/>
      <w:sz w:val="18"/>
      <w:szCs w:val="18"/>
    </w:rPr>
  </w:style>
  <w:style w:type="paragraph" w:styleId="11">
    <w:name w:val="Body Text First Indent"/>
    <w:basedOn w:val="2"/>
    <w:unhideWhenUsed/>
    <w:qFormat/>
    <w:uiPriority w:val="99"/>
    <w:pPr>
      <w:widowControl w:val="0"/>
      <w:spacing w:before="0" w:beforeAutospacing="0" w:after="120" w:afterAutospacing="0"/>
      <w:ind w:firstLine="420" w:firstLineChars="100"/>
      <w:jc w:val="both"/>
    </w:pPr>
    <w:rPr>
      <w:rFonts w:ascii="Tahoma" w:hAnsi="Tahoma"/>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5">
    <w:name w:val="List Paragraph"/>
    <w:basedOn w:val="1"/>
    <w:unhideWhenUsed/>
    <w:qFormat/>
    <w:uiPriority w:val="99"/>
    <w:pPr>
      <w:ind w:firstLine="420" w:firstLineChars="200"/>
    </w:pPr>
  </w:style>
  <w:style w:type="paragraph" w:customStyle="1" w:styleId="16">
    <w:name w:val="列出段落50"/>
    <w:basedOn w:val="1"/>
    <w:qFormat/>
    <w:uiPriority w:val="34"/>
    <w:pPr>
      <w:ind w:firstLine="420" w:firstLineChars="200"/>
    </w:pPr>
    <w:rPr>
      <w:rFonts w:eastAsia="宋体" w:cs="Times New Roman"/>
      <w:sz w:val="24"/>
    </w:rPr>
  </w:style>
  <w:style w:type="paragraph" w:customStyle="1" w:styleId="17">
    <w:name w:val="样式 首行缩进:  2 字符"/>
    <w:basedOn w:val="1"/>
    <w:qFormat/>
    <w:uiPriority w:val="0"/>
    <w:pPr>
      <w:spacing w:line="400" w:lineRule="exact"/>
      <w:ind w:firstLine="200" w:firstLineChars="200"/>
    </w:pPr>
    <w:rPr>
      <w:rFonts w:cs="宋体"/>
      <w:sz w:val="24"/>
    </w:rPr>
  </w:style>
  <w:style w:type="character" w:customStyle="1" w:styleId="18">
    <w:name w:val="font31"/>
    <w:basedOn w:val="14"/>
    <w:qFormat/>
    <w:uiPriority w:val="0"/>
    <w:rPr>
      <w:rFonts w:hint="eastAsia" w:ascii="仿宋" w:hAnsi="仿宋" w:eastAsia="仿宋" w:cs="仿宋"/>
      <w:color w:val="000000"/>
      <w:sz w:val="22"/>
      <w:szCs w:val="22"/>
      <w:u w:val="none"/>
    </w:rPr>
  </w:style>
  <w:style w:type="character" w:customStyle="1" w:styleId="19">
    <w:name w:val="font21"/>
    <w:basedOn w:val="14"/>
    <w:qFormat/>
    <w:uiPriority w:val="0"/>
    <w:rPr>
      <w:rFonts w:hint="eastAsia" w:ascii="宋体" w:hAnsi="宋体" w:eastAsia="宋体" w:cs="宋体"/>
      <w:color w:val="000000"/>
      <w:sz w:val="20"/>
      <w:szCs w:val="20"/>
      <w:u w:val="none"/>
    </w:rPr>
  </w:style>
  <w:style w:type="character" w:customStyle="1" w:styleId="20">
    <w:name w:val="font11"/>
    <w:basedOn w:val="14"/>
    <w:qFormat/>
    <w:uiPriority w:val="0"/>
    <w:rPr>
      <w:rFonts w:hint="default" w:ascii="Times New Roman" w:hAnsi="Times New Roman" w:cs="Times New Roman"/>
      <w:color w:val="000000"/>
      <w:sz w:val="22"/>
      <w:szCs w:val="22"/>
      <w:u w:val="none"/>
    </w:rPr>
  </w:style>
  <w:style w:type="paragraph" w:customStyle="1" w:styleId="21">
    <w:name w:val="Other|1"/>
    <w:basedOn w:val="1"/>
    <w:qFormat/>
    <w:uiPriority w:val="0"/>
    <w:pPr>
      <w:spacing w:line="396" w:lineRule="auto"/>
      <w:ind w:firstLine="400"/>
    </w:pPr>
    <w:rPr>
      <w:rFonts w:ascii="宋体" w:hAnsi="宋体" w:eastAsia="宋体" w:cs="宋体"/>
      <w:sz w:val="30"/>
      <w:szCs w:val="30"/>
      <w:lang w:val="zh-TW" w:eastAsia="zh-TW" w:bidi="zh-TW"/>
    </w:rPr>
  </w:style>
  <w:style w:type="paragraph" w:customStyle="1" w:styleId="22">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3655</Words>
  <Characters>3835</Characters>
  <Lines>30</Lines>
  <Paragraphs>8</Paragraphs>
  <TotalTime>24</TotalTime>
  <ScaleCrop>false</ScaleCrop>
  <LinksUpToDate>false</LinksUpToDate>
  <CharactersWithSpaces>3938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周周呀</cp:lastModifiedBy>
  <dcterms:modified xsi:type="dcterms:W3CDTF">2024-09-18T13:03:23Z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1A750E3A95CF4919818C3FA3BCD2046F</vt:lpwstr>
  </property>
</Properties>
</file>