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碑林区生态环境保护委员会网格化管理系统网络服务项目</w:t>
      </w:r>
    </w:p>
    <w:p>
      <w:pPr>
        <w:pStyle w:val="null3"/>
        <w:jc w:val="center"/>
        <w:outlineLvl w:val="2"/>
      </w:pPr>
      <w:r>
        <w:rPr>
          <w:sz w:val="28"/>
          <w:b/>
        </w:rPr>
        <w:t>采购项目编号：</w:t>
      </w:r>
      <w:r>
        <w:rPr>
          <w:sz w:val="28"/>
          <w:b/>
        </w:rPr>
        <w:t>HYZB-CS-2024002</w:t>
      </w:r>
      <w:r>
        <w:br/>
      </w:r>
      <w:r>
        <w:br/>
      </w:r>
      <w:r>
        <w:br/>
      </w:r>
    </w:p>
    <w:p>
      <w:pPr>
        <w:pStyle w:val="null3"/>
        <w:jc w:val="center"/>
        <w:outlineLvl w:val="2"/>
      </w:pPr>
      <w:r>
        <w:rPr>
          <w:sz w:val="28"/>
          <w:b/>
        </w:rPr>
        <w:t>西安市碑林区生态环境保护委员会办公室</w:t>
      </w:r>
    </w:p>
    <w:p>
      <w:pPr>
        <w:pStyle w:val="null3"/>
        <w:jc w:val="center"/>
        <w:outlineLvl w:val="2"/>
      </w:pPr>
      <w:r>
        <w:rPr>
          <w:sz w:val="28"/>
          <w:b/>
        </w:rPr>
        <w:t>陕西翰元工程咨询有限公司</w:t>
      </w:r>
      <w:r>
        <w:rPr>
          <w:sz w:val="28"/>
          <w:b/>
        </w:rPr>
        <w:t>共同编制</w:t>
      </w:r>
    </w:p>
    <w:p>
      <w:pPr>
        <w:pStyle w:val="null3"/>
        <w:jc w:val="center"/>
        <w:outlineLvl w:val="2"/>
      </w:pPr>
      <w:r>
        <w:rPr>
          <w:sz w:val="28"/>
          <w:b/>
        </w:rPr>
        <w:t>2024年09月14日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陕西翰元工程咨询有限公司</w:t>
      </w:r>
      <w:r>
        <w:rPr/>
        <w:t>（以下简称“代理机构”）受</w:t>
      </w:r>
      <w:r>
        <w:rPr/>
        <w:t>西安市碑林区生态环境保护委员会办公室</w:t>
      </w:r>
      <w:r>
        <w:rPr/>
        <w:t>委托，拟对</w:t>
      </w:r>
      <w:r>
        <w:rPr/>
        <w:t>碑林区生态环境保护委员会网格化管理系统网络服务项目</w:t>
      </w:r>
      <w:r>
        <w:rPr/>
        <w:t>采用竞争性磋商采购方式进行采购，兹邀请供应商参加本项目的竞争性磋商。</w:t>
      </w:r>
    </w:p>
    <w:p>
      <w:pPr>
        <w:pStyle w:val="null3"/>
        <w:outlineLvl w:val="2"/>
      </w:pPr>
      <w:r>
        <w:rPr>
          <w:sz w:val="28"/>
          <w:b/>
        </w:rPr>
        <w:t>一、项目编号：</w:t>
      </w:r>
      <w:r>
        <w:rPr>
          <w:sz w:val="28"/>
          <w:b/>
        </w:rPr>
        <w:t>HYZB-CS-2024002</w:t>
      </w:r>
    </w:p>
    <w:p>
      <w:pPr>
        <w:pStyle w:val="null3"/>
        <w:outlineLvl w:val="2"/>
      </w:pPr>
      <w:r>
        <w:rPr>
          <w:sz w:val="28"/>
          <w:b/>
        </w:rPr>
        <w:t>二、项目名称：</w:t>
      </w:r>
      <w:r>
        <w:rPr>
          <w:sz w:val="28"/>
          <w:b/>
        </w:rPr>
        <w:t>碑林区生态环境保护委员会网格化管理系统网络服务项目</w:t>
      </w:r>
    </w:p>
    <w:p>
      <w:pPr>
        <w:pStyle w:val="null3"/>
        <w:outlineLvl w:val="2"/>
      </w:pPr>
      <w:r>
        <w:rPr>
          <w:sz w:val="28"/>
          <w:b/>
        </w:rPr>
        <w:t>三、磋商项目简介</w:t>
      </w:r>
    </w:p>
    <w:p>
      <w:pPr>
        <w:pStyle w:val="null3"/>
        <w:ind w:firstLine="480"/>
      </w:pPr>
      <w:r>
        <w:rPr/>
        <w:t>根据网格化管理系统目前的实际需求，运营商提供的网络服务应在工作手机机型、技术、服务内容等几个方面提供符合目前网格化管理系统的需要。 1.工作手机机型要求 手机机型应满足以下要求：支持处置西安环境APP等应用程序的运行，支持5G网络，支持全网通手机信号卡，手机CPU核心不低于8核；手机运行内存不少于12GB，机身内存不少于256GB；后置摄像头像素需不低于5000万像素，以满足使用西安生态环境保护网格化管理系统的情况。 2.提供服务内容 此次项目需运营商提供240部移动通讯终端套餐至少包含24个月的400分钟主叫、被叫免费+20G全国流量+10元流量包。 3.售后服务保障 运营商提供7X24小时售后服务，售后服务方式包含但不限于电话售后服务支持，网络售后服务支持，上门售后服务支持等。运营商应定时对机房、网络、线路、基站进行维护，以保障我区治污减霾工作的顺利。</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或其他组织或自然人，提供合法有效的营业执照、税务登记证、组织机构代码证（或统一社会信用代码的营业执照），事业单位应提供事业单位法人证书，自然人应提供身份证明文件。</w:t>
      </w:r>
    </w:p>
    <w:p>
      <w:pPr>
        <w:pStyle w:val="null3"/>
      </w:pPr>
      <w:r>
        <w:rPr/>
        <w:t>2、《基础电信业务经营许可证》或《增值电信业务经营许可证》：具有《基础电信业务经营许可证》或《增值电信业务经营许可证》。</w:t>
      </w:r>
    </w:p>
    <w:p>
      <w:pPr>
        <w:pStyle w:val="null3"/>
      </w:pPr>
      <w:r>
        <w:rPr/>
        <w:t>3、法定代表人身份证明或法定代表人授权书、被授权人身份证：法定代表人授权书（附法定代表人、被授权人身份证复印件）及被授权人身份证（法定代表人直接参加磋商，须提供法定代表人身份证明及身份证原件）。</w:t>
      </w:r>
    </w:p>
    <w:p>
      <w:pPr>
        <w:pStyle w:val="null3"/>
      </w:pPr>
      <w:r>
        <w:rPr/>
        <w:t>4、财务会计制度的证明材料：提供2022或2023年度财务审计报告（成立时间至提交响应文件截止时间不足一年的可提供成立后任意时段的财务报表）或提供响应文件截止时间前三个月内其基本账户开户银行出具的资信证明（附基本存款账户信息）。</w:t>
      </w:r>
    </w:p>
    <w:p>
      <w:pPr>
        <w:pStyle w:val="null3"/>
      </w:pPr>
      <w:r>
        <w:rPr/>
        <w:t>5、税收缴纳证明：提供2024年1月至今任意时段已缴纳完税凭证或税务机关开具的完税证明（任意税种）；依法免税的应提供相关文件证明。</w:t>
      </w:r>
    </w:p>
    <w:p>
      <w:pPr>
        <w:pStyle w:val="null3"/>
      </w:pPr>
      <w:r>
        <w:rPr/>
        <w:t>6、社保缴纳证明：提供2024年1月至今任意时段已缴纳的社会保障资金缴存单据或社保机构开具的社会保险参保缴费情况证明；依法不需要缴纳社会保障资金的应提供相关文件证明。</w:t>
      </w:r>
    </w:p>
    <w:p>
      <w:pPr>
        <w:pStyle w:val="null3"/>
      </w:pPr>
      <w:r>
        <w:rPr/>
        <w:t>7、履约承诺和无重大违法记录声明：提供具有履行合同所必需的设备和专业技术能力的承诺；参加政府采购活动3年内，在经营活动中没有重大违法记录的书面声明。</w:t>
      </w:r>
    </w:p>
    <w:p>
      <w:pPr>
        <w:pStyle w:val="null3"/>
      </w:pPr>
      <w:r>
        <w:rPr/>
        <w:t>8、供应商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信用查询以开标时系统查询结果为准）。</w:t>
      </w:r>
    </w:p>
    <w:p>
      <w:pPr>
        <w:pStyle w:val="null3"/>
      </w:pPr>
      <w:r>
        <w:rPr/>
        <w:t>9、非联合体承诺：提供非联合体承诺。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西安市碑林区生态环境保护委员会办公室</w:t>
      </w:r>
    </w:p>
    <w:p>
      <w:pPr>
        <w:pStyle w:val="null3"/>
      </w:pPr>
      <w:r>
        <w:rPr/>
        <w:t xml:space="preserve"> 地址： </w:t>
      </w:r>
      <w:r>
        <w:rPr/>
        <w:t>西安市碑林区咸宁西路89号</w:t>
      </w:r>
    </w:p>
    <w:p>
      <w:pPr>
        <w:pStyle w:val="null3"/>
      </w:pPr>
      <w:r>
        <w:rPr/>
        <w:t xml:space="preserve"> 邮编： </w:t>
      </w:r>
      <w:r>
        <w:rPr/>
        <w:t>710000</w:t>
      </w:r>
    </w:p>
    <w:p>
      <w:pPr>
        <w:pStyle w:val="null3"/>
      </w:pPr>
      <w:r>
        <w:rPr/>
        <w:t xml:space="preserve"> 联系人： </w:t>
      </w:r>
      <w:r>
        <w:rPr/>
        <w:t>西安市碑林区生态环境保护委员会办公室经办</w:t>
      </w:r>
    </w:p>
    <w:p>
      <w:pPr>
        <w:pStyle w:val="null3"/>
      </w:pPr>
      <w:r>
        <w:rPr/>
        <w:t xml:space="preserve"> 联系电话： </w:t>
      </w:r>
      <w:r>
        <w:rPr/>
        <w:t>18092691129</w:t>
      </w:r>
    </w:p>
    <w:p>
      <w:pPr>
        <w:pStyle w:val="null3"/>
        <w:outlineLvl w:val="3"/>
      </w:pPr>
      <w:r>
        <w:rPr>
          <w:sz w:val="24"/>
          <w:b/>
        </w:rPr>
        <w:t>代理机构：</w:t>
      </w:r>
      <w:r>
        <w:rPr>
          <w:sz w:val="24"/>
          <w:b/>
        </w:rPr>
        <w:t>陕西翰元工程咨询有限公司</w:t>
      </w:r>
    </w:p>
    <w:p>
      <w:pPr>
        <w:pStyle w:val="null3"/>
      </w:pPr>
      <w:r>
        <w:rPr/>
        <w:t xml:space="preserve"> 地址： </w:t>
      </w:r>
      <w:r>
        <w:rPr/>
        <w:t>陕西省西安市未央区陕西省西安市浐灞生态区欧亚大道西段666号欧亚国际一期A座1401室</w:t>
      </w:r>
    </w:p>
    <w:p>
      <w:pPr>
        <w:pStyle w:val="null3"/>
      </w:pPr>
      <w:r>
        <w:rPr/>
        <w:t xml:space="preserve"> 邮编： </w:t>
      </w:r>
      <w:r>
        <w:rPr/>
        <w:t>710000</w:t>
      </w:r>
    </w:p>
    <w:p>
      <w:pPr>
        <w:pStyle w:val="null3"/>
      </w:pPr>
      <w:r>
        <w:rPr/>
        <w:t xml:space="preserve"> 联系人： </w:t>
      </w:r>
      <w:r>
        <w:rPr/>
        <w:t>李沙沙</w:t>
      </w:r>
    </w:p>
    <w:p>
      <w:pPr>
        <w:pStyle w:val="null3"/>
      </w:pPr>
      <w:r>
        <w:rPr/>
        <w:t xml:space="preserve"> 联系电话： </w:t>
      </w:r>
      <w:r>
        <w:rPr/>
        <w:t>13109522910</w:t>
      </w:r>
    </w:p>
    <w:p>
      <w:pPr>
        <w:pStyle w:val="null3"/>
        <w:outlineLvl w:val="3"/>
      </w:pPr>
      <w:r>
        <w:rPr>
          <w:sz w:val="24"/>
          <w:b/>
        </w:rPr>
        <w:t>采购监督机构：</w:t>
      </w:r>
      <w:r>
        <w:rPr>
          <w:sz w:val="24"/>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857号）的有关规定执行。成交单位在领取成交通知书前，须向采购代理机构一次性支付代理服务费。 开户名称：陕西翰元工程咨询有限公司 开户银行：中国工商银行股份有限公司西安经济技术开发区支行 银行账户：3700000609200242371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西安市碑林区生态环境保护委员会办公室</w:t>
      </w:r>
      <w:r>
        <w:rPr/>
        <w:t>和</w:t>
      </w:r>
      <w:r>
        <w:rPr/>
        <w:t>陕西翰元工程咨询有限公司</w:t>
      </w:r>
      <w:r>
        <w:rPr/>
        <w:t>享有。对磋商文件中供应商参加本次政府采购活动应当具备的条件，磋商项目技术、服务、商务及其他要求，评审细则及标准由</w:t>
      </w:r>
      <w:r>
        <w:rPr/>
        <w:t>西安市碑林区生态环境保护委员会办公室</w:t>
      </w:r>
      <w:r>
        <w:rPr/>
        <w:t>负责解释。除上述磋商文件内容，其他内容由</w:t>
      </w:r>
      <w:r>
        <w:rPr/>
        <w:t>陕西翰元工程咨询有限公司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西安市碑林区生态环境保护委员会办公室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陕西翰元工程咨询有限公司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未明确服务（产品）执行标准、规范的，则必须执行：国家、行业强制性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陕西翰元工程咨询有限公司</w:t>
      </w:r>
      <w:r>
        <w:rPr/>
        <w:t xml:space="preserve"> 负责答复；供应商对除采购需求外的采购文件的询问、质疑由</w:t>
      </w:r>
      <w:r>
        <w:rPr/>
        <w:t>陕西翰元工程咨询有限公司</w:t>
      </w:r>
      <w:r>
        <w:rPr/>
        <w:t xml:space="preserve"> 负责答复；供应商对采购过程、采购结果的询问、质疑由 </w:t>
      </w:r>
      <w:r>
        <w:rPr/>
        <w:t>陕西翰元工程咨询有限公司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联系人：李沙沙</w:t>
      </w:r>
    </w:p>
    <w:p>
      <w:pPr>
        <w:pStyle w:val="null3"/>
      </w:pPr>
      <w:r>
        <w:rPr/>
        <w:t>联系电话：13109522910</w:t>
      </w:r>
    </w:p>
    <w:p>
      <w:pPr>
        <w:pStyle w:val="null3"/>
      </w:pPr>
      <w:r>
        <w:rPr/>
        <w:t>地址：陕西省西安市浐灞生态区欧亚大道西段666号欧亚国际一期A座1401室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根据网格化管理系统目前的实际需求，运营商提供的网络服务应在工作手机机型、技术、服务内容等几个方面提供符合目前网格化管理系统的需要。 1.工作手机机型要求 手机机型应满足以下要求：支持处置西安环境APP等应用程序的运行，支持5G网络，支持全网通手机信号卡，手机CPU核心不低于8核；手机运行内存不少于12GB，机身内存不少于256GB；后置摄像头像素需不低于5000万像素，以满足使用西安生态环境保护网格化管理系统的情况。 2.提供服务内容 此次项目需运营商提供240部移动通讯终端套餐至少包含24个月的400分钟主叫、被叫免费+20G全国流量+10元流量包。 3.售后服务保障 运营商提供7X24小时售后服务，售后服务方式包含但不限于电话售后服务支持，网络售后服务支持，上门售后服务支持等。运营商应定时对机房、网络、线路、基站进行维护，以保障我区治污减霾工作的顺利。</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碑林区生态环境保护委员会网格化管理系统网络服务项目</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标的名称：碑林区生态环境保护委员会网格化管理系统网络服务项目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4"/>
                <w:b/>
                <w:shd w:fill="FFFFFF" w:val="clear"/>
              </w:rPr>
              <w:t>工作手机机型要求</w:t>
            </w:r>
          </w:p>
          <w:p>
            <w:pPr>
              <w:pStyle w:val="null3"/>
              <w:jc w:val="both"/>
            </w:pPr>
            <w:r>
              <w:rPr>
                <w:rFonts w:ascii="宋体" w:hAnsi="宋体" w:cs="宋体" w:eastAsia="宋体"/>
                <w:sz w:val="24"/>
                <w:shd w:fill="FFFFFF" w:val="clear"/>
              </w:rPr>
              <w:t>手机机型应满足以下要求：支持处置西安环境</w:t>
            </w:r>
            <w:r>
              <w:rPr>
                <w:rFonts w:ascii="宋体" w:hAnsi="宋体" w:cs="宋体" w:eastAsia="宋体"/>
                <w:sz w:val="24"/>
                <w:shd w:fill="FFFFFF" w:val="clear"/>
              </w:rPr>
              <w:t>APP等应用程序的运行，支持5G网络，支持全网通手机信号卡，手机CPU核心不低于8核；手机运行内存不少于12GB，机身内存不少于256GB；后置摄像头像素需不低于5000万像素，以满足使用西安生态环境保护网格化管理系统的情况。</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4"/>
                <w:b/>
              </w:rPr>
              <w:t>提供服务内容</w:t>
            </w:r>
          </w:p>
          <w:p>
            <w:pPr>
              <w:pStyle w:val="null3"/>
              <w:jc w:val="both"/>
            </w:pPr>
            <w:r>
              <w:rPr>
                <w:rFonts w:ascii="宋体" w:hAnsi="宋体" w:cs="宋体" w:eastAsia="宋体"/>
                <w:sz w:val="24"/>
              </w:rPr>
              <w:t>此次项目需运营商提供</w:t>
            </w:r>
            <w:r>
              <w:rPr>
                <w:rFonts w:ascii="宋体" w:hAnsi="宋体" w:cs="宋体" w:eastAsia="宋体"/>
                <w:sz w:val="24"/>
              </w:rPr>
              <w:t>240部移动通讯终端套餐至少包含24个月的400分钟主叫、被叫免费+20G全国流量+10元流量包。</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rPr>
              <w:t>售后服务保障</w:t>
            </w:r>
          </w:p>
          <w:p>
            <w:pPr>
              <w:pStyle w:val="null3"/>
              <w:jc w:val="both"/>
            </w:pPr>
            <w:r>
              <w:rPr>
                <w:rFonts w:ascii="宋体" w:hAnsi="宋体" w:cs="宋体" w:eastAsia="宋体"/>
                <w:sz w:val="24"/>
              </w:rPr>
              <w:t>运营商提供</w:t>
            </w:r>
            <w:r>
              <w:rPr>
                <w:rFonts w:ascii="宋体" w:hAnsi="宋体" w:cs="宋体" w:eastAsia="宋体"/>
                <w:sz w:val="24"/>
              </w:rPr>
              <w:t>7X24小时售后服务，售后服务方式包含但不限于电话售后服务支持，网络售后服务支持，上门售后服务支持等。运营商应定时对机房、网络、线路、基站进行维护，以保障我区治污减霾工作的顺利。</w:t>
            </w:r>
          </w:p>
        </w:tc>
      </w:tr>
    </w:tbl>
    <w:p>
      <w:pPr>
        <w:pStyle w:val="null3"/>
        <w:outlineLvl w:val="2"/>
      </w:pPr>
      <w:r>
        <w:rPr>
          <w:sz w:val="28"/>
          <w:b/>
        </w:rPr>
        <w:t>3.2.3人员配置要求</w:t>
      </w:r>
    </w:p>
    <w:p>
      <w:pPr>
        <w:pStyle w:val="null3"/>
      </w:pPr>
      <w:r>
        <w:rPr/>
        <w:t>采购包1：</w:t>
      </w:r>
    </w:p>
    <w:p>
      <w:pPr>
        <w:pStyle w:val="null3"/>
      </w:pPr>
      <w:r>
        <w:rPr/>
        <w:t>满足项目需求。</w:t>
      </w:r>
    </w:p>
    <w:p>
      <w:pPr>
        <w:pStyle w:val="null3"/>
        <w:outlineLvl w:val="2"/>
      </w:pPr>
      <w:r>
        <w:rPr>
          <w:sz w:val="28"/>
          <w:b/>
        </w:rPr>
        <w:t>3.2.4设施设备要求</w:t>
      </w:r>
    </w:p>
    <w:p>
      <w:pPr>
        <w:pStyle w:val="null3"/>
      </w:pPr>
      <w:r>
        <w:rPr/>
        <w:t>采购包1：</w:t>
      </w:r>
    </w:p>
    <w:p>
      <w:pPr>
        <w:pStyle w:val="null3"/>
      </w:pPr>
      <w:r>
        <w:rPr/>
        <w:t>满足项目需求。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24个月，具体服务起止日期以签订合同为准。</w:t>
      </w:r>
    </w:p>
    <w:p>
      <w:pPr>
        <w:pStyle w:val="null3"/>
        <w:outlineLvl w:val="3"/>
      </w:pPr>
      <w:r>
        <w:rPr>
          <w:sz w:val="24"/>
          <w:b/>
        </w:rPr>
        <w:t>3.3.2服务地点</w:t>
      </w:r>
    </w:p>
    <w:p>
      <w:pPr>
        <w:pStyle w:val="null3"/>
      </w:pPr>
      <w:r>
        <w:rPr/>
        <w:t>采购包1：</w:t>
      </w:r>
    </w:p>
    <w:p>
      <w:pPr>
        <w:pStyle w:val="null3"/>
      </w:pPr>
      <w:r>
        <w:rPr/>
        <w:t>西安市碑林区</w:t>
      </w:r>
    </w:p>
    <w:p>
      <w:pPr>
        <w:pStyle w:val="null3"/>
        <w:outlineLvl w:val="3"/>
      </w:pPr>
      <w:r>
        <w:rPr>
          <w:sz w:val="24"/>
          <w:b/>
        </w:rPr>
        <w:t>3.3.3考核（验收）标准和方法</w:t>
      </w:r>
    </w:p>
    <w:p>
      <w:pPr>
        <w:pStyle w:val="null3"/>
      </w:pPr>
      <w:r>
        <w:rPr/>
        <w:t>采购包1：</w:t>
      </w:r>
    </w:p>
    <w:p>
      <w:pPr>
        <w:pStyle w:val="null3"/>
      </w:pPr>
      <w:r>
        <w:rPr/>
        <w:t>质量验收标准或规范：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未明确服务（产品）执行标准、规范的，则必须执行：国家、行业强制性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甲方在本合同签订生效后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验收合格后</w:t>
      </w:r>
      <w:r>
        <w:rPr/>
        <w:t xml:space="preserve"> ，达到付款条件起 </w:t>
      </w:r>
      <w:r>
        <w:rPr/>
        <w:t>60</w:t>
      </w:r>
      <w:r>
        <w:rPr/>
        <w:t xml:space="preserve"> 日内，支付合同总金额的 </w:t>
      </w:r>
      <w:r>
        <w:rPr/>
        <w:t>40.00</w:t>
      </w:r>
      <w:r>
        <w:rPr/>
        <w:t>%。</w:t>
      </w:r>
    </w:p>
    <w:p>
      <w:pPr>
        <w:pStyle w:val="null3"/>
        <w:outlineLvl w:val="3"/>
      </w:pPr>
      <w:r>
        <w:rPr>
          <w:sz w:val="24"/>
          <w:b/>
        </w:rPr>
        <w:t>3.3.6违约责任及解决争议的方法</w:t>
      </w:r>
    </w:p>
    <w:p>
      <w:pPr>
        <w:pStyle w:val="null3"/>
      </w:pPr>
      <w:r>
        <w:rPr/>
        <w:t>采购包1：</w:t>
      </w:r>
    </w:p>
    <w:p>
      <w:pPr>
        <w:pStyle w:val="null3"/>
      </w:pPr>
      <w:r>
        <w:rPr/>
        <w:t>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乙方服务存在瑕疵的，经甲方催告后乙方应当及时整改，经整改后仍不符合要求的，乙方应当向甲方支付合同金额百分之三十的违约金，对甲方造成损失的，乙方应当赔偿。经两次整改仍不符合甲方要求的，甲方有权解除本合同，已支付的款项乙方应当退还。 解决合同纠纷的方式： 向西安仲裁委员会按其仲裁规则申请仲裁。 具体以签订合同为准。</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年度财务审计报告（成立时间至提交响应文件截止时间不足一年的可提供成立后任意时段的财务报表）或提供响应文件截止时间前三个月内其基本账户开户银行出具的资信证明（附基本存款账户信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或其他组织或自然人，提供合法有效的营业执照、税务登记证、组织机构代码证（或统一社会信用代码的营业执照），事业单位应提供事业单位法人证书，自然人应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《基础电信业务经营许可证》或《增值电信业务经营许可证》</w:t>
            </w:r>
          </w:p>
        </w:tc>
        <w:tc>
          <w:tcPr>
            <w:tcW w:type="dxa" w:w="3322"/>
          </w:tcPr>
          <w:p>
            <w:pPr>
              <w:pStyle w:val="null3"/>
            </w:pPr>
            <w:r>
              <w:rPr/>
              <w:t>具有《基础电信业务经营许可证》或《增值电信业务经营许可证》。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法定代表人身份证明或法定代表人授权书、被授权人身份证</w:t>
            </w:r>
          </w:p>
        </w:tc>
        <w:tc>
          <w:tcPr>
            <w:tcW w:type="dxa" w:w="3322"/>
          </w:tcPr>
          <w:p>
            <w:pPr>
              <w:pStyle w:val="null3"/>
            </w:pPr>
            <w:r>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财务会计制度的证明材料</w:t>
            </w:r>
          </w:p>
        </w:tc>
        <w:tc>
          <w:tcPr>
            <w:tcW w:type="dxa" w:w="3322"/>
          </w:tcPr>
          <w:p>
            <w:pPr>
              <w:pStyle w:val="null3"/>
            </w:pPr>
            <w:r>
              <w:rPr/>
              <w:t>提供2022或2023年度财务审计报告（成立时间至提交响应文件截止时间不足一年的可提供成立后任意时段的财务报表）或提供响应文件截止时间前三个月内其基本账户开户银行出具的资信证明（附基本存款账户信息）。</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提供2024年1月至今任意时段已缴纳完税凭证或税务机关开具的完税证明（任意税种）；依法免税的应提供相关文件证明。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社保缴纳证明</w:t>
            </w:r>
          </w:p>
        </w:tc>
        <w:tc>
          <w:tcPr>
            <w:tcW w:type="dxa" w:w="3322"/>
          </w:tcPr>
          <w:p>
            <w:pPr>
              <w:pStyle w:val="null3"/>
            </w:pPr>
            <w:r>
              <w:rPr/>
              <w:t>提供2024年1月至今任意时段已缴纳的社会保障资金缴存单据或社保机构开具的社会保险参保缴费情况证明；依法不需要缴纳社会保障资金的应提供相关文件证明。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履约承诺和无重大违法记录声明</w:t>
            </w:r>
          </w:p>
        </w:tc>
        <w:tc>
          <w:tcPr>
            <w:tcW w:type="dxa" w:w="3322"/>
          </w:tcPr>
          <w:p>
            <w:pPr>
              <w:pStyle w:val="null3"/>
            </w:pPr>
            <w:r>
              <w:rPr/>
              <w:t>提供具有履行合同所必需的设备和专业技术能力的承诺；参加政府采购活动3年内，在经营活动中没有重大违法记录的书面声明。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供应商信用</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信用查询以开标时系统查询结果为准）。</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非联合体承诺</w:t>
            </w:r>
          </w:p>
        </w:tc>
        <w:tc>
          <w:tcPr>
            <w:tcW w:type="dxa" w:w="3322"/>
          </w:tcPr>
          <w:p>
            <w:pPr>
              <w:pStyle w:val="null3"/>
            </w:pPr>
            <w:r>
              <w:rPr/>
              <w:t>提供非联合体承诺。</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按响应文件要求签字、盖章。</w:t>
            </w:r>
          </w:p>
        </w:tc>
        <w:tc>
          <w:tcPr>
            <w:tcW w:type="dxa" w:w="1661"/>
          </w:tcPr>
          <w:p>
            <w:pPr>
              <w:pStyle w:val="null3"/>
            </w:pPr>
            <w:r>
              <w:rPr/>
              <w:t>响应文件封面 服务内容及服务邀请应答表 商务应答表 标的清单 报价表 响应函</w:t>
            </w:r>
          </w:p>
        </w:tc>
      </w:tr>
      <w:tr>
        <w:tc>
          <w:tcPr>
            <w:tcW w:type="dxa" w:w="831"/>
          </w:tcPr>
          <w:p>
            <w:pPr>
              <w:pStyle w:val="null3"/>
            </w:pPr>
            <w:r>
              <w:rPr/>
              <w:t>3</w:t>
            </w:r>
          </w:p>
        </w:tc>
        <w:tc>
          <w:tcPr>
            <w:tcW w:type="dxa" w:w="2492"/>
          </w:tcPr>
          <w:p>
            <w:pPr>
              <w:pStyle w:val="null3"/>
            </w:pPr>
            <w:r>
              <w:rPr/>
              <w:t>文件格式</w:t>
            </w:r>
          </w:p>
        </w:tc>
        <w:tc>
          <w:tcPr>
            <w:tcW w:type="dxa" w:w="3322"/>
          </w:tcPr>
          <w:p>
            <w:pPr>
              <w:pStyle w:val="null3"/>
            </w:pPr>
            <w:r>
              <w:rPr/>
              <w:t>按响应文件要求。</w:t>
            </w:r>
          </w:p>
        </w:tc>
        <w:tc>
          <w:tcPr>
            <w:tcW w:type="dxa" w:w="1661"/>
          </w:tcPr>
          <w:p>
            <w:pPr>
              <w:pStyle w:val="null3"/>
            </w:pPr>
            <w:r>
              <w:rPr/>
              <w:t>响应文件封面 服务内容及服务邀请应答表 商务应答表 标的清单 报价表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只能有一个有效报价，不得提交选择性报价且不超过最高限价。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磋商文件响应程度</w:t>
            </w:r>
          </w:p>
        </w:tc>
        <w:tc>
          <w:tcPr>
            <w:tcW w:type="dxa" w:w="3322"/>
          </w:tcPr>
          <w:p>
            <w:pPr>
              <w:pStyle w:val="null3"/>
            </w:pPr>
            <w:r>
              <w:rPr/>
              <w:t>全面响应，不能有任何采购人不能接受的附加条件。</w:t>
            </w:r>
          </w:p>
        </w:tc>
        <w:tc>
          <w:tcPr>
            <w:tcW w:type="dxa" w:w="1661"/>
          </w:tcPr>
          <w:p>
            <w:pPr>
              <w:pStyle w:val="null3"/>
            </w:pPr>
            <w:r>
              <w:rPr/>
              <w:t>服务内容及服务邀请应答表 商务应答表 服务方案 标的清单 报价表 响应函</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满足磋商文件规定。</w:t>
            </w:r>
          </w:p>
        </w:tc>
        <w:tc>
          <w:tcPr>
            <w:tcW w:type="dxa" w:w="1661"/>
          </w:tcPr>
          <w:p>
            <w:pPr>
              <w:pStyle w:val="null3"/>
            </w:pPr>
            <w:r>
              <w:rPr/>
              <w:t>服务内容及服务邀请应答表 商务应答表 服务方案 响应函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满足磋商文件规定。</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供应商对本项目服务内容及要求理解透彻，从业务和技术的角度出发，实施方案总体可行且科学、合理，架构完整、层次清楚，满足磋商文件技术要求、行业服务技术标准及国家有关政策和法律法规的要求。1、服务方案内容全面详细，完全满足采购人需求并且能提供安全可靠的服务的，得［15-20］分；2、服务工作方案基本满足采购人需求的，得［9-15）分；3、服务方案不全面，缺乏可操作性的，得［0-9）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机房、网络、线路、基站运维服务</w:t>
            </w:r>
          </w:p>
        </w:tc>
        <w:tc>
          <w:tcPr>
            <w:tcW w:type="dxa" w:w="2492"/>
          </w:tcPr>
          <w:p>
            <w:pPr>
              <w:pStyle w:val="null3"/>
            </w:pPr>
            <w:r>
              <w:rPr/>
              <w:t>供应商定时对机房、网络、线路、基站进行维护，针对本项目有详细具体、全面、切实可行的运维服务方案及措施。1、措施全面、科学、合理、可行的，得［15-20］分；2、措施基本全面、合理、可行的，得［9-15）分；3、措施不全面、可行性较差的，得［0-9）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应急突发事件处理措施</w:t>
            </w:r>
          </w:p>
        </w:tc>
        <w:tc>
          <w:tcPr>
            <w:tcW w:type="dxa" w:w="2492"/>
          </w:tcPr>
          <w:p>
            <w:pPr>
              <w:pStyle w:val="null3"/>
            </w:pPr>
            <w:r>
              <w:rPr/>
              <w:t>针对本项目具有应急和突发事件的处理措施。1、方案全面、科学、合理、可行的，得［7-10］分；2、基本全面、合理、可行的，得［3-7）分；3、不全面、可行性较差的，得［0-3）分。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针对本项目具有严格的保密措施及制度。1、保密措施及制度完善、合理、可行的，得［3-5］分；2、保密措施及制度基本全面、合理、可行的，得［2-3）分；3、保密措施及制度不全面、可行性较差的，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具有本地化的售后服务，能提供地址、联系人、联系方式，有效保障本地化售后服务，并针对本项目有详细、具体、可行的售后维护方案及措施（售后服务方式包含但不限于电话售后服务支持，网络售后服务支持，上门售后服务支持等）。1、售后服务方案详细、具体、可实施性强，完全满足采购人需求得［7-10］分；2、有售后服务方案，但可实施性一般的，得［3-7）分；3、售后服务方案简单，内容空泛的，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具有服务承诺、服务进度计划和安全保障计划，服务承诺、进度和安全计划详细具体、全面、切实可行、管理制度完善。1、内容具体、完整、详细、全面的，得［7-10］分；2、内容基本完善、可行的，得［3-7）分；3、内容欠缺、薄弱、不完整的，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人员配置1</w:t>
            </w:r>
          </w:p>
        </w:tc>
        <w:tc>
          <w:tcPr>
            <w:tcW w:type="dxa" w:w="2492"/>
          </w:tcPr>
          <w:p>
            <w:pPr>
              <w:pStyle w:val="null3"/>
            </w:pPr>
            <w:r>
              <w:rPr/>
              <w:t>拟投入项目服务团队人员满足本项目情况，能有效保证项目顺利实施。 1、服务团队人员专业结构合理、人员职责分工清晰明确、业务管理流程详尽，得［0-5］分。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人员配置2</w:t>
            </w:r>
          </w:p>
        </w:tc>
        <w:tc>
          <w:tcPr>
            <w:tcW w:type="dxa" w:w="2492"/>
          </w:tcPr>
          <w:p>
            <w:pPr>
              <w:pStyle w:val="null3"/>
            </w:pPr>
            <w:r>
              <w:rPr/>
              <w:t>拟投入项目服务团队人员满足本项目情况，能有效保证项目顺利实施。 2、服务团队人员具备高级及高级以上职称，每提供一个得1分，满分5分。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自2021年1月1日起至今，每提供一份类似项目业绩合同得1分，最高得5分。注：须提供类似项目的合同或成交通知书复印件（或扫描件），时间以合同签订时间为准；若因提供材料不清晰导致无法辨认的或提供材料存在伪造、变造情况的或未提供证明材料，均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采用低价优先法计算，即满足磋商文件要求且最终报价最低的供应商的价格为评标基准价，其价格分为满分。磋商报价得分＝（评标基准价/磋商最终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