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1D121">
      <w:pPr>
        <w:widowControl/>
        <w:spacing w:line="360" w:lineRule="auto"/>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碑林区城市管理和综合执法局纯电动餐厨垃圾车购买项目</w:t>
      </w:r>
    </w:p>
    <w:p w14:paraId="3E5645B1">
      <w:pPr>
        <w:widowControl/>
        <w:spacing w:line="360" w:lineRule="auto"/>
        <w:jc w:val="center"/>
        <w:rPr>
          <w:rFonts w:hint="eastAsia"/>
          <w:lang w:val="en-US" w:eastAsia="zh-CN"/>
        </w:rPr>
      </w:pPr>
      <w:r>
        <w:rPr>
          <w:rFonts w:hint="eastAsia" w:ascii="宋体" w:hAnsi="宋体" w:eastAsia="宋体" w:cs="宋体"/>
          <w:b/>
          <w:sz w:val="32"/>
          <w:szCs w:val="32"/>
          <w:highlight w:val="none"/>
          <w:lang w:val="en-US" w:eastAsia="zh-CN"/>
        </w:rPr>
        <w:t>政府采购需求书（货物类）</w:t>
      </w:r>
    </w:p>
    <w:tbl>
      <w:tblPr>
        <w:tblStyle w:val="1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1"/>
        <w:gridCol w:w="1494"/>
        <w:gridCol w:w="7067"/>
      </w:tblGrid>
      <w:tr w14:paraId="0D50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751" w:type="dxa"/>
            <w:vAlign w:val="center"/>
          </w:tcPr>
          <w:p w14:paraId="3D090508">
            <w:pPr>
              <w:snapToGrid w:val="0"/>
              <w:spacing w:line="360" w:lineRule="auto"/>
              <w:jc w:val="center"/>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序号</w:t>
            </w:r>
          </w:p>
        </w:tc>
        <w:tc>
          <w:tcPr>
            <w:tcW w:w="1494" w:type="dxa"/>
            <w:vAlign w:val="center"/>
          </w:tcPr>
          <w:p w14:paraId="4F6A6E80">
            <w:pPr>
              <w:pStyle w:val="40"/>
              <w:spacing w:line="360" w:lineRule="auto"/>
              <w:ind w:left="38"/>
              <w:jc w:val="cente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关键事项</w:t>
            </w:r>
          </w:p>
        </w:tc>
        <w:tc>
          <w:tcPr>
            <w:tcW w:w="7067" w:type="dxa"/>
            <w:vAlign w:val="center"/>
          </w:tcPr>
          <w:p w14:paraId="41483485">
            <w:pPr>
              <w:pStyle w:val="40"/>
              <w:spacing w:line="360" w:lineRule="auto"/>
              <w:jc w:val="cente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说明和要求</w:t>
            </w:r>
          </w:p>
        </w:tc>
      </w:tr>
      <w:tr w14:paraId="2381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2A13E876">
            <w:pPr>
              <w:snapToGrid w:val="0"/>
              <w:spacing w:after="200" w:line="240" w:lineRule="auto"/>
              <w:jc w:val="center"/>
              <w:rPr>
                <w:rFonts w:hint="eastAsia" w:ascii="宋体" w:hAnsi="宋体" w:eastAsia="宋体" w:cs="宋体"/>
                <w:b w:val="0"/>
                <w:bCs/>
                <w:color w:val="000000" w:themeColor="text1"/>
                <w:sz w:val="21"/>
                <w:szCs w:val="21"/>
                <w:highlight w:val="none"/>
                <w:lang w:val="zh-CN"/>
                <w14:textFill>
                  <w14:solidFill>
                    <w14:schemeClr w14:val="tx1"/>
                  </w14:solidFill>
                </w14:textFill>
              </w:rPr>
            </w:pPr>
            <w:r>
              <w:rPr>
                <w:rFonts w:hint="eastAsia" w:ascii="宋体" w:hAnsi="宋体" w:eastAsia="宋体" w:cs="宋体"/>
                <w:b w:val="0"/>
                <w:bCs/>
                <w:color w:val="000000" w:themeColor="text1"/>
                <w:sz w:val="21"/>
                <w:szCs w:val="21"/>
                <w:highlight w:val="none"/>
                <w:lang w:val="zh-CN"/>
                <w14:textFill>
                  <w14:solidFill>
                    <w14:schemeClr w14:val="tx1"/>
                  </w14:solidFill>
                </w14:textFill>
              </w:rPr>
              <w:t>1</w:t>
            </w:r>
          </w:p>
        </w:tc>
        <w:tc>
          <w:tcPr>
            <w:tcW w:w="1494" w:type="dxa"/>
            <w:vAlign w:val="center"/>
          </w:tcPr>
          <w:p w14:paraId="3238E1EC">
            <w:pPr>
              <w:pStyle w:val="40"/>
              <w:spacing w:line="240" w:lineRule="auto"/>
              <w:ind w:left="38"/>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采购预算</w:t>
            </w:r>
          </w:p>
        </w:tc>
        <w:tc>
          <w:tcPr>
            <w:tcW w:w="7067" w:type="dxa"/>
            <w:vAlign w:val="center"/>
          </w:tcPr>
          <w:p w14:paraId="64A73559">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人民币</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 </w:t>
            </w:r>
            <w:r>
              <w:rPr>
                <w:rFonts w:hint="eastAsia" w:cs="宋体"/>
                <w:b w:val="0"/>
                <w:bCs/>
                <w:color w:val="000000" w:themeColor="text1"/>
                <w:kern w:val="2"/>
                <w:sz w:val="21"/>
                <w:szCs w:val="21"/>
                <w:highlight w:val="none"/>
                <w:u w:val="single"/>
                <w:lang w:val="en-US" w:eastAsia="zh-CN"/>
                <w14:textFill>
                  <w14:solidFill>
                    <w14:schemeClr w14:val="tx1"/>
                  </w14:solidFill>
                </w14:textFill>
              </w:rPr>
              <w:t>850000</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.00 </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元</w:t>
            </w:r>
          </w:p>
          <w:p w14:paraId="64126EEA">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63E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1931D49C">
            <w:pPr>
              <w:snapToGrid w:val="0"/>
              <w:spacing w:after="200" w:line="240" w:lineRule="auto"/>
              <w:jc w:val="center"/>
              <w:rPr>
                <w:rFonts w:hint="eastAsia" w:ascii="宋体" w:hAnsi="宋体" w:eastAsia="宋体" w:cs="宋体"/>
                <w:b w:val="0"/>
                <w:bCs/>
                <w:color w:val="000000" w:themeColor="text1"/>
                <w:sz w:val="21"/>
                <w:szCs w:val="21"/>
                <w:highlight w:val="none"/>
                <w:lang w:val="zh-CN"/>
                <w14:textFill>
                  <w14:solidFill>
                    <w14:schemeClr w14:val="tx1"/>
                  </w14:solidFill>
                </w14:textFill>
              </w:rPr>
            </w:pPr>
            <w:r>
              <w:rPr>
                <w:rFonts w:hint="eastAsia" w:ascii="宋体" w:hAnsi="宋体" w:eastAsia="宋体" w:cs="宋体"/>
                <w:b w:val="0"/>
                <w:bCs/>
                <w:color w:val="000000" w:themeColor="text1"/>
                <w:sz w:val="21"/>
                <w:szCs w:val="21"/>
                <w:highlight w:val="none"/>
                <w:lang w:val="zh-CN"/>
                <w14:textFill>
                  <w14:solidFill>
                    <w14:schemeClr w14:val="tx1"/>
                  </w14:solidFill>
                </w14:textFill>
              </w:rPr>
              <w:t>2</w:t>
            </w:r>
          </w:p>
        </w:tc>
        <w:tc>
          <w:tcPr>
            <w:tcW w:w="1494" w:type="dxa"/>
            <w:vAlign w:val="center"/>
          </w:tcPr>
          <w:p w14:paraId="79CF6D50">
            <w:pPr>
              <w:pStyle w:val="40"/>
              <w:spacing w:line="240" w:lineRule="auto"/>
              <w:ind w:left="38"/>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最高限价</w:t>
            </w:r>
          </w:p>
        </w:tc>
        <w:tc>
          <w:tcPr>
            <w:tcW w:w="7067" w:type="dxa"/>
            <w:vAlign w:val="center"/>
          </w:tcPr>
          <w:p w14:paraId="64EC8EB8">
            <w:pPr>
              <w:pStyle w:val="40"/>
              <w:spacing w:line="36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人民币</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 </w:t>
            </w:r>
            <w:r>
              <w:rPr>
                <w:rFonts w:hint="eastAsia" w:cs="宋体"/>
                <w:b w:val="0"/>
                <w:bCs/>
                <w:color w:val="000000" w:themeColor="text1"/>
                <w:kern w:val="2"/>
                <w:sz w:val="21"/>
                <w:szCs w:val="21"/>
                <w:highlight w:val="none"/>
                <w:u w:val="single"/>
                <w:lang w:val="en-US" w:eastAsia="zh-CN"/>
                <w14:textFill>
                  <w14:solidFill>
                    <w14:schemeClr w14:val="tx1"/>
                  </w14:solidFill>
                </w14:textFill>
              </w:rPr>
              <w:t>850000</w:t>
            </w:r>
            <w:r>
              <w:rPr>
                <w:rFonts w:hint="eastAsia" w:ascii="宋体" w:hAnsi="宋体" w:eastAsia="宋体" w:cs="宋体"/>
                <w:b w:val="0"/>
                <w:bCs/>
                <w:color w:val="000000" w:themeColor="text1"/>
                <w:kern w:val="2"/>
                <w:sz w:val="21"/>
                <w:szCs w:val="21"/>
                <w:highlight w:val="none"/>
                <w:u w:val="single"/>
                <w:lang w:val="en-US" w:eastAsia="zh-CN"/>
                <w14:textFill>
                  <w14:solidFill>
                    <w14:schemeClr w14:val="tx1"/>
                  </w14:solidFill>
                </w14:textFill>
              </w:rPr>
              <w:t xml:space="preserve">.00 </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元</w:t>
            </w:r>
          </w:p>
          <w:p w14:paraId="60CF1566">
            <w:pPr>
              <w:pStyle w:val="40"/>
              <w:spacing w:line="360" w:lineRule="auto"/>
              <w:ind w:left="38"/>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投标报价高于最高限价的则其投标文件将按无效投标文件处理。</w:t>
            </w:r>
          </w:p>
        </w:tc>
      </w:tr>
      <w:tr w14:paraId="40FE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restart"/>
            <w:vAlign w:val="center"/>
          </w:tcPr>
          <w:p w14:paraId="3A5EA6CF">
            <w:pPr>
              <w:snapToGrid w:val="0"/>
              <w:spacing w:after="200" w:line="240" w:lineRule="auto"/>
              <w:jc w:val="center"/>
              <w:rPr>
                <w:rFonts w:hint="eastAsia" w:ascii="宋体" w:hAnsi="宋体" w:eastAsia="宋体" w:cs="宋体"/>
                <w:b w:val="0"/>
                <w:bCs/>
                <w:color w:val="000000" w:themeColor="text1"/>
                <w:sz w:val="21"/>
                <w:szCs w:val="21"/>
                <w:highlight w:val="none"/>
                <w:lang w:val="zh-CN"/>
                <w14:textFill>
                  <w14:solidFill>
                    <w14:schemeClr w14:val="tx1"/>
                  </w14:solidFill>
                </w14:textFill>
              </w:rPr>
            </w:pPr>
            <w:r>
              <w:rPr>
                <w:rFonts w:hint="eastAsia" w:ascii="宋体" w:hAnsi="宋体" w:eastAsia="宋体" w:cs="宋体"/>
                <w:b w:val="0"/>
                <w:bCs/>
                <w:color w:val="000000" w:themeColor="text1"/>
                <w:sz w:val="21"/>
                <w:szCs w:val="21"/>
                <w:highlight w:val="none"/>
                <w:lang w:val="zh-CN"/>
                <w14:textFill>
                  <w14:solidFill>
                    <w14:schemeClr w14:val="tx1"/>
                  </w14:solidFill>
                </w14:textFill>
              </w:rPr>
              <w:t>3</w:t>
            </w:r>
          </w:p>
        </w:tc>
        <w:tc>
          <w:tcPr>
            <w:tcW w:w="1494" w:type="dxa"/>
            <w:vMerge w:val="restart"/>
            <w:vAlign w:val="center"/>
          </w:tcPr>
          <w:p w14:paraId="4D786B15">
            <w:pPr>
              <w:pStyle w:val="40"/>
              <w:spacing w:line="240" w:lineRule="auto"/>
              <w:ind w:left="38"/>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项目性质</w:t>
            </w:r>
          </w:p>
        </w:tc>
        <w:tc>
          <w:tcPr>
            <w:tcW w:w="7067" w:type="dxa"/>
            <w:vAlign w:val="center"/>
          </w:tcPr>
          <w:p w14:paraId="7C1E4373">
            <w:pPr>
              <w:spacing w:line="360" w:lineRule="auto"/>
              <w:rPr>
                <w:rFonts w:hint="eastAsia"/>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eq \o\ac(</w:instrText>
            </w:r>
            <w:r>
              <w:rPr>
                <w:rFonts w:hint="eastAsia" w:ascii="宋体" w:hAnsi="宋体" w:eastAsia="宋体" w:cs="宋体"/>
                <w:b w:val="0"/>
                <w:bCs w:val="0"/>
                <w:color w:val="auto"/>
                <w:position w:val="-4"/>
                <w:sz w:val="21"/>
                <w:szCs w:val="21"/>
                <w:highlight w:val="none"/>
              </w:rPr>
              <w:instrText xml:space="preserve">□</w:instrText>
            </w:r>
            <w:r>
              <w:rPr>
                <w:rFonts w:hint="eastAsia" w:ascii="宋体" w:hAnsi="宋体" w:eastAsia="宋体" w:cs="宋体"/>
                <w:b w:val="0"/>
                <w:bCs w:val="0"/>
                <w:color w:val="auto"/>
                <w:position w:val="0"/>
                <w:sz w:val="21"/>
                <w:szCs w:val="21"/>
                <w:highlight w:val="none"/>
              </w:rPr>
              <w:instrText xml:space="preserve">)</w:instrTex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sz w:val="21"/>
                <w:szCs w:val="21"/>
                <w:highlight w:val="none"/>
              </w:rPr>
              <w:t>专门面向中小企业采购</w:t>
            </w:r>
          </w:p>
          <w:p w14:paraId="487ACE48">
            <w:pPr>
              <w:spacing w:line="360" w:lineRule="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val="0"/>
                <w:sz w:val="21"/>
                <w:szCs w:val="21"/>
                <w:highlight w:val="none"/>
              </w:rPr>
              <w:t>仅允许中小企业或小型、微型企业参与投标</w:t>
            </w:r>
          </w:p>
        </w:tc>
      </w:tr>
      <w:tr w14:paraId="47B7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continue"/>
            <w:vAlign w:val="center"/>
          </w:tcPr>
          <w:p w14:paraId="3B51F2C1">
            <w:pPr>
              <w:snapToGrid w:val="0"/>
              <w:spacing w:after="200" w:line="240" w:lineRule="auto"/>
              <w:ind w:left="142"/>
              <w:jc w:val="center"/>
              <w:rPr>
                <w:rFonts w:hint="eastAsia" w:ascii="宋体" w:hAnsi="宋体" w:eastAsia="宋体" w:cs="宋体"/>
                <w:b w:val="0"/>
                <w:bCs/>
                <w:color w:val="000000" w:themeColor="text1"/>
                <w:sz w:val="21"/>
                <w:szCs w:val="21"/>
                <w:highlight w:val="none"/>
                <w:lang w:val="zh-CN"/>
                <w14:textFill>
                  <w14:solidFill>
                    <w14:schemeClr w14:val="tx1"/>
                  </w14:solidFill>
                </w14:textFill>
              </w:rPr>
            </w:pPr>
          </w:p>
        </w:tc>
        <w:tc>
          <w:tcPr>
            <w:tcW w:w="1494" w:type="dxa"/>
            <w:vMerge w:val="continue"/>
            <w:vAlign w:val="center"/>
          </w:tcPr>
          <w:p w14:paraId="4F149883">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p>
        </w:tc>
        <w:tc>
          <w:tcPr>
            <w:tcW w:w="7067" w:type="dxa"/>
            <w:vAlign w:val="center"/>
          </w:tcPr>
          <w:p w14:paraId="6DFCEDAF">
            <w:pPr>
              <w:spacing w:line="240" w:lineRule="auto"/>
              <w:rPr>
                <w:rFonts w:hint="eastAsia" w:ascii="宋体" w:hAnsi="宋体" w:eastAsia="宋体" w:cs="宋体"/>
                <w:b w:val="0"/>
                <w:bCs w:val="0"/>
                <w:sz w:val="21"/>
                <w:szCs w:val="21"/>
                <w:highlight w:val="none"/>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w:t>
            </w:r>
            <w:r>
              <w:rPr>
                <w:rFonts w:hint="eastAsia" w:ascii="宋体" w:hAnsi="宋体" w:cs="宋体"/>
                <w:b/>
                <w:bC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z w:val="21"/>
                <w:szCs w:val="21"/>
                <w:highlight w:val="none"/>
              </w:rPr>
              <w:t>非专门面向中小企业采购</w:t>
            </w:r>
          </w:p>
          <w:p w14:paraId="1DCF6B41">
            <w:pPr>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val="0"/>
                <w:sz w:val="21"/>
                <w:szCs w:val="21"/>
                <w:highlight w:val="none"/>
              </w:rPr>
              <w:t>对符合《政府采购促进中小企业发展管理办法》</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财库〔2020〕</w:t>
            </w:r>
            <w:r>
              <w:rPr>
                <w:rFonts w:hint="eastAsia" w:ascii="宋体" w:hAnsi="宋体" w:cs="宋体"/>
                <w:b w:val="0"/>
                <w:bCs w:val="0"/>
                <w:sz w:val="21"/>
                <w:szCs w:val="21"/>
                <w:highlight w:val="none"/>
                <w:lang w:val="en-US" w:eastAsia="zh-CN"/>
              </w:rPr>
              <w:t>19</w:t>
            </w:r>
            <w:r>
              <w:rPr>
                <w:rFonts w:hint="eastAsia" w:ascii="宋体" w:hAnsi="宋体" w:eastAsia="宋体" w:cs="宋体"/>
                <w:b w:val="0"/>
                <w:bCs w:val="0"/>
                <w:sz w:val="21"/>
                <w:szCs w:val="21"/>
                <w:highlight w:val="none"/>
              </w:rPr>
              <w:t>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规定的小微企业（监狱企业视同小型、微型企业）的报价给予</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10</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 （</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%）的扣除，用扣除后的价格参加评审。</w:t>
            </w:r>
          </w:p>
        </w:tc>
      </w:tr>
      <w:tr w14:paraId="5104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612887FC">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w:t>
            </w:r>
          </w:p>
        </w:tc>
        <w:tc>
          <w:tcPr>
            <w:tcW w:w="1494" w:type="dxa"/>
            <w:vAlign w:val="center"/>
          </w:tcPr>
          <w:p w14:paraId="731B375A">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对供应商的</w:t>
            </w:r>
          </w:p>
          <w:p w14:paraId="3CD36AC1">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资格要求</w:t>
            </w:r>
          </w:p>
        </w:tc>
        <w:tc>
          <w:tcPr>
            <w:tcW w:w="7067" w:type="dxa"/>
            <w:vAlign w:val="center"/>
          </w:tcPr>
          <w:p w14:paraId="06F7E8D0">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eastAsia="宋体" w:cs="宋体"/>
                <w:bCs/>
                <w:kern w:val="0"/>
                <w:sz w:val="21"/>
                <w:szCs w:val="21"/>
              </w:rPr>
              <w:t>的营业执照等证明文件，自然人的身份证明；</w:t>
            </w:r>
          </w:p>
          <w:p w14:paraId="2508F31C">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（2）法定代表人参加投标的，提供本人身份证复印件并出示身份证原件；法定代表人授权他人参加投标的，提供法定代表人委托授权书并出示被授权代表的身份证复印件；</w:t>
            </w:r>
          </w:p>
          <w:p w14:paraId="592CE2AD">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（3）财务状况报告：</w:t>
            </w:r>
            <w:r>
              <w:rPr>
                <w:rFonts w:hint="eastAsia" w:ascii="宋体" w:hAnsi="宋体" w:eastAsia="宋体" w:cs="宋体"/>
              </w:rPr>
              <w:t>供2022年度或2023年度经审计的财务会计报告或其提交</w:t>
            </w:r>
            <w:r>
              <w:rPr>
                <w:rFonts w:hint="eastAsia" w:ascii="宋体" w:hAnsi="宋体" w:cs="宋体"/>
                <w:lang w:eastAsia="zh-CN"/>
              </w:rPr>
              <w:t>投标</w:t>
            </w:r>
            <w:r>
              <w:rPr>
                <w:rFonts w:hint="eastAsia" w:ascii="宋体" w:hAnsi="宋体" w:eastAsia="宋体" w:cs="宋体"/>
              </w:rPr>
              <w:t>文件截止时间前3个月内银行出具的资信证明。</w:t>
            </w:r>
            <w:r>
              <w:rPr>
                <w:rFonts w:hint="eastAsia" w:ascii="宋体" w:hAnsi="宋体" w:eastAsia="宋体" w:cs="宋体"/>
                <w:bCs/>
                <w:kern w:val="0"/>
                <w:sz w:val="21"/>
                <w:szCs w:val="21"/>
              </w:rPr>
              <w:t>；</w:t>
            </w:r>
          </w:p>
          <w:p w14:paraId="3FFE608D">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（4）税收缴纳证明：</w:t>
            </w:r>
            <w:r>
              <w:rPr>
                <w:rFonts w:hint="eastAsia" w:ascii="宋体" w:hAnsi="宋体" w:cs="宋体"/>
                <w:color w:val="000000"/>
                <w:kern w:val="0"/>
                <w:szCs w:val="21"/>
              </w:rPr>
              <w:t>提供</w:t>
            </w: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cs="宋体"/>
                <w:color w:val="000000"/>
                <w:kern w:val="0"/>
                <w:szCs w:val="21"/>
              </w:rPr>
              <w:t>202</w:t>
            </w:r>
            <w:r>
              <w:rPr>
                <w:rFonts w:hint="eastAsia" w:ascii="宋体" w:hAnsi="宋体" w:eastAsia="宋体" w:cs="宋体"/>
                <w:color w:val="000000"/>
                <w:kern w:val="0"/>
                <w:szCs w:val="21"/>
                <w:lang w:val="en-US" w:eastAsia="zh-CN"/>
              </w:rPr>
              <w:t>4</w:t>
            </w:r>
            <w:r>
              <w:rPr>
                <w:rFonts w:hint="eastAsia" w:ascii="宋体" w:hAnsi="宋体" w:cs="宋体"/>
                <w:color w:val="000000"/>
                <w:kern w:val="0"/>
                <w:szCs w:val="21"/>
              </w:rPr>
              <w:t>年1月至今已缴纳任意时段任意税种完税凭证或税务机关开具的完税证明（个人所得税除外）；依法免税的应提供相关文件证明</w:t>
            </w:r>
            <w:r>
              <w:rPr>
                <w:rFonts w:hint="eastAsia" w:ascii="宋体" w:hAnsi="宋体" w:eastAsia="宋体" w:cs="宋体"/>
                <w:bCs/>
                <w:kern w:val="0"/>
                <w:sz w:val="21"/>
                <w:szCs w:val="21"/>
              </w:rPr>
              <w:t>；</w:t>
            </w:r>
          </w:p>
          <w:p w14:paraId="0F37237E">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（5）社会保障资金缴纳证明：</w:t>
            </w:r>
            <w:r>
              <w:rPr>
                <w:rFonts w:hint="eastAsia" w:ascii="宋体" w:hAnsi="宋体" w:eastAsia="宋体" w:cs="宋体"/>
                <w:color w:val="000000"/>
              </w:rPr>
              <w:t>提供</w:t>
            </w: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eastAsia="宋体" w:cs="宋体"/>
                <w:b w:val="0"/>
                <w:bCs w:val="0"/>
                <w:color w:val="000000"/>
              </w:rPr>
              <w:t>202</w:t>
            </w:r>
            <w:r>
              <w:rPr>
                <w:rFonts w:hint="eastAsia" w:ascii="宋体" w:hAnsi="宋体" w:eastAsia="宋体" w:cs="宋体"/>
                <w:b w:val="0"/>
                <w:bCs w:val="0"/>
                <w:color w:val="000000"/>
                <w:lang w:val="en-US" w:eastAsia="zh-CN"/>
              </w:rPr>
              <w:t>4</w:t>
            </w:r>
            <w:r>
              <w:rPr>
                <w:rFonts w:hint="eastAsia" w:ascii="宋体" w:hAnsi="宋体" w:eastAsia="宋体" w:cs="宋体"/>
                <w:b w:val="0"/>
                <w:bCs w:val="0"/>
                <w:color w:val="000000"/>
              </w:rPr>
              <w:t>年1</w:t>
            </w:r>
            <w:r>
              <w:rPr>
                <w:rFonts w:hint="eastAsia" w:ascii="宋体" w:hAnsi="宋体" w:eastAsia="宋体" w:cs="宋体"/>
                <w:color w:val="000000"/>
              </w:rPr>
              <w:t>月至今</w:t>
            </w:r>
            <w:r>
              <w:rPr>
                <w:rFonts w:hint="eastAsia" w:ascii="宋体" w:hAnsi="宋体" w:eastAsia="宋体" w:cs="宋体"/>
                <w:color w:val="000000"/>
                <w:kern w:val="0"/>
                <w:szCs w:val="21"/>
              </w:rPr>
              <w:t>任意时段</w:t>
            </w:r>
            <w:r>
              <w:rPr>
                <w:rFonts w:hint="eastAsia" w:ascii="宋体" w:hAnsi="宋体" w:eastAsia="宋体" w:cs="宋体"/>
                <w:color w:val="000000"/>
              </w:rPr>
              <w:t>已缴纳的社会保障资金缴存单据或社保机构开具的社会保险参保缴费情况证明；依法不需要缴纳社会保障资金的应提供相关文件证明</w:t>
            </w:r>
            <w:r>
              <w:rPr>
                <w:rFonts w:hint="eastAsia" w:ascii="宋体" w:hAnsi="宋体" w:eastAsia="宋体" w:cs="宋体"/>
                <w:bCs/>
                <w:kern w:val="0"/>
                <w:sz w:val="21"/>
                <w:szCs w:val="21"/>
              </w:rPr>
              <w:t>；</w:t>
            </w:r>
          </w:p>
          <w:p w14:paraId="4857F988">
            <w:pPr>
              <w:spacing w:line="24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（6）</w:t>
            </w:r>
            <w:r>
              <w:rPr>
                <w:rFonts w:hint="eastAsia" w:ascii="宋体" w:hAnsi="宋体" w:eastAsia="宋体" w:cs="宋体"/>
                <w:bCs/>
                <w:kern w:val="0"/>
                <w:sz w:val="21"/>
                <w:szCs w:val="21"/>
                <w:lang w:eastAsia="zh-CN"/>
              </w:rPr>
              <w:t>提供</w:t>
            </w: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eastAsia="宋体" w:cs="宋体"/>
                <w:bCs/>
                <w:kern w:val="0"/>
                <w:sz w:val="21"/>
                <w:szCs w:val="21"/>
              </w:rPr>
              <w:t>具备履行合同所必需的设备和专业技术能力的证明；</w:t>
            </w:r>
          </w:p>
          <w:p w14:paraId="29ED72B6">
            <w:pPr>
              <w:spacing w:line="240" w:lineRule="auto"/>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（7）参加本次</w:t>
            </w:r>
            <w:r>
              <w:rPr>
                <w:rFonts w:hint="eastAsia" w:ascii="宋体" w:hAnsi="宋体" w:cs="宋体"/>
                <w:bCs/>
                <w:kern w:val="0"/>
                <w:sz w:val="21"/>
                <w:szCs w:val="21"/>
                <w:lang w:val="en-US" w:eastAsia="zh-CN"/>
              </w:rPr>
              <w:t>招标</w:t>
            </w:r>
            <w:r>
              <w:rPr>
                <w:rFonts w:hint="eastAsia" w:ascii="宋体" w:hAnsi="宋体" w:eastAsia="宋体" w:cs="宋体"/>
                <w:bCs/>
                <w:kern w:val="0"/>
                <w:sz w:val="21"/>
                <w:szCs w:val="21"/>
              </w:rPr>
              <w:t>前3年内，在经营活动中没有重大违法记录的书面声明</w:t>
            </w:r>
            <w:r>
              <w:rPr>
                <w:rFonts w:hint="eastAsia" w:ascii="宋体" w:hAnsi="宋体" w:eastAsia="宋体" w:cs="宋体"/>
                <w:bCs/>
                <w:kern w:val="0"/>
                <w:sz w:val="21"/>
                <w:szCs w:val="21"/>
                <w:lang w:eastAsia="zh-CN"/>
              </w:rPr>
              <w:t>；</w:t>
            </w:r>
          </w:p>
          <w:p w14:paraId="655FC08E">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p>
          <w:p w14:paraId="275FEB5E">
            <w:pPr>
              <w:pStyle w:val="40"/>
              <w:spacing w:line="240" w:lineRule="auto"/>
              <w:ind w:firstLine="420" w:firstLineChars="200"/>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w:t>
            </w:r>
            <w:r>
              <w:rPr>
                <w:rFonts w:hint="eastAsia" w:cs="宋体"/>
                <w:b w:val="0"/>
                <w:bCs/>
                <w:color w:val="000000" w:themeColor="text1"/>
                <w:kern w:val="2"/>
                <w:sz w:val="21"/>
                <w:szCs w:val="21"/>
                <w:highlight w:val="none"/>
                <w:lang w:val="zh-CN"/>
                <w14:textFill>
                  <w14:solidFill>
                    <w14:schemeClr w14:val="tx1"/>
                  </w14:solidFill>
                </w14:textFill>
              </w:rPr>
              <w:t>投标人</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的资格要求或者评审因素，不得在企业股权结构、经营年限等方面对中小企业实行差别待遇或者歧视待遇。</w:t>
            </w:r>
          </w:p>
        </w:tc>
      </w:tr>
      <w:tr w14:paraId="2571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restart"/>
            <w:vAlign w:val="center"/>
          </w:tcPr>
          <w:p w14:paraId="53E0CD67">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w:t>
            </w:r>
          </w:p>
        </w:tc>
        <w:tc>
          <w:tcPr>
            <w:tcW w:w="1494" w:type="dxa"/>
            <w:vMerge w:val="restart"/>
            <w:vAlign w:val="center"/>
          </w:tcPr>
          <w:p w14:paraId="6D985BA2">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是否允许</w:t>
            </w:r>
          </w:p>
          <w:p w14:paraId="457A6FC4">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进口产品</w:t>
            </w:r>
          </w:p>
        </w:tc>
        <w:tc>
          <w:tcPr>
            <w:tcW w:w="7067" w:type="dxa"/>
            <w:vAlign w:val="center"/>
          </w:tcPr>
          <w:p w14:paraId="50D7EA61">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○允许</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（须提供财政部门审核通过的复印件）</w:t>
            </w:r>
          </w:p>
          <w:p w14:paraId="2D781497">
            <w:pPr>
              <w:pStyle w:val="40"/>
              <w:spacing w:line="240" w:lineRule="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14:paraId="1F3C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continue"/>
            <w:vAlign w:val="center"/>
          </w:tcPr>
          <w:p w14:paraId="4138B44A">
            <w:pPr>
              <w:snapToGrid w:val="0"/>
              <w:spacing w:after="200" w:line="240" w:lineRule="auto"/>
              <w:ind w:left="142"/>
              <w:jc w:val="center"/>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1494" w:type="dxa"/>
            <w:vMerge w:val="continue"/>
            <w:vAlign w:val="center"/>
          </w:tcPr>
          <w:p w14:paraId="623BB1D9">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p>
        </w:tc>
        <w:tc>
          <w:tcPr>
            <w:tcW w:w="7067" w:type="dxa"/>
            <w:vAlign w:val="center"/>
          </w:tcPr>
          <w:p w14:paraId="07735A3D">
            <w:pPr>
              <w:pStyle w:val="40"/>
              <w:spacing w:line="240" w:lineRule="auto"/>
              <w:jc w:val="both"/>
              <w:rPr>
                <w:rFonts w:hint="eastAsia" w:ascii="宋体" w:hAnsi="宋体" w:eastAsia="宋体" w:cs="宋体"/>
                <w:b/>
                <w:bC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不允许</w:t>
            </w:r>
          </w:p>
          <w:p w14:paraId="1C17B3A2">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所投产品为进口产品时，将被视为无效投标。</w:t>
            </w:r>
          </w:p>
        </w:tc>
      </w:tr>
      <w:tr w14:paraId="79D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restart"/>
            <w:vAlign w:val="center"/>
          </w:tcPr>
          <w:p w14:paraId="452A4869">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w:t>
            </w:r>
          </w:p>
        </w:tc>
        <w:tc>
          <w:tcPr>
            <w:tcW w:w="1494" w:type="dxa"/>
            <w:vMerge w:val="restart"/>
            <w:vAlign w:val="center"/>
          </w:tcPr>
          <w:p w14:paraId="0378E22F">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是否接受</w:t>
            </w:r>
          </w:p>
          <w:p w14:paraId="766F8856">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联合体投标</w:t>
            </w:r>
          </w:p>
        </w:tc>
        <w:tc>
          <w:tcPr>
            <w:tcW w:w="7067" w:type="dxa"/>
            <w:vAlign w:val="center"/>
          </w:tcPr>
          <w:p w14:paraId="404F19F7">
            <w:pPr>
              <w:pStyle w:val="40"/>
              <w:spacing w:line="240" w:lineRule="auto"/>
              <w:jc w:val="both"/>
              <w:rPr>
                <w:rFonts w:hint="eastAsia" w:ascii="宋体" w:hAnsi="宋体" w:eastAsia="宋体" w:cs="宋体"/>
                <w:b/>
                <w:bC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接受</w:t>
            </w:r>
          </w:p>
          <w:p w14:paraId="088B09BC">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给予___%（2%-3%）的扣除</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，用扣除后的报价参加评审。</w:t>
            </w:r>
          </w:p>
        </w:tc>
      </w:tr>
      <w:tr w14:paraId="18B4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Merge w:val="continue"/>
            <w:vAlign w:val="center"/>
          </w:tcPr>
          <w:p w14:paraId="5943C92A">
            <w:pPr>
              <w:snapToGrid w:val="0"/>
              <w:spacing w:after="200" w:line="240" w:lineRule="auto"/>
              <w:ind w:left="142"/>
              <w:jc w:val="center"/>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1494" w:type="dxa"/>
            <w:vMerge w:val="continue"/>
            <w:vAlign w:val="center"/>
          </w:tcPr>
          <w:p w14:paraId="0ED0B6B5">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p>
        </w:tc>
        <w:tc>
          <w:tcPr>
            <w:tcW w:w="7067" w:type="dxa"/>
            <w:vAlign w:val="center"/>
          </w:tcPr>
          <w:p w14:paraId="3223BD15">
            <w:pPr>
              <w:pStyle w:val="40"/>
              <w:spacing w:line="240" w:lineRule="auto"/>
              <w:jc w:val="both"/>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2"/>
                <w:sz w:val="21"/>
                <w:szCs w:val="21"/>
                <w:highlight w:val="none"/>
                <w:lang w:val="zh-CN"/>
                <w14:textFill>
                  <w14:solidFill>
                    <w14:schemeClr w14:val="tx1"/>
                  </w14:solidFill>
                </w14:textFill>
              </w:rPr>
              <w:t>不接受</w:t>
            </w:r>
          </w:p>
        </w:tc>
      </w:tr>
      <w:tr w14:paraId="3146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44992629">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7</w:t>
            </w:r>
          </w:p>
        </w:tc>
        <w:tc>
          <w:tcPr>
            <w:tcW w:w="1494" w:type="dxa"/>
            <w:vAlign w:val="center"/>
          </w:tcPr>
          <w:p w14:paraId="4043A8B5">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履约保证金</w:t>
            </w:r>
          </w:p>
        </w:tc>
        <w:tc>
          <w:tcPr>
            <w:tcW w:w="7067" w:type="dxa"/>
            <w:vAlign w:val="center"/>
          </w:tcPr>
          <w:p w14:paraId="26A600B3">
            <w:pPr>
              <w:spacing w:line="240" w:lineRule="auto"/>
              <w:ind w:right="94" w:rightChars="45"/>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sz w:val="21"/>
                <w:szCs w:val="21"/>
              </w:rPr>
              <w:t>本项目不要求</w:t>
            </w:r>
          </w:p>
        </w:tc>
      </w:tr>
      <w:tr w14:paraId="6C4C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32628256">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8</w:t>
            </w:r>
          </w:p>
        </w:tc>
        <w:tc>
          <w:tcPr>
            <w:tcW w:w="1494" w:type="dxa"/>
            <w:vAlign w:val="center"/>
          </w:tcPr>
          <w:p w14:paraId="0AC31C7F">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现场踏勘和集中答疑</w:t>
            </w:r>
          </w:p>
        </w:tc>
        <w:tc>
          <w:tcPr>
            <w:tcW w:w="7067" w:type="dxa"/>
            <w:vAlign w:val="center"/>
          </w:tcPr>
          <w:p w14:paraId="52ED2EA8">
            <w:pPr>
              <w:spacing w:line="240" w:lineRule="auto"/>
              <w:ind w:right="94" w:rightChars="45"/>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○组织，集结地点为：_______________________</w:t>
            </w:r>
          </w:p>
          <w:p w14:paraId="42815CB4">
            <w:pPr>
              <w:spacing w:line="240" w:lineRule="auto"/>
              <w:ind w:right="94" w:rightChars="45"/>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14:textFill>
                  <w14:solidFill>
                    <w14:schemeClr w14:val="tx1"/>
                  </w14:solidFill>
                </w14:textFill>
              </w:rPr>
              <w:t>不组织</w:t>
            </w:r>
          </w:p>
        </w:tc>
      </w:tr>
      <w:tr w14:paraId="5D3A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0E77EB85">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9</w:t>
            </w:r>
          </w:p>
        </w:tc>
        <w:tc>
          <w:tcPr>
            <w:tcW w:w="1494" w:type="dxa"/>
            <w:vAlign w:val="center"/>
          </w:tcPr>
          <w:p w14:paraId="472ADAA7">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价格分比重</w:t>
            </w:r>
          </w:p>
        </w:tc>
        <w:tc>
          <w:tcPr>
            <w:tcW w:w="7067" w:type="dxa"/>
            <w:vAlign w:val="center"/>
          </w:tcPr>
          <w:p w14:paraId="62F3DD9D">
            <w:pPr>
              <w:widowControl/>
              <w:spacing w:line="240" w:lineRule="auto"/>
              <w:rPr>
                <w:rFonts w:hint="eastAsia" w:ascii="宋体" w:hAnsi="宋体" w:eastAsia="宋体" w:cs="宋体"/>
                <w:b w:val="0"/>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zh-CN"/>
                <w14:textFill>
                  <w14:solidFill>
                    <w14:schemeClr w14:val="tx1"/>
                  </w14:solidFill>
                </w14:textFill>
              </w:rPr>
              <w:t>占总分值的</w:t>
            </w:r>
            <w:r>
              <w:rPr>
                <w:rFonts w:hint="eastAsia" w:ascii="宋体" w:hAnsi="宋体" w:eastAsia="宋体" w:cs="宋体"/>
                <w:b w:val="0"/>
                <w:bCs/>
                <w:color w:val="000000" w:themeColor="text1"/>
                <w:kern w:val="0"/>
                <w:sz w:val="21"/>
                <w:szCs w:val="21"/>
                <w:highlight w:val="none"/>
                <w:u w:val="single"/>
                <w:lang w:val="zh-CN" w:eastAsia="zh-CN"/>
                <w14:textFill>
                  <w14:solidFill>
                    <w14:schemeClr w14:val="tx1"/>
                  </w14:solidFill>
                </w14:textFill>
              </w:rPr>
              <w:t xml:space="preserve"> 30 </w:t>
            </w:r>
            <w:r>
              <w:rPr>
                <w:rFonts w:hint="eastAsia" w:ascii="宋体" w:hAnsi="宋体" w:eastAsia="宋体" w:cs="宋体"/>
                <w:b w:val="0"/>
                <w:bCs/>
                <w:color w:val="000000" w:themeColor="text1"/>
                <w:kern w:val="0"/>
                <w:sz w:val="21"/>
                <w:szCs w:val="21"/>
                <w:highlight w:val="none"/>
                <w:lang w:val="zh-CN"/>
                <w14:textFill>
                  <w14:solidFill>
                    <w14:schemeClr w14:val="tx1"/>
                  </w14:solidFill>
                </w14:textFill>
              </w:rPr>
              <w:t>%</w:t>
            </w:r>
          </w:p>
          <w:p w14:paraId="5F418EF0">
            <w:pPr>
              <w:widowControl/>
              <w:spacing w:line="240" w:lineRule="auto"/>
              <w:rPr>
                <w:rFonts w:hint="eastAsia" w:ascii="宋体" w:hAnsi="宋体" w:eastAsia="宋体" w:cs="宋体"/>
                <w:b w:val="0"/>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zh-CN"/>
                <w14:textFill>
                  <w14:solidFill>
                    <w14:schemeClr w14:val="tx1"/>
                  </w14:solidFill>
                </w14:textFill>
              </w:rPr>
              <w:t>[招标]根据《政府采购货物和服务招标投标管理办法》（财政部87号令）的规定，综合评分法货物项目的价格分值占总分值的比重不得低于30%。执行国家统一定价标准和采用固定价格采购的项目，其价格不列为评审因素。</w:t>
            </w:r>
          </w:p>
        </w:tc>
      </w:tr>
      <w:tr w14:paraId="06A7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4E16D85C">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10</w:t>
            </w:r>
          </w:p>
        </w:tc>
        <w:tc>
          <w:tcPr>
            <w:tcW w:w="1494" w:type="dxa"/>
            <w:vAlign w:val="center"/>
          </w:tcPr>
          <w:p w14:paraId="752419D8">
            <w:pPr>
              <w:pStyle w:val="40"/>
              <w:spacing w:line="240" w:lineRule="auto"/>
              <w:ind w:left="96"/>
              <w:jc w:val="cente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合同类型</w:t>
            </w:r>
          </w:p>
        </w:tc>
        <w:tc>
          <w:tcPr>
            <w:tcW w:w="7067" w:type="dxa"/>
            <w:vAlign w:val="center"/>
          </w:tcPr>
          <w:p w14:paraId="397A968D">
            <w:pPr>
              <w:spacing w:line="240" w:lineRule="auto"/>
              <w:rPr>
                <w:rFonts w:hint="eastAsia" w:ascii="宋体" w:hAnsi="宋体" w:eastAsia="宋体" w:cs="宋体"/>
                <w:b/>
                <w:bCs w:val="0"/>
                <w:color w:val="000000" w:themeColor="text1"/>
                <w:sz w:val="21"/>
                <w:szCs w:val="21"/>
                <w:highlight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val="zh-CN"/>
                <w14:textFill>
                  <w14:solidFill>
                    <w14:schemeClr w14:val="tx1"/>
                  </w14:solidFill>
                </w14:textFill>
              </w:rPr>
              <w:t>固定总价</w:t>
            </w:r>
          </w:p>
          <w:p w14:paraId="7C5B03B9">
            <w:pPr>
              <w:spacing w:line="240" w:lineRule="auto"/>
              <w:rPr>
                <w:rFonts w:hint="eastAsia" w:ascii="宋体" w:hAnsi="宋体" w:eastAsia="宋体" w:cs="宋体"/>
                <w:b/>
                <w:bCs w:val="0"/>
                <w:color w:val="000000" w:themeColor="text1"/>
                <w:sz w:val="21"/>
                <w:szCs w:val="21"/>
                <w:highlight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○固定单价（适用于采购数量不定的情形）</w:t>
            </w:r>
          </w:p>
          <w:p w14:paraId="65E0BFE8">
            <w:pPr>
              <w:spacing w:line="240" w:lineRule="auto"/>
              <w:rPr>
                <w:rFonts w:hint="eastAsia" w:ascii="宋体" w:hAnsi="宋体" w:eastAsia="宋体" w:cs="宋体"/>
                <w:b w:val="0"/>
                <w:bCs/>
                <w:color w:val="000000" w:themeColor="text1"/>
                <w:sz w:val="21"/>
                <w:szCs w:val="21"/>
                <w:highlight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lang w:val="zh-CN"/>
                <w14:textFill>
                  <w14:solidFill>
                    <w14:schemeClr w14:val="tx1"/>
                  </w14:solidFill>
                </w14:textFill>
              </w:rPr>
              <w:t>○其他：</w:t>
            </w:r>
            <w:r>
              <w:rPr>
                <w:rFonts w:hint="eastAsia" w:ascii="宋体" w:hAnsi="宋体" w:eastAsia="宋体" w:cs="宋体"/>
                <w:b w:val="0"/>
                <w:bCs/>
                <w:color w:val="000000" w:themeColor="text1"/>
                <w:sz w:val="21"/>
                <w:szCs w:val="21"/>
                <w:highlight w:val="none"/>
                <w:lang w:val="zh-CN"/>
                <w14:textFill>
                  <w14:solidFill>
                    <w14:schemeClr w14:val="tx1"/>
                  </w14:solidFill>
                </w14:textFill>
              </w:rPr>
              <w:t>___________________________</w:t>
            </w:r>
          </w:p>
        </w:tc>
      </w:tr>
      <w:tr w14:paraId="6EE5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2478C1DB">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w:t>
            </w:r>
          </w:p>
        </w:tc>
        <w:tc>
          <w:tcPr>
            <w:tcW w:w="1494" w:type="dxa"/>
            <w:vAlign w:val="center"/>
          </w:tcPr>
          <w:p w14:paraId="3767D0B5">
            <w:pPr>
              <w:tabs>
                <w:tab w:val="left" w:pos="7665"/>
              </w:tabs>
              <w:snapToGrid w:val="0"/>
              <w:spacing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争议解决途径</w:t>
            </w:r>
          </w:p>
        </w:tc>
        <w:tc>
          <w:tcPr>
            <w:tcW w:w="7067" w:type="dxa"/>
            <w:vAlign w:val="center"/>
          </w:tcPr>
          <w:p w14:paraId="19752071">
            <w:pPr>
              <w:tabs>
                <w:tab w:val="left" w:pos="7665"/>
              </w:tabs>
              <w:snapToGrid w:val="0"/>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○向有管辖权的人民法院提起诉讼</w:t>
            </w:r>
          </w:p>
          <w:p w14:paraId="1BB325F0">
            <w:pPr>
              <w:tabs>
                <w:tab w:val="left" w:pos="7665"/>
              </w:tabs>
              <w:snapToGrid w:val="0"/>
              <w:spacing w:line="240" w:lineRule="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14:textFill>
                  <w14:solidFill>
                    <w14:schemeClr w14:val="tx1"/>
                  </w14:solidFill>
                </w14:textFill>
              </w:rPr>
              <w:t>向西安仲裁委员会提请仲裁</w:t>
            </w:r>
          </w:p>
          <w:p w14:paraId="36CF8693">
            <w:pPr>
              <w:tabs>
                <w:tab w:val="left" w:pos="7665"/>
              </w:tabs>
              <w:snapToGrid w:val="0"/>
              <w:spacing w:line="240" w:lineRule="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○由供应商做出选择</w:t>
            </w:r>
          </w:p>
        </w:tc>
      </w:tr>
      <w:tr w14:paraId="0F92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51" w:type="dxa"/>
            <w:vAlign w:val="center"/>
          </w:tcPr>
          <w:p w14:paraId="13B1995B">
            <w:pPr>
              <w:snapToGrid w:val="0"/>
              <w:spacing w:after="200"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12</w:t>
            </w:r>
          </w:p>
        </w:tc>
        <w:tc>
          <w:tcPr>
            <w:tcW w:w="1494" w:type="dxa"/>
            <w:vAlign w:val="center"/>
          </w:tcPr>
          <w:p w14:paraId="5197284A">
            <w:pPr>
              <w:snapToGrid w:val="0"/>
              <w:spacing w:line="240" w:lineRule="auto"/>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联系方式</w:t>
            </w:r>
          </w:p>
        </w:tc>
        <w:tc>
          <w:tcPr>
            <w:tcW w:w="7067" w:type="dxa"/>
            <w:vAlign w:val="center"/>
          </w:tcPr>
          <w:p w14:paraId="090ABCC0">
            <w:pPr>
              <w:tabs>
                <w:tab w:val="left" w:pos="7665"/>
              </w:tabs>
              <w:snapToGrid w:val="0"/>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项目对接人：</w:t>
            </w:r>
            <w:r>
              <w:rPr>
                <w:rFonts w:hint="eastAsia" w:ascii="宋体" w:hAnsi="宋体" w:cs="宋体"/>
                <w:b w:val="0"/>
                <w:bCs/>
                <w:color w:val="000000" w:themeColor="text1"/>
                <w:sz w:val="21"/>
                <w:szCs w:val="21"/>
                <w:highlight w:val="none"/>
                <w:u w:val="single"/>
                <w:lang w:val="en-US" w:eastAsia="zh-CN"/>
                <w14:textFill>
                  <w14:solidFill>
                    <w14:schemeClr w14:val="tx1"/>
                  </w14:solidFill>
                </w14:textFill>
              </w:rPr>
              <w:t xml:space="preserve">  马佳    </w:t>
            </w:r>
          </w:p>
          <w:p w14:paraId="5773E21A">
            <w:pPr>
              <w:tabs>
                <w:tab w:val="left" w:pos="7665"/>
              </w:tabs>
              <w:snapToGrid w:val="0"/>
              <w:rPr>
                <w:rFonts w:hint="default" w:ascii="宋体" w:hAnsi="宋体" w:eastAsia="宋体" w:cs="宋体"/>
                <w:b w:val="0"/>
                <w:bCs/>
                <w:color w:val="000000" w:themeColor="text1"/>
                <w:sz w:val="21"/>
                <w:szCs w:val="21"/>
                <w:highlight w:val="yellow"/>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联系电话：</w:t>
            </w:r>
            <w:r>
              <w:rPr>
                <w:rFonts w:hint="eastAsia" w:ascii="宋体" w:hAnsi="宋体" w:cs="宋体"/>
                <w:color w:val="auto"/>
                <w:kern w:val="0"/>
                <w:sz w:val="21"/>
                <w:szCs w:val="21"/>
                <w:highlight w:val="none"/>
                <w:u w:val="single"/>
                <w:lang w:val="en-US" w:eastAsia="zh-CN"/>
              </w:rPr>
              <w:t>029-62520419</w:t>
            </w:r>
          </w:p>
          <w:p w14:paraId="4A48C1F9">
            <w:pPr>
              <w:tabs>
                <w:tab w:val="left" w:pos="7665"/>
              </w:tabs>
              <w:snapToGrid w:val="0"/>
              <w:spacing w:line="240" w:lineRule="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电子邮箱：</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1"/>
                <w:szCs w:val="21"/>
                <w:highlight w:val="none"/>
                <w:u w:val="single"/>
                <w:lang w:val="en-US" w:eastAsia="zh-CN"/>
                <w14:textFill>
                  <w14:solidFill>
                    <w14:schemeClr w14:val="tx1"/>
                  </w14:solidFill>
                </w14:textFill>
              </w:rPr>
              <w:t xml:space="preserve"> </w:t>
            </w:r>
          </w:p>
        </w:tc>
      </w:tr>
    </w:tbl>
    <w:p w14:paraId="0F5F0CE5">
      <w:pPr>
        <w:widowControl/>
        <w:spacing w:line="360" w:lineRule="auto"/>
        <w:ind w:firstLine="1687" w:firstLineChars="800"/>
        <w:jc w:val="left"/>
        <w:rPr>
          <w:rFonts w:hint="eastAsia" w:ascii="宋体" w:hAnsi="宋体" w:eastAsia="宋体" w:cs="宋体"/>
          <w:b/>
          <w:sz w:val="21"/>
          <w:szCs w:val="21"/>
          <w:highlight w:val="none"/>
        </w:rPr>
      </w:pPr>
    </w:p>
    <w:p w14:paraId="20C330D3">
      <w:pPr>
        <w:widowControl/>
        <w:spacing w:line="360" w:lineRule="auto"/>
        <w:jc w:val="center"/>
        <w:rPr>
          <w:rFonts w:hint="eastAsia" w:ascii="宋体" w:hAnsi="宋体" w:eastAsia="宋体" w:cs="宋体"/>
          <w:b/>
          <w:sz w:val="21"/>
          <w:szCs w:val="21"/>
          <w:highlight w:val="none"/>
        </w:rPr>
      </w:pPr>
    </w:p>
    <w:p w14:paraId="1B4EF575">
      <w:pPr>
        <w:widowControl/>
        <w:spacing w:line="360" w:lineRule="auto"/>
        <w:jc w:val="center"/>
        <w:rPr>
          <w:rFonts w:hint="eastAsia" w:ascii="宋体" w:hAnsi="宋体" w:eastAsia="宋体" w:cs="宋体"/>
          <w:b/>
          <w:sz w:val="21"/>
          <w:szCs w:val="21"/>
          <w:highlight w:val="none"/>
        </w:rPr>
      </w:pPr>
    </w:p>
    <w:p w14:paraId="3B321FE2">
      <w:pPr>
        <w:widowControl/>
        <w:spacing w:line="360" w:lineRule="auto"/>
        <w:jc w:val="center"/>
        <w:rPr>
          <w:rFonts w:hint="eastAsia" w:ascii="宋体" w:hAnsi="宋体" w:eastAsia="宋体" w:cs="宋体"/>
          <w:b/>
          <w:sz w:val="21"/>
          <w:szCs w:val="21"/>
          <w:highlight w:val="none"/>
        </w:rPr>
      </w:pPr>
    </w:p>
    <w:p w14:paraId="18EA5A86">
      <w:pPr>
        <w:pStyle w:val="2"/>
        <w:rPr>
          <w:rFonts w:hint="eastAsia" w:ascii="宋体" w:hAnsi="宋体" w:eastAsia="宋体" w:cs="宋体"/>
          <w:b/>
          <w:sz w:val="21"/>
          <w:szCs w:val="21"/>
          <w:highlight w:val="none"/>
        </w:rPr>
      </w:pPr>
    </w:p>
    <w:p w14:paraId="5975CBA0">
      <w:pPr>
        <w:rPr>
          <w:rFonts w:hint="eastAsia" w:ascii="宋体" w:hAnsi="宋体" w:eastAsia="宋体" w:cs="宋体"/>
          <w:b/>
          <w:sz w:val="21"/>
          <w:szCs w:val="21"/>
          <w:highlight w:val="none"/>
        </w:rPr>
      </w:pPr>
    </w:p>
    <w:p w14:paraId="4E8E5442">
      <w:pPr>
        <w:pStyle w:val="2"/>
        <w:rPr>
          <w:rFonts w:hint="eastAsia" w:ascii="宋体" w:hAnsi="宋体" w:eastAsia="宋体" w:cs="宋体"/>
          <w:b/>
          <w:sz w:val="21"/>
          <w:szCs w:val="21"/>
          <w:highlight w:val="none"/>
        </w:rPr>
      </w:pPr>
    </w:p>
    <w:p w14:paraId="78BE2E0B">
      <w:pPr>
        <w:rPr>
          <w:rFonts w:hint="eastAsia" w:ascii="宋体" w:hAnsi="宋体" w:eastAsia="宋体" w:cs="宋体"/>
          <w:b/>
          <w:sz w:val="21"/>
          <w:szCs w:val="21"/>
          <w:highlight w:val="none"/>
        </w:rPr>
      </w:pPr>
    </w:p>
    <w:p w14:paraId="1A38DC6E">
      <w:pPr>
        <w:pStyle w:val="2"/>
        <w:rPr>
          <w:rFonts w:hint="eastAsia" w:ascii="宋体" w:hAnsi="宋体" w:eastAsia="宋体" w:cs="宋体"/>
          <w:b/>
          <w:sz w:val="21"/>
          <w:szCs w:val="21"/>
          <w:highlight w:val="none"/>
        </w:rPr>
      </w:pPr>
    </w:p>
    <w:p w14:paraId="07205835">
      <w:pPr>
        <w:pStyle w:val="2"/>
        <w:rPr>
          <w:rFonts w:hint="eastAsia" w:ascii="宋体" w:hAnsi="宋体" w:eastAsia="宋体" w:cs="宋体"/>
          <w:b/>
          <w:sz w:val="21"/>
          <w:szCs w:val="21"/>
          <w:highlight w:val="none"/>
        </w:rPr>
      </w:pPr>
    </w:p>
    <w:p w14:paraId="73B15258">
      <w:pPr>
        <w:pStyle w:val="11"/>
        <w:jc w:val="center"/>
        <w:rPr>
          <w:rFonts w:hint="eastAsia"/>
          <w:b/>
          <w:bCs/>
          <w:sz w:val="32"/>
          <w:szCs w:val="32"/>
          <w:highlight w:val="none"/>
          <w:lang w:val="en-US" w:eastAsia="zh-CN"/>
        </w:rPr>
      </w:pPr>
      <w:r>
        <w:rPr>
          <w:rFonts w:hint="eastAsia"/>
          <w:b/>
          <w:bCs/>
          <w:sz w:val="32"/>
          <w:szCs w:val="32"/>
          <w:highlight w:val="none"/>
          <w:lang w:val="en-US" w:eastAsia="zh-CN"/>
        </w:rPr>
        <w:t>需求框架（货物类）</w:t>
      </w:r>
    </w:p>
    <w:p w14:paraId="0F99B60E">
      <w:pPr>
        <w:pStyle w:val="3"/>
        <w:spacing w:before="240" w:beforeLines="100" w:after="0" w:line="360" w:lineRule="auto"/>
        <w:rPr>
          <w:rFonts w:hint="eastAsia" w:ascii="黑体" w:hAnsi="黑体"/>
          <w:b/>
          <w:bCs w:val="0"/>
          <w:sz w:val="32"/>
          <w:szCs w:val="32"/>
        </w:rPr>
      </w:pPr>
      <w:bookmarkStart w:id="0" w:name="_Toc217446094"/>
      <w:r>
        <w:rPr>
          <w:rFonts w:hint="eastAsia" w:ascii="黑体" w:hAnsi="黑体"/>
          <w:b/>
          <w:bCs w:val="0"/>
          <w:sz w:val="32"/>
          <w:szCs w:val="32"/>
        </w:rPr>
        <w:t>1.项目概况及总体要求</w:t>
      </w:r>
    </w:p>
    <w:p w14:paraId="671CDD33">
      <w:pPr>
        <w:pStyle w:val="4"/>
        <w:spacing w:line="360" w:lineRule="auto"/>
        <w:ind w:firstLine="625" w:firstLineChars="298"/>
        <w:rPr>
          <w:rFonts w:hint="eastAsia" w:ascii="宋体" w:hAnsi="宋体" w:eastAsia="宋体" w:cs="Times New Roman"/>
          <w:bCs/>
          <w:szCs w:val="21"/>
        </w:rPr>
      </w:pPr>
      <w:r>
        <w:rPr>
          <w:rFonts w:hint="eastAsia" w:ascii="宋体" w:hAnsi="宋体" w:eastAsia="宋体" w:cs="Times New Roman"/>
          <w:bCs/>
          <w:szCs w:val="21"/>
        </w:rPr>
        <w:t>随着城市规模的扩大和人口的增加，对厨余垃圾清运的需求也相应增加，采购新的</w:t>
      </w:r>
      <w:r>
        <w:rPr>
          <w:rFonts w:hint="eastAsia" w:ascii="宋体" w:hAnsi="宋体" w:eastAsia="宋体" w:cs="Times New Roman"/>
          <w:bCs/>
          <w:szCs w:val="21"/>
          <w:lang w:eastAsia="zh-CN"/>
        </w:rPr>
        <w:t>电动厨余垃圾</w:t>
      </w:r>
      <w:r>
        <w:rPr>
          <w:rFonts w:hint="eastAsia" w:ascii="宋体" w:hAnsi="宋体" w:eastAsia="宋体" w:cs="Times New Roman"/>
          <w:bCs/>
          <w:szCs w:val="21"/>
        </w:rPr>
        <w:t>清运车</w:t>
      </w:r>
      <w:r>
        <w:rPr>
          <w:rFonts w:hint="eastAsia" w:ascii="宋体" w:hAnsi="宋体" w:eastAsia="宋体" w:cs="Times New Roman"/>
          <w:bCs/>
          <w:szCs w:val="21"/>
          <w:lang w:eastAsia="zh-CN"/>
        </w:rPr>
        <w:t>可以</w:t>
      </w:r>
      <w:r>
        <w:rPr>
          <w:rFonts w:hint="eastAsia" w:ascii="宋体" w:hAnsi="宋体" w:eastAsia="宋体" w:cs="Times New Roman"/>
          <w:bCs/>
          <w:szCs w:val="21"/>
        </w:rPr>
        <w:t>满足不断增长的垃圾处理需求</w:t>
      </w:r>
      <w:r>
        <w:rPr>
          <w:rFonts w:hint="eastAsia" w:ascii="宋体" w:hAnsi="宋体" w:eastAsia="宋体" w:cs="Times New Roman"/>
          <w:bCs/>
          <w:szCs w:val="21"/>
          <w:lang w:eastAsia="zh-CN"/>
        </w:rPr>
        <w:t>，</w:t>
      </w:r>
      <w:r>
        <w:rPr>
          <w:rFonts w:hint="eastAsia" w:ascii="宋体" w:hAnsi="宋体" w:eastAsia="宋体" w:cs="Times New Roman"/>
          <w:bCs/>
          <w:szCs w:val="21"/>
        </w:rPr>
        <w:t>提高</w:t>
      </w:r>
      <w:r>
        <w:rPr>
          <w:rFonts w:hint="eastAsia" w:ascii="宋体" w:hAnsi="宋体" w:eastAsia="宋体" w:cs="Times New Roman"/>
          <w:bCs/>
          <w:szCs w:val="21"/>
          <w:lang w:eastAsia="zh-CN"/>
        </w:rPr>
        <w:t>厨余</w:t>
      </w:r>
      <w:r>
        <w:rPr>
          <w:rFonts w:hint="eastAsia" w:ascii="宋体" w:hAnsi="宋体" w:eastAsia="宋体" w:cs="Times New Roman"/>
          <w:bCs/>
          <w:szCs w:val="21"/>
        </w:rPr>
        <w:t>垃圾</w:t>
      </w:r>
      <w:r>
        <w:rPr>
          <w:rFonts w:hint="eastAsia" w:ascii="宋体" w:hAnsi="宋体" w:eastAsia="宋体" w:cs="Times New Roman"/>
          <w:bCs/>
          <w:szCs w:val="21"/>
          <w:lang w:eastAsia="zh-CN"/>
        </w:rPr>
        <w:t>清运能力</w:t>
      </w:r>
      <w:r>
        <w:rPr>
          <w:rFonts w:hint="eastAsia" w:ascii="宋体" w:hAnsi="宋体" w:eastAsia="宋体" w:cs="Times New Roman"/>
          <w:bCs/>
          <w:szCs w:val="21"/>
        </w:rPr>
        <w:t>。本项目所属行业为工业。</w:t>
      </w:r>
    </w:p>
    <w:bookmarkEnd w:id="0"/>
    <w:p w14:paraId="5EA21787">
      <w:pPr>
        <w:pStyle w:val="3"/>
        <w:keepNext/>
        <w:keepLines/>
        <w:pageBreakBefore w:val="0"/>
        <w:widowControl w:val="0"/>
        <w:kinsoku/>
        <w:wordWrap/>
        <w:overflowPunct/>
        <w:topLinePunct w:val="0"/>
        <w:autoSpaceDE/>
        <w:autoSpaceDN/>
        <w:bidi w:val="0"/>
        <w:adjustRightInd/>
        <w:snapToGrid/>
        <w:spacing w:before="120" w:beforeLines="50" w:after="0" w:line="360" w:lineRule="auto"/>
        <w:textAlignment w:val="auto"/>
        <w:rPr>
          <w:rFonts w:hint="eastAsia" w:ascii="黑体" w:hAnsi="黑体"/>
          <w:b/>
          <w:bCs w:val="0"/>
          <w:sz w:val="32"/>
          <w:szCs w:val="32"/>
        </w:rPr>
      </w:pPr>
      <w:r>
        <w:rPr>
          <w:rFonts w:hint="eastAsia" w:ascii="黑体" w:hAnsi="黑体"/>
          <w:b/>
          <w:bCs w:val="0"/>
          <w:sz w:val="32"/>
          <w:szCs w:val="32"/>
        </w:rPr>
        <w:t>2.采购内容</w:t>
      </w:r>
    </w:p>
    <w:p w14:paraId="58268F01">
      <w:pPr>
        <w:keepNext w:val="0"/>
        <w:keepLines w:val="0"/>
        <w:pageBreakBefore w:val="0"/>
        <w:widowControl/>
        <w:kinsoku/>
        <w:wordWrap/>
        <w:overflowPunct/>
        <w:topLinePunct w:val="0"/>
        <w:autoSpaceDE w:val="0"/>
        <w:autoSpaceDN w:val="0"/>
        <w:bidi w:val="0"/>
        <w:adjustRightInd/>
        <w:snapToGrid/>
        <w:spacing w:after="120" w:afterLines="50" w:line="360" w:lineRule="auto"/>
        <w:ind w:right="51"/>
        <w:textAlignment w:val="bottom"/>
        <w:outlineLvl w:val="9"/>
        <w:rPr>
          <w:rFonts w:hint="eastAsia" w:ascii="宋体" w:hAnsi="宋体"/>
          <w:b/>
          <w:sz w:val="30"/>
          <w:szCs w:val="30"/>
        </w:rPr>
      </w:pPr>
      <w:r>
        <w:rPr>
          <w:rFonts w:hint="eastAsia" w:ascii="宋体" w:hAnsi="宋体"/>
          <w:b/>
          <w:sz w:val="30"/>
          <w:szCs w:val="30"/>
        </w:rPr>
        <w:t>2.1 技术要求</w:t>
      </w:r>
    </w:p>
    <w:p w14:paraId="74146CCF">
      <w:pPr>
        <w:keepNext/>
        <w:keepLines/>
        <w:spacing w:line="360" w:lineRule="auto"/>
        <w:ind w:firstLine="422" w:firstLineChars="200"/>
        <w:rPr>
          <w:rFonts w:hint="eastAsia" w:ascii="宋体" w:hAnsi="宋体"/>
          <w:b/>
          <w:szCs w:val="21"/>
        </w:rPr>
      </w:pPr>
      <w:r>
        <w:rPr>
          <w:rFonts w:hint="eastAsia" w:ascii="宋体" w:hAnsi="宋体"/>
          <w:b/>
          <w:szCs w:val="21"/>
        </w:rPr>
        <w:t>2.1.1</w:t>
      </w:r>
      <w:r>
        <w:rPr>
          <w:rFonts w:hint="eastAsia" w:ascii="宋体" w:hAnsi="宋体"/>
          <w:b/>
          <w:szCs w:val="21"/>
          <w:lang w:val="en-US" w:eastAsia="zh-CN"/>
        </w:rPr>
        <w:t xml:space="preserve"> </w:t>
      </w:r>
      <w:r>
        <w:rPr>
          <w:rFonts w:hint="eastAsia" w:ascii="宋体" w:hAnsi="宋体"/>
          <w:b/>
          <w:szCs w:val="21"/>
        </w:rPr>
        <w:t>带有★号的技术参数为实质性条款不得有偏差。带有▲号的参数为重要参数，不满足的将影响技术响应得分。其余参数为一般参数。</w:t>
      </w:r>
    </w:p>
    <w:p w14:paraId="6EA1F994">
      <w:pPr>
        <w:keepNext/>
        <w:keepLines/>
        <w:spacing w:line="360" w:lineRule="auto"/>
        <w:ind w:firstLine="422" w:firstLineChars="200"/>
        <w:rPr>
          <w:rFonts w:hint="eastAsia" w:ascii="宋体" w:hAnsi="宋体"/>
          <w:b/>
          <w:szCs w:val="21"/>
          <w:u w:val="single"/>
        </w:rPr>
      </w:pPr>
      <w:r>
        <w:rPr>
          <w:rFonts w:hint="eastAsia" w:ascii="宋体" w:hAnsi="宋体"/>
          <w:b/>
          <w:szCs w:val="21"/>
        </w:rPr>
        <w:t xml:space="preserve">2.1.2 </w:t>
      </w:r>
      <w:r>
        <w:rPr>
          <w:b/>
          <w:szCs w:val="21"/>
        </w:rPr>
        <w:t>核心产品名称</w:t>
      </w:r>
      <w:r>
        <w:rPr>
          <w:rFonts w:hint="eastAsia"/>
          <w:b/>
          <w:szCs w:val="21"/>
        </w:rPr>
        <w:t>：</w:t>
      </w:r>
      <w:r>
        <w:rPr>
          <w:rFonts w:hint="eastAsia" w:ascii="宋体" w:hAnsi="宋体"/>
          <w:b/>
          <w:szCs w:val="21"/>
          <w:u w:val="single"/>
        </w:rPr>
        <w:t xml:space="preserve"> </w:t>
      </w:r>
      <w:r>
        <w:rPr>
          <w:rFonts w:hint="eastAsia" w:ascii="宋体" w:hAnsi="宋体" w:eastAsia="宋体" w:cs="Times New Roman"/>
          <w:bCs/>
          <w:kern w:val="2"/>
          <w:sz w:val="21"/>
          <w:szCs w:val="21"/>
          <w:u w:val="single"/>
          <w:lang w:val="en-US" w:eastAsia="zh-CN" w:bidi="ar-SA"/>
        </w:rPr>
        <w:t>12吨纯电动餐厨垃圾车</w:t>
      </w:r>
      <w:r>
        <w:rPr>
          <w:rFonts w:hint="eastAsia" w:ascii="宋体" w:hAnsi="宋体"/>
          <w:b/>
          <w:szCs w:val="21"/>
          <w:u w:val="single"/>
        </w:rPr>
        <w:t xml:space="preserve"> </w:t>
      </w:r>
      <w:r>
        <w:rPr>
          <w:rFonts w:hint="eastAsia" w:ascii="宋体" w:hAnsi="宋体"/>
          <w:b/>
          <w:szCs w:val="21"/>
        </w:rPr>
        <w:t>。</w:t>
      </w:r>
    </w:p>
    <w:p w14:paraId="6E3A20DE">
      <w:pPr>
        <w:spacing w:line="360" w:lineRule="auto"/>
        <w:ind w:firstLine="422" w:firstLineChars="200"/>
        <w:rPr>
          <w:rFonts w:ascii="宋体" w:hAnsi="宋体"/>
          <w:b/>
          <w:szCs w:val="21"/>
        </w:rPr>
      </w:pPr>
      <w:r>
        <w:rPr>
          <w:rFonts w:hint="eastAsia" w:ascii="宋体" w:hAnsi="宋体"/>
          <w:b/>
          <w:szCs w:val="21"/>
        </w:rPr>
        <w:t>2.1.3 下列产品为</w:t>
      </w:r>
      <w:r>
        <w:rPr>
          <w:rFonts w:hint="eastAsia" w:ascii="宋体" w:hAnsi="宋体"/>
          <w:b/>
          <w:szCs w:val="21"/>
          <w:highlight w:val="none"/>
        </w:rPr>
        <w:t>强制采购的节能产品（</w:t>
      </w:r>
      <w:r>
        <w:rPr>
          <w:rFonts w:hint="eastAsia" w:ascii="宋体" w:hAnsi="宋体"/>
          <w:b/>
          <w:szCs w:val="21"/>
        </w:rPr>
        <w:t>如有）：</w:t>
      </w:r>
      <w:r>
        <w:rPr>
          <w:rFonts w:hint="eastAsia" w:ascii="宋体" w:hAnsi="宋体"/>
          <w:b/>
          <w:szCs w:val="21"/>
          <w:u w:val="single"/>
        </w:rPr>
        <w:t xml:space="preserve">     </w:t>
      </w:r>
      <w:r>
        <w:rPr>
          <w:rFonts w:hint="eastAsia" w:ascii="宋体" w:hAnsi="宋体"/>
          <w:b/>
          <w:szCs w:val="21"/>
          <w:u w:val="single"/>
          <w:lang w:val="en-US" w:eastAsia="zh-CN"/>
        </w:rPr>
        <w:t>/</w:t>
      </w:r>
      <w:r>
        <w:rPr>
          <w:rFonts w:hint="eastAsia" w:ascii="宋体" w:hAnsi="宋体"/>
          <w:b/>
          <w:szCs w:val="21"/>
          <w:u w:val="single"/>
        </w:rPr>
        <w:t xml:space="preserve">     </w:t>
      </w:r>
      <w:r>
        <w:rPr>
          <w:rFonts w:hint="eastAsia" w:ascii="宋体" w:hAnsi="宋体"/>
          <w:b/>
          <w:szCs w:val="21"/>
        </w:rPr>
        <w:t>。</w:t>
      </w:r>
    </w:p>
    <w:p w14:paraId="51E4EA7A">
      <w:pPr>
        <w:spacing w:line="360" w:lineRule="auto"/>
        <w:ind w:firstLine="422" w:firstLineChars="200"/>
        <w:rPr>
          <w:rFonts w:hint="eastAsia" w:ascii="宋体" w:hAnsi="宋体"/>
          <w:b/>
          <w:szCs w:val="21"/>
        </w:rPr>
      </w:pPr>
      <w:r>
        <w:rPr>
          <w:rFonts w:hint="eastAsia" w:ascii="宋体" w:hAnsi="宋体"/>
          <w:b/>
          <w:szCs w:val="21"/>
        </w:rPr>
        <w:t>2.1.4 货物技术要求</w:t>
      </w:r>
    </w:p>
    <w:p w14:paraId="20A8F6A6">
      <w:pPr>
        <w:pStyle w:val="2"/>
        <w:rPr>
          <w:rFonts w:hint="eastAsia"/>
          <w:b w:val="0"/>
          <w:bCs w:val="0"/>
          <w:lang w:val="en-US" w:eastAsia="zh-CN"/>
        </w:rPr>
      </w:pPr>
      <w:r>
        <w:rPr>
          <w:rFonts w:hint="eastAsia"/>
          <w:b w:val="0"/>
          <w:bCs w:val="0"/>
          <w:lang w:val="en-US" w:eastAsia="zh-CN"/>
        </w:rPr>
        <w:t>（一）、主要技术参数要求：</w:t>
      </w:r>
    </w:p>
    <w:p w14:paraId="3BE61877">
      <w:pPr>
        <w:pStyle w:val="2"/>
        <w:rPr>
          <w:rFonts w:hint="eastAsia"/>
          <w:b w:val="0"/>
          <w:bCs w:val="0"/>
          <w:lang w:val="en-US" w:eastAsia="zh-CN"/>
        </w:rPr>
      </w:pPr>
      <w:r>
        <w:rPr>
          <w:rFonts w:hint="eastAsia"/>
          <w:b w:val="0"/>
          <w:bCs w:val="0"/>
          <w:lang w:val="en-US" w:eastAsia="zh-CN"/>
        </w:rPr>
        <w:t>1. 车辆底盘:采用国内</w:t>
      </w:r>
      <w:r>
        <w:rPr>
          <w:rFonts w:hint="eastAsia"/>
          <w:b w:val="0"/>
          <w:bCs w:val="0"/>
          <w:highlight w:val="none"/>
          <w:lang w:val="en-US" w:eastAsia="zh-CN"/>
        </w:rPr>
        <w:t>纯电</w:t>
      </w:r>
      <w:r>
        <w:rPr>
          <w:rFonts w:hint="eastAsia"/>
          <w:b w:val="0"/>
          <w:bCs w:val="0"/>
          <w:lang w:val="en-US" w:eastAsia="zh-CN"/>
        </w:rPr>
        <w:t>动二类载货底盘；</w:t>
      </w:r>
    </w:p>
    <w:p w14:paraId="0FA215D5">
      <w:pPr>
        <w:pStyle w:val="2"/>
        <w:rPr>
          <w:rFonts w:hint="eastAsia"/>
          <w:b w:val="0"/>
          <w:bCs w:val="0"/>
          <w:lang w:val="en-US" w:eastAsia="zh-CN"/>
        </w:rPr>
      </w:pPr>
      <w:r>
        <w:rPr>
          <w:rFonts w:hint="eastAsia" w:ascii="宋体" w:hAnsi="宋体"/>
          <w:b/>
          <w:szCs w:val="21"/>
        </w:rPr>
        <w:t>▲</w:t>
      </w:r>
      <w:r>
        <w:rPr>
          <w:rFonts w:hint="eastAsia"/>
          <w:b w:val="0"/>
          <w:bCs w:val="0"/>
          <w:lang w:val="en-US" w:eastAsia="zh-CN"/>
        </w:rPr>
        <w:t>2. 长：≥6300（mm）</w:t>
      </w:r>
    </w:p>
    <w:p w14:paraId="5B7D0A6E">
      <w:pPr>
        <w:pStyle w:val="2"/>
        <w:rPr>
          <w:rFonts w:hint="eastAsia"/>
          <w:b w:val="0"/>
          <w:bCs w:val="0"/>
          <w:lang w:val="en-US" w:eastAsia="zh-CN"/>
        </w:rPr>
      </w:pPr>
      <w:r>
        <w:rPr>
          <w:rFonts w:hint="eastAsia" w:ascii="宋体" w:hAnsi="宋体"/>
          <w:b/>
          <w:szCs w:val="21"/>
        </w:rPr>
        <w:t>▲</w:t>
      </w:r>
      <w:r>
        <w:rPr>
          <w:rFonts w:hint="eastAsia"/>
          <w:b w:val="0"/>
          <w:bCs w:val="0"/>
          <w:lang w:val="en-US" w:eastAsia="zh-CN"/>
        </w:rPr>
        <w:t xml:space="preserve">3. 宽：≥2500（mm） </w:t>
      </w:r>
    </w:p>
    <w:p w14:paraId="3CCD8DC9">
      <w:pPr>
        <w:pStyle w:val="2"/>
        <w:rPr>
          <w:rFonts w:hint="eastAsia"/>
          <w:b w:val="0"/>
          <w:bCs w:val="0"/>
          <w:lang w:val="en-US" w:eastAsia="zh-CN"/>
        </w:rPr>
      </w:pPr>
      <w:r>
        <w:rPr>
          <w:rFonts w:hint="eastAsia" w:ascii="宋体" w:hAnsi="宋体"/>
          <w:b/>
          <w:szCs w:val="21"/>
        </w:rPr>
        <w:t>▲</w:t>
      </w:r>
      <w:r>
        <w:rPr>
          <w:rFonts w:hint="eastAsia"/>
          <w:b w:val="0"/>
          <w:bCs w:val="0"/>
          <w:lang w:val="en-US" w:eastAsia="zh-CN"/>
        </w:rPr>
        <w:t>4. 高：≥2700（mm）；</w:t>
      </w:r>
    </w:p>
    <w:p w14:paraId="0184F679">
      <w:pPr>
        <w:pStyle w:val="2"/>
        <w:rPr>
          <w:rFonts w:hint="eastAsia"/>
          <w:b w:val="0"/>
          <w:bCs w:val="0"/>
          <w:lang w:val="en-US" w:eastAsia="zh-CN"/>
        </w:rPr>
      </w:pPr>
      <w:r>
        <w:rPr>
          <w:rFonts w:hint="eastAsia"/>
          <w:b w:val="0"/>
          <w:bCs w:val="0"/>
          <w:lang w:val="en-US" w:eastAsia="zh-CN"/>
        </w:rPr>
        <w:t>5. 车辆总质量：≥12000 kg</w:t>
      </w:r>
    </w:p>
    <w:p w14:paraId="1A8834BB">
      <w:pPr>
        <w:pStyle w:val="2"/>
        <w:rPr>
          <w:rFonts w:hint="eastAsia"/>
          <w:b w:val="0"/>
          <w:bCs w:val="0"/>
          <w:lang w:val="en-US" w:eastAsia="zh-CN"/>
        </w:rPr>
      </w:pPr>
      <w:r>
        <w:rPr>
          <w:rFonts w:hint="eastAsia"/>
          <w:b w:val="0"/>
          <w:bCs w:val="0"/>
          <w:lang w:val="en-US" w:eastAsia="zh-CN"/>
        </w:rPr>
        <w:t>6. 车辆额定载质量：≥4200 kg</w:t>
      </w:r>
    </w:p>
    <w:p w14:paraId="0B445A00">
      <w:pPr>
        <w:pStyle w:val="2"/>
        <w:rPr>
          <w:rFonts w:hint="eastAsia"/>
          <w:b w:val="0"/>
          <w:bCs w:val="0"/>
          <w:lang w:val="en-US" w:eastAsia="zh-CN"/>
        </w:rPr>
      </w:pPr>
      <w:r>
        <w:rPr>
          <w:rFonts w:hint="eastAsia" w:ascii="宋体" w:hAnsi="宋体"/>
          <w:b/>
          <w:szCs w:val="21"/>
        </w:rPr>
        <w:t>▲</w:t>
      </w:r>
      <w:r>
        <w:rPr>
          <w:rFonts w:hint="eastAsia"/>
          <w:b w:val="0"/>
          <w:bCs w:val="0"/>
          <w:lang w:val="en-US" w:eastAsia="zh-CN"/>
        </w:rPr>
        <w:t>7. 车辆轴距：≤3800 mm</w:t>
      </w:r>
    </w:p>
    <w:p w14:paraId="58D810BF">
      <w:pPr>
        <w:pStyle w:val="2"/>
        <w:rPr>
          <w:rFonts w:hint="eastAsia"/>
          <w:b w:val="0"/>
          <w:bCs w:val="0"/>
          <w:highlight w:val="none"/>
          <w:lang w:val="en-US" w:eastAsia="zh-CN"/>
        </w:rPr>
      </w:pPr>
      <w:r>
        <w:rPr>
          <w:rFonts w:hint="eastAsia" w:ascii="宋体" w:hAnsi="宋体"/>
          <w:b/>
          <w:szCs w:val="21"/>
        </w:rPr>
        <w:t>★</w:t>
      </w:r>
      <w:r>
        <w:rPr>
          <w:rFonts w:hint="eastAsia"/>
          <w:b w:val="0"/>
          <w:bCs w:val="0"/>
          <w:highlight w:val="none"/>
          <w:lang w:val="en-US" w:eastAsia="zh-CN"/>
        </w:rPr>
        <w:t>8.车辆动力类型：纯电动</w:t>
      </w:r>
    </w:p>
    <w:p w14:paraId="12482998">
      <w:pPr>
        <w:pStyle w:val="2"/>
        <w:rPr>
          <w:rFonts w:hint="eastAsia"/>
          <w:b w:val="0"/>
          <w:bCs w:val="0"/>
          <w:highlight w:val="none"/>
          <w:lang w:val="en-US" w:eastAsia="zh-CN"/>
        </w:rPr>
      </w:pPr>
      <w:r>
        <w:rPr>
          <w:rFonts w:hint="eastAsia"/>
          <w:b w:val="0"/>
          <w:bCs w:val="0"/>
          <w:highlight w:val="none"/>
          <w:lang w:val="en-US" w:eastAsia="zh-CN"/>
        </w:rPr>
        <w:t>9.电池类型：磷酸铁锂</w:t>
      </w:r>
    </w:p>
    <w:p w14:paraId="43C93777">
      <w:pPr>
        <w:pStyle w:val="2"/>
        <w:rPr>
          <w:rFonts w:hint="eastAsia"/>
          <w:b w:val="0"/>
          <w:bCs w:val="0"/>
        </w:rPr>
      </w:pPr>
      <w:r>
        <w:rPr>
          <w:rFonts w:hint="eastAsia"/>
          <w:b w:val="0"/>
          <w:bCs w:val="0"/>
          <w:lang w:val="en-US" w:eastAsia="zh-CN"/>
        </w:rPr>
        <w:t>10. 驱动电机峰值功率：≥160 kw</w:t>
      </w:r>
    </w:p>
    <w:p w14:paraId="78622AD0">
      <w:pPr>
        <w:pStyle w:val="2"/>
        <w:rPr>
          <w:rFonts w:hint="eastAsia"/>
          <w:b w:val="0"/>
          <w:bCs w:val="0"/>
        </w:rPr>
      </w:pPr>
      <w:r>
        <w:rPr>
          <w:rFonts w:hint="eastAsia" w:ascii="宋体" w:hAnsi="宋体"/>
          <w:b/>
          <w:szCs w:val="21"/>
        </w:rPr>
        <w:t>▲</w:t>
      </w:r>
      <w:r>
        <w:rPr>
          <w:rFonts w:hint="eastAsia"/>
          <w:b w:val="0"/>
          <w:bCs w:val="0"/>
          <w:lang w:val="en-US" w:eastAsia="zh-CN"/>
        </w:rPr>
        <w:t>11. 电池电量：≥160 kwh</w:t>
      </w:r>
    </w:p>
    <w:p w14:paraId="2214ADFE">
      <w:pPr>
        <w:pStyle w:val="2"/>
        <w:rPr>
          <w:rFonts w:hint="eastAsia"/>
          <w:b w:val="0"/>
          <w:bCs w:val="0"/>
        </w:rPr>
      </w:pPr>
      <w:r>
        <w:rPr>
          <w:rFonts w:hint="eastAsia" w:ascii="宋体" w:hAnsi="宋体"/>
          <w:b/>
          <w:szCs w:val="21"/>
        </w:rPr>
        <w:t>▲</w:t>
      </w:r>
      <w:r>
        <w:rPr>
          <w:rFonts w:hint="eastAsia"/>
          <w:b w:val="0"/>
          <w:bCs w:val="0"/>
          <w:lang w:val="en-US" w:eastAsia="zh-CN"/>
        </w:rPr>
        <w:t>12. 接近角/离去角：≥20/12°</w:t>
      </w:r>
    </w:p>
    <w:p w14:paraId="294958DA">
      <w:pPr>
        <w:pStyle w:val="2"/>
        <w:rPr>
          <w:rFonts w:hint="eastAsia"/>
          <w:b w:val="0"/>
          <w:bCs w:val="0"/>
        </w:rPr>
      </w:pPr>
      <w:r>
        <w:rPr>
          <w:rFonts w:hint="eastAsia" w:ascii="宋体" w:hAnsi="宋体"/>
          <w:b/>
          <w:szCs w:val="21"/>
        </w:rPr>
        <w:t>▲</w:t>
      </w:r>
      <w:r>
        <w:rPr>
          <w:rFonts w:hint="eastAsia"/>
          <w:b w:val="0"/>
          <w:bCs w:val="0"/>
          <w:lang w:val="en-US" w:eastAsia="zh-CN"/>
        </w:rPr>
        <w:t>13. 垃圾箱容积：≥7.5 m³</w:t>
      </w:r>
    </w:p>
    <w:p w14:paraId="6D9AFD2A">
      <w:pPr>
        <w:pStyle w:val="2"/>
        <w:rPr>
          <w:rFonts w:hint="eastAsia"/>
          <w:b w:val="0"/>
          <w:bCs w:val="0"/>
        </w:rPr>
      </w:pPr>
      <w:r>
        <w:rPr>
          <w:rFonts w:hint="eastAsia" w:ascii="宋体" w:hAnsi="宋体"/>
          <w:b/>
          <w:szCs w:val="21"/>
        </w:rPr>
        <w:t>▲</w:t>
      </w:r>
      <w:r>
        <w:rPr>
          <w:rFonts w:hint="eastAsia"/>
          <w:b w:val="0"/>
          <w:bCs w:val="0"/>
          <w:lang w:val="en-US" w:eastAsia="zh-CN"/>
        </w:rPr>
        <w:t>14. 上料循环时间：≤25 s</w:t>
      </w:r>
    </w:p>
    <w:p w14:paraId="700F6B6F">
      <w:pPr>
        <w:pStyle w:val="2"/>
        <w:rPr>
          <w:rFonts w:hint="eastAsia"/>
          <w:b w:val="0"/>
          <w:bCs w:val="0"/>
          <w:lang w:val="en-US" w:eastAsia="zh-CN"/>
        </w:rPr>
      </w:pPr>
      <w:r>
        <w:rPr>
          <w:rFonts w:hint="eastAsia" w:ascii="宋体" w:hAnsi="宋体"/>
          <w:b/>
          <w:szCs w:val="21"/>
        </w:rPr>
        <w:t>▲</w:t>
      </w:r>
      <w:r>
        <w:rPr>
          <w:rFonts w:hint="eastAsia"/>
          <w:b w:val="0"/>
          <w:bCs w:val="0"/>
          <w:lang w:val="en-US" w:eastAsia="zh-CN"/>
        </w:rPr>
        <w:t>15. 推挤排料时间：≤75 s</w:t>
      </w:r>
    </w:p>
    <w:p w14:paraId="72716516">
      <w:pPr>
        <w:pStyle w:val="2"/>
        <w:rPr>
          <w:rFonts w:hint="eastAsia"/>
          <w:b w:val="0"/>
          <w:bCs w:val="0"/>
          <w:lang w:val="en-US" w:eastAsia="zh-CN"/>
        </w:rPr>
      </w:pPr>
      <w:r>
        <w:rPr>
          <w:rFonts w:hint="eastAsia"/>
          <w:b w:val="0"/>
          <w:bCs w:val="0"/>
          <w:lang w:val="en-US" w:eastAsia="zh-CN"/>
        </w:rPr>
        <w:t>（二）、主要性能要求：</w:t>
      </w:r>
    </w:p>
    <w:p w14:paraId="4A4918E1">
      <w:pPr>
        <w:pStyle w:val="2"/>
        <w:rPr>
          <w:rFonts w:hint="eastAsia"/>
          <w:b w:val="0"/>
          <w:bCs w:val="0"/>
          <w:lang w:val="en-US" w:eastAsia="zh-CN"/>
        </w:rPr>
      </w:pPr>
      <w:r>
        <w:rPr>
          <w:rFonts w:hint="eastAsia"/>
          <w:b w:val="0"/>
          <w:bCs w:val="0"/>
          <w:lang w:val="en-US" w:eastAsia="zh-CN"/>
        </w:rPr>
        <w:t>1. 采用侧提桶投料，可适应标准240L/120L塑料垃圾桶。</w:t>
      </w:r>
    </w:p>
    <w:p w14:paraId="79D41D4D">
      <w:pPr>
        <w:pStyle w:val="2"/>
        <w:rPr>
          <w:rFonts w:hint="eastAsia"/>
          <w:b w:val="0"/>
          <w:bCs w:val="0"/>
          <w:lang w:val="en-US" w:eastAsia="zh-CN"/>
        </w:rPr>
      </w:pPr>
      <w:r>
        <w:rPr>
          <w:rFonts w:hint="eastAsia"/>
          <w:b w:val="0"/>
          <w:bCs w:val="0"/>
          <w:lang w:val="en-US" w:eastAsia="zh-CN"/>
        </w:rPr>
        <w:t xml:space="preserve">2. </w:t>
      </w:r>
      <w:r>
        <w:rPr>
          <w:rFonts w:hint="eastAsia"/>
          <w:b w:val="0"/>
          <w:bCs w:val="0"/>
        </w:rPr>
        <w:t>侧提桶机构</w:t>
      </w:r>
      <w:r>
        <w:rPr>
          <w:rFonts w:hint="eastAsia"/>
          <w:b w:val="0"/>
          <w:bCs w:val="0"/>
          <w:lang w:val="en-US" w:eastAsia="zh-CN"/>
        </w:rPr>
        <w:t>由</w:t>
      </w:r>
      <w:r>
        <w:rPr>
          <w:rFonts w:hint="eastAsia"/>
          <w:b w:val="0"/>
          <w:bCs w:val="0"/>
        </w:rPr>
        <w:t>油缸驱动，通过摆臂连杆装置实现机构倒料和复位</w:t>
      </w:r>
      <w:r>
        <w:rPr>
          <w:rFonts w:hint="eastAsia"/>
          <w:b w:val="0"/>
          <w:bCs w:val="0"/>
          <w:lang w:val="en-US" w:eastAsia="zh-CN"/>
        </w:rPr>
        <w:t>。</w:t>
      </w:r>
    </w:p>
    <w:p w14:paraId="756A3EEF">
      <w:pPr>
        <w:pStyle w:val="2"/>
        <w:rPr>
          <w:rFonts w:hint="eastAsia"/>
          <w:b w:val="0"/>
          <w:bCs w:val="0"/>
          <w:lang w:val="en-US" w:eastAsia="zh-CN"/>
        </w:rPr>
      </w:pPr>
      <w:r>
        <w:rPr>
          <w:rFonts w:hint="eastAsia"/>
          <w:b w:val="0"/>
          <w:bCs w:val="0"/>
          <w:lang w:val="en-US" w:eastAsia="zh-CN"/>
        </w:rPr>
        <w:t xml:space="preserve">3. </w:t>
      </w:r>
      <w:r>
        <w:rPr>
          <w:rFonts w:hint="eastAsia"/>
          <w:b w:val="0"/>
          <w:bCs w:val="0"/>
        </w:rPr>
        <w:t>产品上料采用操作杆控制，可根据工况自由改变动作速度</w:t>
      </w:r>
      <w:r>
        <w:rPr>
          <w:rFonts w:hint="eastAsia"/>
          <w:b w:val="0"/>
          <w:bCs w:val="0"/>
          <w:lang w:eastAsia="zh-CN"/>
        </w:rPr>
        <w:t>，</w:t>
      </w:r>
      <w:r>
        <w:rPr>
          <w:rFonts w:hint="eastAsia"/>
          <w:b w:val="0"/>
          <w:bCs w:val="0"/>
        </w:rPr>
        <w:t>卸料为一键操作</w:t>
      </w:r>
      <w:r>
        <w:rPr>
          <w:rFonts w:hint="eastAsia"/>
          <w:b w:val="0"/>
          <w:bCs w:val="0"/>
          <w:lang w:val="en-US" w:eastAsia="zh-CN"/>
        </w:rPr>
        <w:t>。</w:t>
      </w:r>
    </w:p>
    <w:p w14:paraId="6F316804">
      <w:pPr>
        <w:pStyle w:val="2"/>
        <w:rPr>
          <w:rFonts w:hint="eastAsia"/>
          <w:b w:val="0"/>
          <w:bCs w:val="0"/>
          <w:lang w:val="en-US"/>
        </w:rPr>
      </w:pPr>
      <w:r>
        <w:rPr>
          <w:rFonts w:hint="eastAsia"/>
          <w:b w:val="0"/>
          <w:bCs w:val="0"/>
          <w:lang w:val="en-US" w:eastAsia="zh-CN"/>
        </w:rPr>
        <w:t xml:space="preserve">4. </w:t>
      </w:r>
      <w:r>
        <w:rPr>
          <w:rFonts w:hint="eastAsia"/>
          <w:b w:val="0"/>
          <w:bCs w:val="0"/>
        </w:rPr>
        <w:t>采用CAN总线+控制器</w:t>
      </w:r>
      <w:r>
        <w:rPr>
          <w:rFonts w:hint="eastAsia"/>
          <w:b w:val="0"/>
          <w:bCs w:val="0"/>
          <w:lang w:val="en-US" w:eastAsia="zh-CN"/>
        </w:rPr>
        <w:t>控制</w:t>
      </w:r>
      <w:r>
        <w:rPr>
          <w:rFonts w:hint="eastAsia"/>
          <w:b w:val="0"/>
          <w:bCs w:val="0"/>
        </w:rPr>
        <w:t>，自动化程度高</w:t>
      </w:r>
      <w:r>
        <w:rPr>
          <w:rFonts w:hint="eastAsia"/>
          <w:b w:val="0"/>
          <w:bCs w:val="0"/>
          <w:lang w:eastAsia="zh-CN"/>
        </w:rPr>
        <w:t>。</w:t>
      </w:r>
    </w:p>
    <w:p w14:paraId="1A3F38FF">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5. 主要结构件：垃圾箱箱体、后门体、推铲等须采用304不锈钢制造。</w:t>
      </w:r>
    </w:p>
    <w:p w14:paraId="5358A00B">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6. 垃圾箱与后门总成之间采用加强型硅胶条密封，密封性好，杜绝二次污染。</w:t>
      </w:r>
    </w:p>
    <w:p w14:paraId="631D0AFE">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7. 推铲通过油缸驱动，借助耐磨尼龙滑块沿垃圾箱轨道滑动，推挤垃圾至后门打开排料，车辆出料口须与处理厂端口无缝对接，全自动一键卸料。</w:t>
      </w:r>
    </w:p>
    <w:p w14:paraId="26BB1723">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8. 整车质保期不小于3年（易损易耗件除外），电池质保期不小于8年或30万公里,电池系统防水防尘等级达到IP68。</w:t>
      </w:r>
    </w:p>
    <w:p w14:paraId="7894C721">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9. 车辆配置须有清水箱、水泵、水枪等，水枪带有长距离水管，用于清洗车辆。</w:t>
      </w:r>
    </w:p>
    <w:p w14:paraId="6B11F69D">
      <w:pPr>
        <w:pStyle w:val="2"/>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10. 按采购人要求制作车辆涂装。</w:t>
      </w:r>
    </w:p>
    <w:p w14:paraId="02716943">
      <w:pPr>
        <w:pStyle w:val="2"/>
        <w:rPr>
          <w:rFonts w:hint="eastAsia"/>
          <w:lang w:val="en-US" w:eastAsia="zh-CN"/>
        </w:rPr>
      </w:pPr>
      <w:r>
        <w:rPr>
          <w:rFonts w:hint="eastAsia"/>
          <w:b w:val="0"/>
          <w:bCs w:val="0"/>
          <w:lang w:val="en-US" w:eastAsia="zh-CN"/>
        </w:rPr>
        <w:t>（三）、主要服务要求：</w:t>
      </w:r>
    </w:p>
    <w:p w14:paraId="143C385F">
      <w:pPr>
        <w:spacing w:line="360" w:lineRule="auto"/>
        <w:ind w:firstLine="420" w:firstLineChars="20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确保所提供的清运车质量合格，性能稳定，符合相关的行业标准和合同规定的质量标准。提供完整的车辆配置，包括但不限于车辆主体、配套设备（充电桩等）、工具、说明书等。在合同约定的期限内，提供优质的售后服务，包括维修、保养、零部件更换等，确保车辆的正常运行。保证车辆的生产、销售和交付过程符合相关法律法规和政策要求。对于采购方在使用过程中发现的质量问题，积极采取措施予以解决，并承担相应的费用和责任。积极配合采购方进行车辆的验收工作，提供必要的技术资料和协助。</w:t>
      </w:r>
    </w:p>
    <w:p w14:paraId="65456E6D">
      <w:pPr>
        <w:rPr>
          <w:rFonts w:hint="eastAsia"/>
        </w:rPr>
      </w:pPr>
    </w:p>
    <w:p w14:paraId="13494BDC">
      <w:pPr>
        <w:pStyle w:val="4"/>
        <w:spacing w:line="360" w:lineRule="auto"/>
        <w:ind w:firstLine="422" w:firstLineChars="200"/>
        <w:rPr>
          <w:rFonts w:hint="eastAsia" w:ascii="宋体" w:hAnsi="宋体"/>
          <w:b/>
          <w:bCs/>
          <w:szCs w:val="21"/>
        </w:rPr>
      </w:pPr>
      <w:r>
        <w:rPr>
          <w:rFonts w:hint="eastAsia" w:ascii="宋体" w:hAnsi="宋体"/>
          <w:b/>
          <w:bCs/>
          <w:szCs w:val="21"/>
        </w:rPr>
        <w:t>2.1.5  质量要求</w:t>
      </w:r>
    </w:p>
    <w:p w14:paraId="52E2C90F">
      <w:pPr>
        <w:pStyle w:val="4"/>
        <w:spacing w:line="360" w:lineRule="auto"/>
        <w:ind w:firstLine="625" w:firstLineChars="298"/>
        <w:rPr>
          <w:rFonts w:hint="eastAsia" w:ascii="宋体" w:hAnsi="宋体"/>
          <w:szCs w:val="21"/>
        </w:rPr>
      </w:pPr>
      <w:r>
        <w:rPr>
          <w:rFonts w:hint="eastAsia" w:ascii="宋体" w:hAnsi="宋体" w:cs="宋体"/>
          <w:color w:val="auto"/>
          <w:szCs w:val="21"/>
          <w:highlight w:val="none"/>
        </w:rPr>
        <w:t>★</w:t>
      </w:r>
      <w:r>
        <w:rPr>
          <w:rFonts w:hint="eastAsia" w:ascii="宋体" w:hAnsi="宋体"/>
          <w:bCs/>
          <w:szCs w:val="21"/>
        </w:rPr>
        <w:t>2.1.5.1 货物（产品）制造商、经销代理商应严格遵守《中华人民共和国产品质量法》，确保提供的产品符合质量标准，达到合格产品的要求。</w:t>
      </w:r>
      <w:r>
        <w:rPr>
          <w:rFonts w:hint="eastAsia" w:ascii="宋体" w:hAnsi="宋体"/>
          <w:szCs w:val="21"/>
        </w:rPr>
        <w:t>可能危及人体健康和人身、财产安全的工业产品，必须符合保障人体健康和人身、财产安全的国家标准、行业标准；未制定国家标准、行业标准的，必须符合保障人体健康和人身、财产安全的要求。</w:t>
      </w:r>
    </w:p>
    <w:p w14:paraId="7D53E80A">
      <w:pPr>
        <w:pStyle w:val="4"/>
        <w:spacing w:line="360" w:lineRule="auto"/>
        <w:ind w:firstLine="628" w:firstLineChars="298"/>
        <w:rPr>
          <w:rFonts w:hint="eastAsia" w:ascii="宋体" w:hAnsi="宋体"/>
          <w:b/>
          <w:bCs/>
          <w:szCs w:val="21"/>
        </w:rPr>
      </w:pPr>
      <w:bookmarkStart w:id="1" w:name="_GoBack"/>
      <w:bookmarkEnd w:id="1"/>
      <w:r>
        <w:rPr>
          <w:rFonts w:hint="eastAsia" w:ascii="宋体" w:hAnsi="宋体"/>
          <w:b/>
          <w:bCs/>
          <w:szCs w:val="21"/>
        </w:rPr>
        <w:t>2.1.5.2  货物（产品）执行的标准、规范：</w:t>
      </w:r>
    </w:p>
    <w:p w14:paraId="20DCC1A9">
      <w:pPr>
        <w:pStyle w:val="4"/>
        <w:spacing w:line="360" w:lineRule="auto"/>
        <w:ind w:firstLine="682" w:firstLineChars="325"/>
        <w:rPr>
          <w:rFonts w:hint="eastAsia" w:ascii="宋体" w:hAnsi="宋体"/>
          <w:bCs/>
          <w:szCs w:val="21"/>
        </w:rPr>
      </w:pPr>
      <w:r>
        <w:rPr>
          <w:rFonts w:hint="eastAsia" w:ascii="宋体" w:hAnsi="宋体"/>
          <w:bCs/>
          <w:szCs w:val="21"/>
        </w:rPr>
        <w:t>（1）国家标准、规范</w:t>
      </w:r>
      <w:r>
        <w:rPr>
          <w:rFonts w:hint="eastAsia" w:ascii="宋体" w:hAnsi="宋体"/>
          <w:bCs/>
          <w:szCs w:val="21"/>
          <w:u w:val="single"/>
        </w:rPr>
        <w:t xml:space="preserve">           </w:t>
      </w:r>
      <w:r>
        <w:rPr>
          <w:rFonts w:hint="eastAsia" w:ascii="宋体" w:hAnsi="宋体"/>
          <w:bCs/>
          <w:szCs w:val="21"/>
        </w:rPr>
        <w:t>；</w:t>
      </w:r>
    </w:p>
    <w:p w14:paraId="4709B3E7">
      <w:pPr>
        <w:pStyle w:val="4"/>
        <w:spacing w:line="360" w:lineRule="auto"/>
        <w:ind w:firstLine="682" w:firstLineChars="325"/>
        <w:rPr>
          <w:rFonts w:hint="eastAsia" w:ascii="宋体" w:hAnsi="宋体"/>
          <w:bCs/>
          <w:szCs w:val="21"/>
        </w:rPr>
      </w:pPr>
      <w:r>
        <w:rPr>
          <w:rFonts w:hint="eastAsia" w:ascii="宋体" w:hAnsi="宋体"/>
          <w:bCs/>
          <w:szCs w:val="21"/>
        </w:rPr>
        <w:t>（2）行业标准、规范</w:t>
      </w:r>
      <w:r>
        <w:rPr>
          <w:rFonts w:hint="eastAsia" w:ascii="宋体" w:hAnsi="宋体"/>
          <w:bCs/>
          <w:szCs w:val="21"/>
          <w:u w:val="single"/>
        </w:rPr>
        <w:t xml:space="preserve">           </w:t>
      </w:r>
      <w:r>
        <w:rPr>
          <w:rFonts w:hint="eastAsia" w:ascii="宋体" w:hAnsi="宋体"/>
          <w:bCs/>
          <w:szCs w:val="21"/>
        </w:rPr>
        <w:t>；</w:t>
      </w:r>
    </w:p>
    <w:p w14:paraId="18110EB8">
      <w:pPr>
        <w:pStyle w:val="4"/>
        <w:spacing w:line="360" w:lineRule="auto"/>
        <w:ind w:firstLine="682" w:firstLineChars="325"/>
        <w:rPr>
          <w:rFonts w:hint="eastAsia" w:ascii="宋体" w:hAnsi="宋体"/>
          <w:bCs/>
          <w:szCs w:val="21"/>
        </w:rPr>
      </w:pPr>
      <w:r>
        <w:rPr>
          <w:rFonts w:hint="eastAsia" w:ascii="宋体" w:hAnsi="宋体"/>
          <w:bCs/>
          <w:szCs w:val="21"/>
        </w:rPr>
        <w:t>（3）地方标准、规范</w:t>
      </w:r>
      <w:r>
        <w:rPr>
          <w:rFonts w:hint="eastAsia" w:ascii="宋体" w:hAnsi="宋体"/>
          <w:bCs/>
          <w:szCs w:val="21"/>
          <w:u w:val="single"/>
        </w:rPr>
        <w:t xml:space="preserve">           </w:t>
      </w:r>
      <w:r>
        <w:rPr>
          <w:rFonts w:hint="eastAsia" w:ascii="宋体" w:hAnsi="宋体"/>
          <w:bCs/>
          <w:szCs w:val="21"/>
        </w:rPr>
        <w:t>；</w:t>
      </w:r>
    </w:p>
    <w:p w14:paraId="40066BB1">
      <w:pPr>
        <w:pStyle w:val="4"/>
        <w:spacing w:line="360" w:lineRule="auto"/>
        <w:ind w:firstLine="682" w:firstLineChars="325"/>
        <w:rPr>
          <w:rFonts w:hint="eastAsia" w:ascii="宋体" w:hAnsi="宋体"/>
          <w:bCs/>
          <w:szCs w:val="21"/>
        </w:rPr>
      </w:pPr>
      <w:r>
        <w:rPr>
          <w:rFonts w:hint="eastAsia" w:ascii="宋体" w:hAnsi="宋体"/>
          <w:bCs/>
          <w:szCs w:val="21"/>
        </w:rPr>
        <w:t>（4）团体标准、规范</w:t>
      </w:r>
      <w:r>
        <w:rPr>
          <w:rFonts w:hint="eastAsia" w:ascii="宋体" w:hAnsi="宋体"/>
          <w:bCs/>
          <w:szCs w:val="21"/>
          <w:u w:val="single"/>
        </w:rPr>
        <w:t xml:space="preserve">           </w:t>
      </w:r>
      <w:r>
        <w:rPr>
          <w:rFonts w:hint="eastAsia" w:ascii="宋体" w:hAnsi="宋体"/>
          <w:bCs/>
          <w:szCs w:val="21"/>
        </w:rPr>
        <w:t>；</w:t>
      </w:r>
    </w:p>
    <w:p w14:paraId="5EBA10A6">
      <w:pPr>
        <w:pStyle w:val="4"/>
        <w:spacing w:line="360" w:lineRule="auto"/>
        <w:ind w:firstLine="682" w:firstLineChars="325"/>
        <w:rPr>
          <w:rFonts w:hint="eastAsia" w:ascii="宋体" w:hAnsi="宋体"/>
          <w:bCs/>
          <w:szCs w:val="21"/>
        </w:rPr>
      </w:pPr>
      <w:r>
        <w:rPr>
          <w:rFonts w:hint="eastAsia" w:ascii="宋体" w:hAnsi="宋体"/>
          <w:bCs/>
          <w:szCs w:val="21"/>
        </w:rPr>
        <w:t>（5）企业标准、规范</w:t>
      </w:r>
      <w:r>
        <w:rPr>
          <w:rFonts w:hint="eastAsia" w:ascii="宋体" w:hAnsi="宋体"/>
          <w:bCs/>
          <w:szCs w:val="21"/>
          <w:u w:val="single"/>
        </w:rPr>
        <w:t xml:space="preserve">           </w:t>
      </w:r>
      <w:r>
        <w:rPr>
          <w:rFonts w:hint="eastAsia" w:ascii="宋体" w:hAnsi="宋体"/>
          <w:bCs/>
          <w:szCs w:val="21"/>
        </w:rPr>
        <w:t>。</w:t>
      </w:r>
    </w:p>
    <w:p w14:paraId="0093028B">
      <w:pPr>
        <w:pStyle w:val="4"/>
        <w:spacing w:line="360" w:lineRule="auto"/>
        <w:ind w:firstLine="625" w:firstLineChars="298"/>
        <w:rPr>
          <w:rFonts w:hint="eastAsia" w:ascii="宋体" w:hAnsi="宋体"/>
          <w:b/>
          <w:szCs w:val="21"/>
        </w:rPr>
      </w:pPr>
      <w:r>
        <w:rPr>
          <w:rFonts w:hint="eastAsia" w:ascii="宋体" w:hAnsi="宋体" w:cs="宋体"/>
          <w:color w:val="auto"/>
          <w:szCs w:val="21"/>
          <w:highlight w:val="none"/>
        </w:rPr>
        <w:t>★</w:t>
      </w:r>
      <w:r>
        <w:rPr>
          <w:rFonts w:hint="eastAsia" w:ascii="宋体" w:hAnsi="宋体"/>
          <w:b/>
          <w:szCs w:val="21"/>
        </w:rPr>
        <w:t>2.1.5.3 本章第2.1.5.2条款未明确货物（产品）执行标准、规范的，则按下列方法选择：</w:t>
      </w:r>
    </w:p>
    <w:p w14:paraId="0D6545C2">
      <w:pPr>
        <w:pStyle w:val="4"/>
        <w:spacing w:line="360" w:lineRule="auto"/>
        <w:ind w:left="840" w:hanging="840" w:hangingChars="400"/>
        <w:rPr>
          <w:rFonts w:hint="eastAsia" w:ascii="宋体" w:hAnsi="宋体"/>
          <w:szCs w:val="21"/>
        </w:rPr>
      </w:pPr>
      <w:r>
        <w:rPr>
          <w:rFonts w:hint="eastAsia" w:ascii="宋体" w:hAnsi="宋体"/>
          <w:szCs w:val="21"/>
        </w:rPr>
        <w:t xml:space="preserve">        □ 顺序执行：国家标准→行业标准→地方标准→团体标准→企业标准（有国家标准按国家标准执行，没有国家标准按行业标准，以此类推）；</w:t>
      </w:r>
    </w:p>
    <w:p w14:paraId="5B069DB2">
      <w:pPr>
        <w:pStyle w:val="4"/>
        <w:spacing w:line="360" w:lineRule="auto"/>
        <w:ind w:left="840" w:hanging="840" w:hangingChars="400"/>
        <w:rPr>
          <w:rFonts w:hint="eastAsia" w:ascii="宋体" w:hAnsi="宋体"/>
          <w:szCs w:val="21"/>
        </w:rPr>
      </w:pPr>
      <w:r>
        <w:rPr>
          <w:rFonts w:hint="eastAsia" w:ascii="宋体" w:hAnsi="宋体"/>
          <w:szCs w:val="21"/>
        </w:rPr>
        <w:t xml:space="preserve">        □ 最高标准执行：国家标准，行业标准，地方标准，团体标准，企业标准（那个标准高执行那个标准）；</w:t>
      </w:r>
    </w:p>
    <w:p w14:paraId="08016438">
      <w:pPr>
        <w:pStyle w:val="4"/>
        <w:spacing w:line="360" w:lineRule="auto"/>
        <w:ind w:left="840" w:hanging="840" w:hangingChars="400"/>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2"/>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必须执行：国家、行业强制性标准。</w:t>
      </w:r>
    </w:p>
    <w:p w14:paraId="20A60E7D">
      <w:pPr>
        <w:pStyle w:val="4"/>
        <w:spacing w:line="360" w:lineRule="auto"/>
        <w:ind w:left="840" w:hanging="840" w:hangingChars="400"/>
        <w:rPr>
          <w:rFonts w:hint="eastAsia" w:ascii="宋体" w:hAnsi="宋体"/>
          <w:szCs w:val="21"/>
        </w:rPr>
      </w:pPr>
      <w:r>
        <w:rPr>
          <w:rFonts w:hint="eastAsia" w:ascii="宋体" w:hAnsi="宋体"/>
          <w:szCs w:val="21"/>
        </w:rPr>
        <w:t xml:space="preserve">       2.1.5.4 核心产品制造商符合ISO系列管理体系认证要求的，可以提供认证证书。</w:t>
      </w:r>
    </w:p>
    <w:p w14:paraId="47239A01">
      <w:pPr>
        <w:pStyle w:val="4"/>
        <w:spacing w:line="360" w:lineRule="auto"/>
        <w:ind w:firstLine="422" w:firstLineChars="200"/>
        <w:outlineLvl w:val="9"/>
        <w:rPr>
          <w:rFonts w:hint="eastAsia" w:ascii="宋体" w:hAnsi="宋体" w:cs="宋体"/>
          <w:b/>
          <w:bCs/>
          <w:color w:val="auto"/>
          <w:szCs w:val="21"/>
          <w:highlight w:val="none"/>
        </w:rPr>
      </w:pPr>
      <w:r>
        <w:rPr>
          <w:rFonts w:hint="eastAsia" w:ascii="宋体" w:hAnsi="宋体" w:cs="宋体"/>
          <w:b/>
          <w:bCs/>
          <w:color w:val="auto"/>
          <w:szCs w:val="21"/>
          <w:highlight w:val="none"/>
        </w:rPr>
        <w:t>2.1.6安全要求</w:t>
      </w:r>
    </w:p>
    <w:p w14:paraId="0B89E0F2">
      <w:pPr>
        <w:pStyle w:val="4"/>
        <w:spacing w:line="360" w:lineRule="auto"/>
        <w:ind w:firstLine="630" w:firstLineChars="300"/>
        <w:rPr>
          <w:rFonts w:hint="eastAsia"/>
        </w:rPr>
      </w:pPr>
      <w:r>
        <w:rPr>
          <w:rFonts w:hint="eastAsia" w:ascii="宋体" w:hAnsi="宋体" w:cs="宋体"/>
          <w:color w:val="auto"/>
          <w:kern w:val="0"/>
          <w:szCs w:val="21"/>
          <w:highlight w:val="none"/>
        </w:rPr>
        <w:t>认真贯彻执行国家及省、市有关安全文明生产的法律法规规章和强制性标准、安全操作规程等，建立健全安装现场安全文明生产保证体系，落实各项具体措施，切实履行安全文明生产责任和义务，保护职工身体健康和生命安全，以及社会公众安全，保护环境卫生，保持安装现场整齐有序，做到文明施工。</w:t>
      </w:r>
    </w:p>
    <w:p w14:paraId="7CE8CCD4">
      <w:pPr>
        <w:widowControl/>
        <w:autoSpaceDE w:val="0"/>
        <w:autoSpaceDN w:val="0"/>
        <w:spacing w:before="120" w:beforeLines="50" w:after="120" w:afterLines="50" w:line="360" w:lineRule="auto"/>
        <w:ind w:right="51"/>
        <w:textAlignment w:val="bottom"/>
        <w:outlineLvl w:val="9"/>
        <w:rPr>
          <w:rFonts w:hint="eastAsia" w:ascii="宋体" w:hAnsi="宋体"/>
          <w:b/>
          <w:sz w:val="30"/>
          <w:szCs w:val="30"/>
        </w:rPr>
      </w:pPr>
      <w:r>
        <w:rPr>
          <w:rFonts w:hint="eastAsia" w:ascii="宋体" w:hAnsi="宋体"/>
          <w:b/>
          <w:sz w:val="30"/>
          <w:szCs w:val="30"/>
        </w:rPr>
        <w:t>2.2 商务要求</w:t>
      </w:r>
    </w:p>
    <w:p w14:paraId="2E2F575D">
      <w:pPr>
        <w:spacing w:before="120" w:beforeLines="50" w:after="120" w:afterLines="50" w:line="360" w:lineRule="auto"/>
        <w:ind w:firstLine="527" w:firstLineChars="250"/>
        <w:rPr>
          <w:rFonts w:hint="eastAsia" w:ascii="宋体" w:hAnsi="宋体"/>
          <w:b/>
          <w:szCs w:val="21"/>
        </w:rPr>
      </w:pPr>
      <w:r>
        <w:rPr>
          <w:rFonts w:hint="eastAsia" w:ascii="宋体" w:hAnsi="宋体"/>
          <w:b/>
          <w:szCs w:val="21"/>
        </w:rPr>
        <w:t>2.2.1带有★号的商务要求为实质性条款不得有偏差。</w:t>
      </w:r>
    </w:p>
    <w:p w14:paraId="385968F8">
      <w:pPr>
        <w:pStyle w:val="4"/>
        <w:spacing w:line="360" w:lineRule="auto"/>
        <w:ind w:left="0" w:leftChars="0" w:firstLine="420" w:firstLineChars="200"/>
        <w:rPr>
          <w:rFonts w:hint="eastAsia" w:ascii="宋体" w:hAnsi="宋体"/>
          <w:b/>
          <w:szCs w:val="21"/>
        </w:rPr>
      </w:pPr>
      <w:r>
        <w:rPr>
          <w:rFonts w:hint="eastAsia" w:ascii="宋体" w:hAnsi="宋体"/>
          <w:szCs w:val="21"/>
        </w:rPr>
        <w:t>★</w:t>
      </w:r>
      <w:r>
        <w:rPr>
          <w:rFonts w:hint="eastAsia" w:ascii="宋体" w:hAnsi="宋体"/>
          <w:b/>
          <w:szCs w:val="21"/>
        </w:rPr>
        <w:t>2.2.2交货时间和地点：</w:t>
      </w:r>
    </w:p>
    <w:p w14:paraId="4E717D06">
      <w:pPr>
        <w:pStyle w:val="55"/>
        <w:spacing w:line="360" w:lineRule="auto"/>
        <w:ind w:firstLine="561" w:firstLineChars="0"/>
        <w:rPr>
          <w:rFonts w:hint="eastAsia" w:ascii="宋体" w:hAnsi="宋体"/>
          <w:color w:val="000000"/>
          <w:sz w:val="21"/>
          <w:szCs w:val="21"/>
          <w:highlight w:val="yellow"/>
        </w:rPr>
      </w:pPr>
      <w:r>
        <w:rPr>
          <w:rFonts w:hint="eastAsia" w:ascii="宋体" w:hAnsi="宋体"/>
          <w:color w:val="000000"/>
          <w:sz w:val="21"/>
          <w:szCs w:val="21"/>
        </w:rPr>
        <w:t>（1）交货时间（交货期）：</w:t>
      </w:r>
      <w:r>
        <w:rPr>
          <w:rFonts w:hint="eastAsia"/>
          <w:sz w:val="21"/>
          <w:szCs w:val="21"/>
          <w:highlight w:val="none"/>
          <w:lang w:val="zh-CN"/>
        </w:rPr>
        <w:t>自合同签订之日起</w:t>
      </w:r>
      <w:r>
        <w:rPr>
          <w:rFonts w:hint="eastAsia"/>
          <w:sz w:val="21"/>
          <w:szCs w:val="21"/>
          <w:highlight w:val="none"/>
          <w:u w:val="single"/>
          <w:lang w:val="zh-CN"/>
        </w:rPr>
        <w:t xml:space="preserve"> </w:t>
      </w:r>
      <w:r>
        <w:rPr>
          <w:rFonts w:hint="eastAsia"/>
          <w:sz w:val="21"/>
          <w:szCs w:val="21"/>
          <w:highlight w:val="none"/>
          <w:u w:val="single"/>
        </w:rPr>
        <w:t>30</w:t>
      </w:r>
      <w:r>
        <w:rPr>
          <w:rFonts w:hint="eastAsia"/>
          <w:sz w:val="21"/>
          <w:szCs w:val="21"/>
          <w:highlight w:val="none"/>
          <w:u w:val="single"/>
          <w:lang w:val="zh-CN"/>
        </w:rPr>
        <w:t xml:space="preserve"> </w:t>
      </w:r>
      <w:r>
        <w:rPr>
          <w:rFonts w:hint="eastAsia"/>
          <w:sz w:val="21"/>
          <w:szCs w:val="21"/>
          <w:highlight w:val="none"/>
          <w:lang w:val="zh-CN"/>
        </w:rPr>
        <w:t>日历天内完成供货</w:t>
      </w:r>
      <w:r>
        <w:rPr>
          <w:rFonts w:hint="eastAsia"/>
          <w:color w:val="auto"/>
          <w:sz w:val="21"/>
          <w:szCs w:val="21"/>
          <w:highlight w:val="none"/>
          <w:u w:val="none"/>
          <w:lang w:val="zh-CN"/>
        </w:rPr>
        <w:t>并交付采购人使用。</w:t>
      </w:r>
    </w:p>
    <w:p w14:paraId="59DE4C9E">
      <w:pPr>
        <w:pStyle w:val="55"/>
        <w:spacing w:line="360" w:lineRule="auto"/>
        <w:ind w:firstLine="561" w:firstLineChars="0"/>
        <w:rPr>
          <w:rFonts w:hint="eastAsia" w:ascii="宋体" w:hAnsi="宋体"/>
          <w:color w:val="000000"/>
          <w:sz w:val="21"/>
          <w:szCs w:val="21"/>
        </w:rPr>
      </w:pPr>
      <w:r>
        <w:rPr>
          <w:rFonts w:hint="eastAsia" w:ascii="宋体" w:hAnsi="宋体"/>
          <w:color w:val="000000"/>
          <w:sz w:val="21"/>
          <w:szCs w:val="21"/>
        </w:rPr>
        <w:t>（2）交货地点：</w:t>
      </w:r>
      <w:r>
        <w:rPr>
          <w:rFonts w:hint="eastAsia"/>
          <w:color w:val="000000"/>
          <w:sz w:val="21"/>
          <w:szCs w:val="21"/>
        </w:rPr>
        <w:t>采购人指定地点</w:t>
      </w:r>
    </w:p>
    <w:p w14:paraId="4C7999F0">
      <w:pPr>
        <w:pStyle w:val="56"/>
        <w:autoSpaceDE w:val="0"/>
        <w:autoSpaceDN w:val="0"/>
        <w:spacing w:line="360" w:lineRule="auto"/>
        <w:rPr>
          <w:rFonts w:hint="eastAsia" w:ascii="宋体" w:hAnsi="宋体"/>
          <w:szCs w:val="21"/>
        </w:rPr>
      </w:pPr>
      <w:r>
        <w:rPr>
          <w:rFonts w:hint="eastAsia" w:ascii="宋体" w:hAnsi="宋体"/>
          <w:szCs w:val="21"/>
        </w:rPr>
        <w:t>★</w:t>
      </w:r>
      <w:r>
        <w:rPr>
          <w:rFonts w:hint="eastAsia" w:ascii="宋体" w:hAnsi="宋体"/>
          <w:b/>
          <w:szCs w:val="21"/>
        </w:rPr>
        <w:t xml:space="preserve">2.2.3 </w:t>
      </w:r>
      <w:r>
        <w:rPr>
          <w:rFonts w:hint="eastAsia" w:ascii="宋体" w:hAnsi="宋体"/>
          <w:b/>
          <w:szCs w:val="21"/>
          <w:highlight w:val="none"/>
        </w:rPr>
        <w:t>付款条件：</w:t>
      </w:r>
      <w:r>
        <w:rPr>
          <w:rFonts w:hint="eastAsia" w:ascii="宋体" w:hAnsi="宋体"/>
          <w:szCs w:val="21"/>
          <w:highlight w:val="none"/>
          <w:lang w:val="zh-CN"/>
        </w:rPr>
        <w:t>全部产品安装调试完毕，</w:t>
      </w:r>
      <w:r>
        <w:rPr>
          <w:rFonts w:hint="eastAsia" w:ascii="宋体" w:hAnsi="宋体"/>
          <w:color w:val="auto"/>
          <w:sz w:val="21"/>
          <w:szCs w:val="21"/>
          <w:highlight w:val="none"/>
        </w:rPr>
        <w:t>达到使用标准</w:t>
      </w:r>
      <w:r>
        <w:rPr>
          <w:rFonts w:hint="eastAsia" w:ascii="宋体" w:hAnsi="宋体"/>
          <w:szCs w:val="21"/>
          <w:highlight w:val="none"/>
          <w:lang w:val="zh-CN"/>
        </w:rPr>
        <w:t>并验收合格后，甲方向乙方支付合同总价 100% 的价款。</w:t>
      </w:r>
    </w:p>
    <w:p w14:paraId="1B5DAEAD">
      <w:pPr>
        <w:pStyle w:val="4"/>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b/>
          <w:szCs w:val="21"/>
        </w:rPr>
        <w:t>2.2.4运输要求：</w:t>
      </w:r>
      <w:r>
        <w:rPr>
          <w:rFonts w:hint="eastAsia" w:ascii="宋体" w:hAnsi="宋体"/>
          <w:szCs w:val="21"/>
        </w:rPr>
        <w:t>采用公路或铁路运输方式，选择风险小、运费低和运距短的运输路线。运杂费一次性包死在总价内，采购人不再额外支付，包括从生产厂家到使用（安装）现场的包装、装载、运输、卸载、现场保管、二次倒运等费用。</w:t>
      </w:r>
    </w:p>
    <w:p w14:paraId="1D153C26">
      <w:pPr>
        <w:pStyle w:val="55"/>
        <w:spacing w:line="360" w:lineRule="auto"/>
        <w:ind w:left="141" w:leftChars="67" w:firstLine="420" w:firstLineChars="199"/>
        <w:rPr>
          <w:rFonts w:hint="eastAsia" w:ascii="宋体" w:hAnsi="宋体"/>
          <w:b/>
          <w:sz w:val="21"/>
          <w:szCs w:val="21"/>
        </w:rPr>
      </w:pPr>
      <w:r>
        <w:rPr>
          <w:rFonts w:hint="eastAsia" w:ascii="宋体" w:hAnsi="宋体"/>
          <w:b/>
          <w:sz w:val="21"/>
          <w:szCs w:val="21"/>
        </w:rPr>
        <w:t>2.2.5包装要求：</w:t>
      </w:r>
    </w:p>
    <w:p w14:paraId="3B1D5B78">
      <w:pPr>
        <w:pStyle w:val="55"/>
        <w:spacing w:line="360" w:lineRule="auto"/>
        <w:ind w:left="141" w:leftChars="67" w:firstLine="720" w:firstLineChars="300"/>
        <w:rPr>
          <w:rFonts w:hint="eastAsia" w:ascii="宋体" w:hAnsi="宋体"/>
          <w:b/>
          <w:szCs w:val="21"/>
        </w:rPr>
      </w:pPr>
      <w:r>
        <w:rPr>
          <w:rFonts w:hint="eastAsia" w:ascii="宋体" w:hAnsi="宋体"/>
          <w:szCs w:val="21"/>
        </w:rPr>
        <w:t>★</w:t>
      </w:r>
      <w:r>
        <w:rPr>
          <w:rFonts w:hint="eastAsia" w:ascii="宋体" w:hAnsi="宋体"/>
          <w:sz w:val="21"/>
          <w:szCs w:val="21"/>
        </w:rPr>
        <w:t>2.2.5.1全</w:t>
      </w:r>
      <w:r>
        <w:rPr>
          <w:rFonts w:hint="eastAsia" w:ascii="宋体" w:hAnsi="宋体" w:cs="Times New Roman"/>
          <w:sz w:val="21"/>
          <w:szCs w:val="21"/>
        </w:rPr>
        <w:t>部货物（产品）均应按照国家、</w:t>
      </w:r>
      <w:r>
        <w:rPr>
          <w:rFonts w:hint="eastAsia" w:ascii="宋体" w:hAnsi="宋体"/>
          <w:sz w:val="21"/>
          <w:szCs w:val="21"/>
        </w:rPr>
        <w:t>行业规定的</w:t>
      </w:r>
      <w:r>
        <w:rPr>
          <w:rFonts w:hint="eastAsia" w:ascii="宋体" w:hAnsi="宋体" w:cs="Times New Roman"/>
          <w:sz w:val="21"/>
          <w:szCs w:val="21"/>
        </w:rPr>
        <w:t>标准和保护措施进行包装，该包装应适应于远距离运输、防潮、防震、防锈和防野蛮装卸，以确保货物安全运抵指定地点。</w:t>
      </w:r>
    </w:p>
    <w:p w14:paraId="43829060">
      <w:pPr>
        <w:pStyle w:val="4"/>
        <w:spacing w:line="360" w:lineRule="auto"/>
        <w:ind w:firstLine="735" w:firstLineChars="350"/>
        <w:jc w:val="left"/>
        <w:rPr>
          <w:rFonts w:hint="eastAsia" w:ascii="宋体" w:hAnsi="宋体"/>
          <w:szCs w:val="21"/>
        </w:rPr>
      </w:pPr>
      <w:r>
        <w:rPr>
          <w:rFonts w:hint="eastAsia" w:ascii="宋体" w:hAnsi="宋体"/>
          <w:szCs w:val="21"/>
        </w:rPr>
        <w:t>2.2.5.2 当包装使用塑料、纸质、木材等包装材料时，除应当按照国家、行业规定的包装标准进行包装外，还需按照《商品包装政府采购需求标准（试行）》（财办库[2020]）123号）规定的环保要求进行包装。</w:t>
      </w:r>
    </w:p>
    <w:p w14:paraId="7049778F">
      <w:pPr>
        <w:pStyle w:val="4"/>
        <w:spacing w:line="360" w:lineRule="auto"/>
        <w:ind w:firstLine="735" w:firstLineChars="350"/>
        <w:jc w:val="left"/>
        <w:rPr>
          <w:rFonts w:hint="eastAsia" w:ascii="宋体" w:hAnsi="宋体"/>
          <w:szCs w:val="21"/>
        </w:rPr>
      </w:pPr>
      <w:r>
        <w:rPr>
          <w:rFonts w:hint="eastAsia" w:ascii="宋体" w:hAnsi="宋体"/>
          <w:szCs w:val="21"/>
        </w:rPr>
        <w:t>2.2.5.3 当采用快递交货方式时，快递包装除应当按照国家、行业规定的包装标准进行包装外，还需按照《快递包装政府采购需求标准（试行）》（财办库[2020]）123号）规定的环保要求进行包装。</w:t>
      </w:r>
    </w:p>
    <w:p w14:paraId="7877986A">
      <w:pPr>
        <w:pStyle w:val="4"/>
        <w:spacing w:line="360" w:lineRule="auto"/>
        <w:ind w:firstLine="485" w:firstLineChars="230"/>
        <w:rPr>
          <w:rFonts w:hint="eastAsia" w:ascii="宋体" w:hAnsi="宋体"/>
          <w:b/>
          <w:szCs w:val="21"/>
        </w:rPr>
      </w:pPr>
      <w:r>
        <w:rPr>
          <w:rFonts w:hint="eastAsia" w:ascii="宋体" w:hAnsi="宋体"/>
          <w:b/>
          <w:bCs/>
          <w:color w:val="000000"/>
          <w:szCs w:val="21"/>
        </w:rPr>
        <w:t>2.2.6</w:t>
      </w:r>
      <w:r>
        <w:rPr>
          <w:rFonts w:hint="eastAsia" w:ascii="宋体" w:hAnsi="宋体"/>
          <w:b/>
          <w:szCs w:val="21"/>
        </w:rPr>
        <w:t xml:space="preserve"> 售后服务要求：</w:t>
      </w:r>
    </w:p>
    <w:p w14:paraId="2EDAE52D">
      <w:pPr>
        <w:pStyle w:val="4"/>
        <w:spacing w:line="360" w:lineRule="auto"/>
        <w:ind w:firstLine="312" w:firstLineChars="149"/>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szCs w:val="21"/>
        </w:rPr>
        <w:t>★</w:t>
      </w:r>
      <w:r>
        <w:rPr>
          <w:rFonts w:hint="eastAsia" w:ascii="宋体" w:hAnsi="宋体" w:cs="宋体"/>
          <w:b/>
          <w:color w:val="000000"/>
          <w:szCs w:val="21"/>
        </w:rPr>
        <w:t>2.2.6.1 基本要求</w:t>
      </w:r>
    </w:p>
    <w:p w14:paraId="04ECE172">
      <w:pPr>
        <w:pStyle w:val="4"/>
        <w:spacing w:line="360" w:lineRule="auto"/>
        <w:ind w:firstLine="627" w:firstLineChars="299"/>
        <w:rPr>
          <w:rFonts w:hint="eastAsia" w:ascii="宋体" w:hAnsi="宋体"/>
          <w:szCs w:val="21"/>
        </w:rPr>
      </w:pPr>
      <w:r>
        <w:rPr>
          <w:rFonts w:hint="eastAsia" w:ascii="宋体" w:hAnsi="宋体" w:cs="宋体"/>
          <w:color w:val="000000"/>
          <w:szCs w:val="21"/>
        </w:rPr>
        <w:t>（1）中标人</w:t>
      </w:r>
      <w:r>
        <w:rPr>
          <w:rFonts w:hint="eastAsia" w:ascii="宋体" w:hAnsi="宋体"/>
          <w:szCs w:val="21"/>
        </w:rPr>
        <w:t>须指派专人负责与采购人联系售后服务事宜；   </w:t>
      </w:r>
    </w:p>
    <w:p w14:paraId="317D7BC5">
      <w:pPr>
        <w:widowControl/>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（2）中标人负责货物（产品）的现场安装、调试和启动；</w:t>
      </w:r>
    </w:p>
    <w:p w14:paraId="737DB66C">
      <w:pPr>
        <w:widowControl/>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3）中标人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使用方安排；</w:t>
      </w:r>
    </w:p>
    <w:p w14:paraId="4A9EB314">
      <w:pPr>
        <w:widowControl/>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（4）质保期自采购人在货物质量验收单（终验）上签名之日起计算，质保费用计入总价；</w:t>
      </w:r>
    </w:p>
    <w:p w14:paraId="72288787">
      <w:pPr>
        <w:widowControl/>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（5）</w:t>
      </w:r>
      <w:r>
        <w:rPr>
          <w:rFonts w:hint="eastAsia" w:ascii="宋体" w:hAnsi="宋体" w:cs="宋体"/>
          <w:color w:val="000000"/>
          <w:kern w:val="0"/>
          <w:szCs w:val="21"/>
          <w:highlight w:val="none"/>
        </w:rPr>
        <w:t>质保期内，中标人负责对其提供的货物整机</w:t>
      </w:r>
      <w:r>
        <w:rPr>
          <w:rFonts w:hint="eastAsia" w:ascii="宋体" w:hAnsi="宋体" w:cs="宋体"/>
          <w:color w:val="000000"/>
          <w:kern w:val="0"/>
          <w:szCs w:val="21"/>
          <w:highlight w:val="none"/>
          <w:lang w:val="en-US" w:eastAsia="zh-CN"/>
        </w:rPr>
        <w:t>质量问题导致的故障负责免费维修，易损易耗件除外；</w:t>
      </w:r>
    </w:p>
    <w:p w14:paraId="538587A5">
      <w:pPr>
        <w:pStyle w:val="4"/>
        <w:spacing w:line="360" w:lineRule="auto"/>
        <w:ind w:firstLine="630" w:firstLineChars="300"/>
        <w:rPr>
          <w:rFonts w:hint="eastAsia" w:ascii="宋体" w:hAnsi="宋体" w:cs="宋体"/>
          <w:color w:val="auto"/>
          <w:szCs w:val="21"/>
          <w:highlight w:val="none"/>
        </w:rPr>
      </w:pPr>
      <w:r>
        <w:rPr>
          <w:rFonts w:hint="eastAsia" w:ascii="宋体" w:hAnsi="宋体" w:cs="宋体"/>
          <w:color w:val="auto"/>
          <w:kern w:val="0"/>
          <w:szCs w:val="21"/>
          <w:highlight w:val="none"/>
        </w:rPr>
        <w:t>（6）货物故障报修的响应时间为：</w:t>
      </w:r>
      <w:r>
        <w:rPr>
          <w:rFonts w:hint="eastAsia" w:ascii="宋体" w:hAnsi="宋体" w:cs="宋体"/>
          <w:color w:val="auto"/>
          <w:szCs w:val="21"/>
          <w:highlight w:val="none"/>
        </w:rPr>
        <w:t>工作期间（星期一至星期五8：00-18：00）为2时；非工作期间为4小时；</w:t>
      </w:r>
    </w:p>
    <w:p w14:paraId="060AC5B5">
      <w:pPr>
        <w:widowControl/>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rPr>
        <w:t>（7）中标人在接到甲方通知后须</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小时内完成维修或更换；</w:t>
      </w:r>
    </w:p>
    <w:p w14:paraId="6EE50CC9">
      <w:pPr>
        <w:widowControl/>
        <w:spacing w:line="360" w:lineRule="auto"/>
        <w:ind w:firstLine="630" w:firstLineChars="300"/>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（8）</w:t>
      </w:r>
      <w:r>
        <w:rPr>
          <w:rFonts w:hint="eastAsia" w:ascii="宋体" w:hAnsi="宋体" w:cs="宋体"/>
          <w:color w:val="auto"/>
          <w:kern w:val="0"/>
          <w:szCs w:val="21"/>
          <w:highlight w:val="none"/>
          <w:lang w:val="en-US" w:eastAsia="zh-CN"/>
        </w:rPr>
        <w:t>质保期内，产品质量问题导致设备发生故障，服务方式根据服务需要可以选择上门服务或车辆进站维修</w:t>
      </w:r>
      <w:r>
        <w:rPr>
          <w:rFonts w:hint="eastAsia" w:ascii="宋体" w:hAnsi="宋体" w:cs="宋体"/>
          <w:color w:val="auto"/>
          <w:szCs w:val="21"/>
          <w:highlight w:val="none"/>
        </w:rPr>
        <w:t>；</w:t>
      </w:r>
    </w:p>
    <w:p w14:paraId="5B620EAB">
      <w:pPr>
        <w:widowControl/>
        <w:spacing w:line="360" w:lineRule="auto"/>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（9）质保期结束后的货物维修、维护及费用由双方另行协商；</w:t>
      </w:r>
    </w:p>
    <w:p w14:paraId="6FCD2572">
      <w:pPr>
        <w:widowControl/>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rPr>
        <w:t>（10）其它。</w:t>
      </w:r>
    </w:p>
    <w:p w14:paraId="380925B3">
      <w:pPr>
        <w:pStyle w:val="4"/>
        <w:spacing w:line="360" w:lineRule="auto"/>
        <w:ind w:firstLine="735" w:firstLineChars="350"/>
        <w:rPr>
          <w:rFonts w:hint="eastAsia" w:ascii="宋体" w:hAnsi="宋体"/>
          <w:szCs w:val="21"/>
        </w:rPr>
      </w:pPr>
      <w:r>
        <w:rPr>
          <w:rFonts w:hint="eastAsia" w:ascii="宋体" w:hAnsi="宋体"/>
          <w:szCs w:val="21"/>
        </w:rPr>
        <w:t>★</w:t>
      </w:r>
      <w:r>
        <w:rPr>
          <w:rFonts w:hint="eastAsia" w:ascii="宋体" w:hAnsi="宋体"/>
          <w:b/>
          <w:szCs w:val="21"/>
        </w:rPr>
        <w:t>2.2.6.2 质保期要求：</w:t>
      </w:r>
      <w:r>
        <w:rPr>
          <w:rFonts w:hint="eastAsia" w:ascii="宋体" w:hAnsi="宋体" w:cs="宋体"/>
          <w:szCs w:val="21"/>
          <w:lang w:eastAsia="zh-CN"/>
        </w:rPr>
        <w:t>整车</w:t>
      </w:r>
      <w:r>
        <w:rPr>
          <w:rFonts w:hint="eastAsia" w:ascii="宋体" w:hAnsi="宋体" w:cs="宋体"/>
          <w:szCs w:val="21"/>
        </w:rPr>
        <w:t>的质保期</w:t>
      </w:r>
      <w:r>
        <w:rPr>
          <w:rFonts w:hint="eastAsia" w:ascii="宋体" w:hAnsi="宋体" w:cs="宋体"/>
          <w:szCs w:val="21"/>
          <w:lang w:val="en-US" w:eastAsia="zh-CN"/>
        </w:rPr>
        <w:t>不少于</w:t>
      </w:r>
      <w:r>
        <w:rPr>
          <w:rFonts w:hint="eastAsia" w:ascii="宋体" w:hAnsi="宋体" w:cs="宋体"/>
          <w:szCs w:val="21"/>
          <w:u w:val="single"/>
          <w:lang w:val="en-US" w:eastAsia="zh-CN"/>
        </w:rPr>
        <w:t>3年</w:t>
      </w:r>
      <w:r>
        <w:rPr>
          <w:rFonts w:hint="eastAsia" w:ascii="宋体" w:hAnsi="宋体" w:cs="宋体"/>
          <w:szCs w:val="21"/>
          <w:highlight w:val="none"/>
          <w:lang w:eastAsia="zh-CN"/>
        </w:rPr>
        <w:t>（</w:t>
      </w:r>
      <w:r>
        <w:rPr>
          <w:rFonts w:hint="eastAsia" w:ascii="宋体" w:hAnsi="宋体" w:cs="宋体"/>
          <w:szCs w:val="21"/>
          <w:highlight w:val="none"/>
          <w:lang w:val="en-US" w:eastAsia="zh-CN"/>
        </w:rPr>
        <w:t>易损易耗件除外）</w:t>
      </w:r>
      <w:r>
        <w:rPr>
          <w:rFonts w:hint="eastAsia" w:ascii="宋体" w:hAnsi="宋体" w:cs="宋体"/>
          <w:szCs w:val="21"/>
          <w:highlight w:val="none"/>
        </w:rPr>
        <w:t>；</w:t>
      </w:r>
      <w:r>
        <w:rPr>
          <w:rFonts w:hint="eastAsia" w:ascii="宋体" w:hAnsi="宋体" w:cs="宋体"/>
          <w:szCs w:val="21"/>
          <w:highlight w:val="none"/>
          <w:lang w:eastAsia="zh-CN"/>
        </w:rPr>
        <w:t>电池</w:t>
      </w:r>
      <w:r>
        <w:rPr>
          <w:rFonts w:hint="eastAsia" w:ascii="宋体" w:hAnsi="宋体" w:cs="宋体"/>
          <w:szCs w:val="21"/>
          <w:highlight w:val="none"/>
        </w:rPr>
        <w:t>的质保期</w:t>
      </w:r>
      <w:r>
        <w:rPr>
          <w:rFonts w:hint="eastAsia" w:ascii="宋体" w:hAnsi="宋体" w:cs="宋体"/>
          <w:szCs w:val="21"/>
          <w:highlight w:val="none"/>
          <w:lang w:val="en-US" w:eastAsia="zh-CN"/>
        </w:rPr>
        <w:t>不少于</w:t>
      </w:r>
      <w:r>
        <w:rPr>
          <w:rFonts w:hint="eastAsia" w:ascii="宋体" w:hAnsi="宋体" w:cs="宋体"/>
          <w:szCs w:val="21"/>
          <w:highlight w:val="none"/>
          <w:u w:val="single"/>
          <w:lang w:val="en-US" w:eastAsia="zh-CN"/>
        </w:rPr>
        <w:t>8年或30万公里</w:t>
      </w:r>
      <w:r>
        <w:rPr>
          <w:rFonts w:hint="eastAsia" w:ascii="宋体" w:hAnsi="宋体" w:cs="宋体"/>
          <w:szCs w:val="21"/>
          <w:highlight w:val="none"/>
          <w:u w:val="none"/>
          <w:lang w:val="en-US" w:eastAsia="zh-CN"/>
        </w:rPr>
        <w:t>。</w:t>
      </w:r>
      <w:r>
        <w:rPr>
          <w:rFonts w:hint="eastAsia" w:ascii="宋体" w:hAnsi="宋体" w:cs="宋体"/>
          <w:szCs w:val="21"/>
          <w:highlight w:val="none"/>
        </w:rPr>
        <w:t>投标</w:t>
      </w:r>
      <w:r>
        <w:rPr>
          <w:rFonts w:hint="eastAsia" w:ascii="宋体" w:hAnsi="宋体" w:cs="宋体"/>
          <w:szCs w:val="21"/>
        </w:rPr>
        <w:t>人承诺超过招标文件要求的，按其承诺的质保期进行质保，质保期起始时间为终验合格之日。</w:t>
      </w:r>
    </w:p>
    <w:p w14:paraId="4CEF5CD4">
      <w:pPr>
        <w:pStyle w:val="4"/>
        <w:spacing w:line="360" w:lineRule="auto"/>
        <w:ind w:firstLine="735" w:firstLineChars="350"/>
        <w:rPr>
          <w:rFonts w:hint="eastAsia" w:ascii="宋体" w:hAnsi="宋体"/>
          <w:szCs w:val="21"/>
        </w:rPr>
      </w:pPr>
      <w:r>
        <w:rPr>
          <w:rFonts w:hint="eastAsia" w:ascii="宋体" w:hAnsi="宋体"/>
          <w:szCs w:val="21"/>
        </w:rPr>
        <w:t>★</w:t>
      </w:r>
      <w:r>
        <w:rPr>
          <w:rFonts w:hint="eastAsia" w:ascii="宋体" w:hAnsi="宋体"/>
          <w:b/>
          <w:szCs w:val="21"/>
        </w:rPr>
        <w:t>2.2.6.3 产品“三包”要求：</w:t>
      </w:r>
      <w:r>
        <w:rPr>
          <w:rFonts w:hint="eastAsia" w:ascii="宋体" w:hAnsi="宋体"/>
          <w:szCs w:val="21"/>
        </w:rPr>
        <w:t>货物（产品）属于国家规定的“三包产品”，产品制造商、经销代理商应遵守“三包”的规定，在产品发生质量问题时，及时对所提供产品实行“包退、包换、保修”服务。</w:t>
      </w:r>
    </w:p>
    <w:p w14:paraId="416D042D">
      <w:pPr>
        <w:pStyle w:val="4"/>
        <w:spacing w:line="360" w:lineRule="auto"/>
        <w:ind w:firstLine="735" w:firstLineChars="350"/>
        <w:rPr>
          <w:rFonts w:hint="eastAsia" w:ascii="宋体" w:hAnsi="宋体"/>
          <w:b/>
          <w:szCs w:val="21"/>
        </w:rPr>
      </w:pPr>
      <w:r>
        <w:rPr>
          <w:rFonts w:hint="eastAsia" w:ascii="宋体" w:hAnsi="宋体"/>
          <w:szCs w:val="21"/>
        </w:rPr>
        <w:t>★</w:t>
      </w:r>
      <w:r>
        <w:rPr>
          <w:rFonts w:hint="eastAsia" w:ascii="宋体" w:hAnsi="宋体"/>
          <w:b/>
          <w:szCs w:val="21"/>
        </w:rPr>
        <w:t>2.2.6.4电子电器产品服务要求：</w:t>
      </w:r>
      <w:r>
        <w:rPr>
          <w:rFonts w:hint="eastAsia" w:ascii="宋体" w:hAnsi="宋体"/>
          <w:szCs w:val="21"/>
        </w:rPr>
        <w:t>货物（产品）属于电子电器的，产品制造商、经销代理商应按照《政府采购电子电器服务规范》（GB/T 33496-2017）的要求提供服务。</w:t>
      </w:r>
    </w:p>
    <w:p w14:paraId="401D91EA">
      <w:pPr>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2.2.7其他要求：所投车型必须在国家发改委或工信部发布的《车辆生产企业及产品》公告内，提供车辆3C认证。</w:t>
      </w:r>
    </w:p>
    <w:p w14:paraId="4C445908">
      <w:pPr>
        <w:pStyle w:val="2"/>
        <w:rPr>
          <w:rFonts w:hint="default" w:eastAsia="宋体"/>
          <w:lang w:val="en-US" w:eastAsia="zh-CN"/>
        </w:rPr>
      </w:pPr>
      <w:r>
        <w:rPr>
          <w:rFonts w:hint="eastAsia" w:ascii="黑体" w:hAnsi="黑体"/>
          <w:b/>
          <w:bCs w:val="0"/>
          <w:sz w:val="32"/>
          <w:szCs w:val="32"/>
          <w:lang w:val="en-US" w:eastAsia="zh-CN"/>
        </w:rPr>
        <w:t>3</w:t>
      </w:r>
      <w:r>
        <w:rPr>
          <w:rFonts w:hint="eastAsia" w:ascii="黑体" w:hAnsi="黑体"/>
          <w:b/>
          <w:bCs w:val="0"/>
          <w:sz w:val="32"/>
          <w:szCs w:val="32"/>
        </w:rPr>
        <w:t>.</w:t>
      </w:r>
      <w:r>
        <w:rPr>
          <w:rFonts w:hint="eastAsia" w:ascii="黑体" w:hAnsi="黑体"/>
          <w:b/>
          <w:bCs w:val="0"/>
          <w:sz w:val="32"/>
          <w:szCs w:val="32"/>
          <w:lang w:eastAsia="zh-CN"/>
        </w:rPr>
        <w:t>其他：</w:t>
      </w:r>
      <w:r>
        <w:rPr>
          <w:rFonts w:hint="eastAsia" w:ascii="黑体" w:hAnsi="黑体"/>
          <w:b/>
          <w:bCs w:val="0"/>
          <w:sz w:val="32"/>
          <w:szCs w:val="32"/>
          <w:lang w:val="en-US" w:eastAsia="zh-CN"/>
        </w:rPr>
        <w:t>/</w:t>
      </w:r>
    </w:p>
    <w:p w14:paraId="781B77FA">
      <w:pPr>
        <w:rPr>
          <w:rFonts w:hint="eastAsia" w:ascii="宋体" w:hAnsi="宋体" w:cs="宋体"/>
          <w:b/>
          <w:bCs/>
          <w:color w:val="auto"/>
          <w:szCs w:val="21"/>
          <w:highlight w:val="none"/>
        </w:rPr>
      </w:pPr>
    </w:p>
    <w:p w14:paraId="19215CF6">
      <w:pPr>
        <w:pStyle w:val="2"/>
        <w:rPr>
          <w:rFonts w:hint="eastAsia"/>
        </w:rPr>
      </w:pPr>
    </w:p>
    <w:p w14:paraId="469CE537">
      <w:pPr>
        <w:rPr>
          <w:rFonts w:hint="eastAsia" w:ascii="宋体" w:hAnsi="宋体" w:cs="宋体"/>
          <w:b/>
          <w:bCs/>
          <w:color w:val="auto"/>
          <w:szCs w:val="21"/>
          <w:highlight w:val="none"/>
        </w:rPr>
      </w:pPr>
    </w:p>
    <w:p w14:paraId="7AF24013">
      <w:pPr>
        <w:spacing w:line="360" w:lineRule="auto"/>
        <w:ind w:firstLine="5520" w:firstLineChars="2300"/>
        <w:jc w:val="both"/>
        <w:rPr>
          <w:rFonts w:hint="eastAsia" w:ascii="宋体" w:hAnsi="宋体" w:eastAsia="宋体" w:cs="宋体"/>
          <w:sz w:val="24"/>
          <w:szCs w:val="24"/>
          <w:lang w:val="en-US" w:eastAsia="zh-CN"/>
        </w:rPr>
      </w:pPr>
    </w:p>
    <w:sectPr>
      <w:pgSz w:w="11906" w:h="16838"/>
      <w:pgMar w:top="1440" w:right="1800" w:bottom="1135"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MWYyZDNhM2MyN2IxMWZiZjE3OGZiYjU1NjEyNWY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269A2"/>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065914"/>
    <w:rsid w:val="01A85D51"/>
    <w:rsid w:val="01B02497"/>
    <w:rsid w:val="0305345B"/>
    <w:rsid w:val="03110A1D"/>
    <w:rsid w:val="03740908"/>
    <w:rsid w:val="038B16BF"/>
    <w:rsid w:val="03DC31A4"/>
    <w:rsid w:val="03F273EE"/>
    <w:rsid w:val="04267B2D"/>
    <w:rsid w:val="047A28E7"/>
    <w:rsid w:val="04DE7715"/>
    <w:rsid w:val="05472047"/>
    <w:rsid w:val="06231E4A"/>
    <w:rsid w:val="065305E3"/>
    <w:rsid w:val="067405A0"/>
    <w:rsid w:val="0680446C"/>
    <w:rsid w:val="079F65E4"/>
    <w:rsid w:val="07AB1B2F"/>
    <w:rsid w:val="07E13409"/>
    <w:rsid w:val="083640B7"/>
    <w:rsid w:val="091A5787"/>
    <w:rsid w:val="098456E1"/>
    <w:rsid w:val="09EF1040"/>
    <w:rsid w:val="09F917B5"/>
    <w:rsid w:val="0A5B7E05"/>
    <w:rsid w:val="0B276C16"/>
    <w:rsid w:val="0C4067A4"/>
    <w:rsid w:val="0D1576D5"/>
    <w:rsid w:val="0D4159DB"/>
    <w:rsid w:val="0D8A764D"/>
    <w:rsid w:val="0FC2566D"/>
    <w:rsid w:val="10674EC9"/>
    <w:rsid w:val="11B4482B"/>
    <w:rsid w:val="1324792E"/>
    <w:rsid w:val="138460B2"/>
    <w:rsid w:val="13CB59DF"/>
    <w:rsid w:val="13DA1E6D"/>
    <w:rsid w:val="145778EC"/>
    <w:rsid w:val="14BC76F2"/>
    <w:rsid w:val="14D8043E"/>
    <w:rsid w:val="14F668E8"/>
    <w:rsid w:val="15DF7B3C"/>
    <w:rsid w:val="162B0FD3"/>
    <w:rsid w:val="164C2CF7"/>
    <w:rsid w:val="17966920"/>
    <w:rsid w:val="17AB49A7"/>
    <w:rsid w:val="18353AB1"/>
    <w:rsid w:val="1845231B"/>
    <w:rsid w:val="19A430EA"/>
    <w:rsid w:val="19FE3C8E"/>
    <w:rsid w:val="1AA155E6"/>
    <w:rsid w:val="1AE92047"/>
    <w:rsid w:val="1AED2CFB"/>
    <w:rsid w:val="1D335575"/>
    <w:rsid w:val="1E9B4D03"/>
    <w:rsid w:val="1ED949AE"/>
    <w:rsid w:val="1EFF13BA"/>
    <w:rsid w:val="1F7B7698"/>
    <w:rsid w:val="1FAD14E7"/>
    <w:rsid w:val="20282A2C"/>
    <w:rsid w:val="20C50B2B"/>
    <w:rsid w:val="22C00CF5"/>
    <w:rsid w:val="23244DE0"/>
    <w:rsid w:val="237779EA"/>
    <w:rsid w:val="23C12205"/>
    <w:rsid w:val="23CD5CB2"/>
    <w:rsid w:val="23CF6686"/>
    <w:rsid w:val="243756BF"/>
    <w:rsid w:val="25535E50"/>
    <w:rsid w:val="25536B01"/>
    <w:rsid w:val="26234705"/>
    <w:rsid w:val="26876324"/>
    <w:rsid w:val="275639D6"/>
    <w:rsid w:val="27F356C9"/>
    <w:rsid w:val="28B0139C"/>
    <w:rsid w:val="28E812AB"/>
    <w:rsid w:val="28F77A8E"/>
    <w:rsid w:val="28F91618"/>
    <w:rsid w:val="29210AC9"/>
    <w:rsid w:val="297B0F22"/>
    <w:rsid w:val="29A14838"/>
    <w:rsid w:val="29B95207"/>
    <w:rsid w:val="29BA46F0"/>
    <w:rsid w:val="2B2E2568"/>
    <w:rsid w:val="2BCA6741"/>
    <w:rsid w:val="2BE31EF4"/>
    <w:rsid w:val="2C493B09"/>
    <w:rsid w:val="2C9F5E1F"/>
    <w:rsid w:val="2E5B1AB0"/>
    <w:rsid w:val="2FE02DCB"/>
    <w:rsid w:val="303C39A6"/>
    <w:rsid w:val="30607673"/>
    <w:rsid w:val="30632727"/>
    <w:rsid w:val="30CD2F5B"/>
    <w:rsid w:val="30F304E8"/>
    <w:rsid w:val="31F85FCA"/>
    <w:rsid w:val="321276D4"/>
    <w:rsid w:val="3247275C"/>
    <w:rsid w:val="33905CC9"/>
    <w:rsid w:val="339F04B3"/>
    <w:rsid w:val="34495B9A"/>
    <w:rsid w:val="34F1019F"/>
    <w:rsid w:val="34F5482E"/>
    <w:rsid w:val="350478CF"/>
    <w:rsid w:val="351F5D4F"/>
    <w:rsid w:val="3563207D"/>
    <w:rsid w:val="36301896"/>
    <w:rsid w:val="36445382"/>
    <w:rsid w:val="36613D32"/>
    <w:rsid w:val="369B2251"/>
    <w:rsid w:val="37307DA0"/>
    <w:rsid w:val="3827387C"/>
    <w:rsid w:val="38D02912"/>
    <w:rsid w:val="38EA6FCF"/>
    <w:rsid w:val="39EF40CE"/>
    <w:rsid w:val="3B5C413D"/>
    <w:rsid w:val="3B84690C"/>
    <w:rsid w:val="3C2C3E09"/>
    <w:rsid w:val="3D300AAB"/>
    <w:rsid w:val="3DCA479C"/>
    <w:rsid w:val="3DE2791A"/>
    <w:rsid w:val="3ED728CC"/>
    <w:rsid w:val="3F026F6A"/>
    <w:rsid w:val="3FA96941"/>
    <w:rsid w:val="404623E2"/>
    <w:rsid w:val="40B7286F"/>
    <w:rsid w:val="40BA20B3"/>
    <w:rsid w:val="40D75730"/>
    <w:rsid w:val="40FE7FFE"/>
    <w:rsid w:val="41166258"/>
    <w:rsid w:val="41557C5E"/>
    <w:rsid w:val="41C04416"/>
    <w:rsid w:val="427F3BE3"/>
    <w:rsid w:val="431810BA"/>
    <w:rsid w:val="43655275"/>
    <w:rsid w:val="453B71A2"/>
    <w:rsid w:val="45751EAF"/>
    <w:rsid w:val="470624C1"/>
    <w:rsid w:val="472E451D"/>
    <w:rsid w:val="47594B77"/>
    <w:rsid w:val="47AC7234"/>
    <w:rsid w:val="48455675"/>
    <w:rsid w:val="48693111"/>
    <w:rsid w:val="48F21359"/>
    <w:rsid w:val="48F56E8B"/>
    <w:rsid w:val="49FF2F03"/>
    <w:rsid w:val="4A1C49A5"/>
    <w:rsid w:val="4B0440BD"/>
    <w:rsid w:val="4B3F63AB"/>
    <w:rsid w:val="4B5C11E9"/>
    <w:rsid w:val="4BDA1471"/>
    <w:rsid w:val="4C6D45D0"/>
    <w:rsid w:val="4CB81013"/>
    <w:rsid w:val="4D1A5B50"/>
    <w:rsid w:val="4D803341"/>
    <w:rsid w:val="4DB90697"/>
    <w:rsid w:val="4DBA7F6B"/>
    <w:rsid w:val="4E8B1908"/>
    <w:rsid w:val="4F7D3946"/>
    <w:rsid w:val="50506965"/>
    <w:rsid w:val="50994C26"/>
    <w:rsid w:val="50C80BF1"/>
    <w:rsid w:val="50E81293"/>
    <w:rsid w:val="50F67D68"/>
    <w:rsid w:val="513306CA"/>
    <w:rsid w:val="51C67440"/>
    <w:rsid w:val="51E60236"/>
    <w:rsid w:val="5281374D"/>
    <w:rsid w:val="52A410B3"/>
    <w:rsid w:val="537B54DD"/>
    <w:rsid w:val="54BE6593"/>
    <w:rsid w:val="55007CDE"/>
    <w:rsid w:val="5531145B"/>
    <w:rsid w:val="557B6416"/>
    <w:rsid w:val="56073F6A"/>
    <w:rsid w:val="56EF0050"/>
    <w:rsid w:val="58626D56"/>
    <w:rsid w:val="59AB4066"/>
    <w:rsid w:val="59BD150F"/>
    <w:rsid w:val="59C3464B"/>
    <w:rsid w:val="59FB327B"/>
    <w:rsid w:val="5A305B87"/>
    <w:rsid w:val="5AA138D3"/>
    <w:rsid w:val="5AD55561"/>
    <w:rsid w:val="5C5D74DD"/>
    <w:rsid w:val="5D164480"/>
    <w:rsid w:val="5E381792"/>
    <w:rsid w:val="5EA7453C"/>
    <w:rsid w:val="5EE917E4"/>
    <w:rsid w:val="5EF46288"/>
    <w:rsid w:val="5F50072F"/>
    <w:rsid w:val="5FEB60B1"/>
    <w:rsid w:val="5FED41D0"/>
    <w:rsid w:val="600F1A6D"/>
    <w:rsid w:val="60882F39"/>
    <w:rsid w:val="60BE344C"/>
    <w:rsid w:val="60DF1D6B"/>
    <w:rsid w:val="61DF1B49"/>
    <w:rsid w:val="624D3D9E"/>
    <w:rsid w:val="635512C0"/>
    <w:rsid w:val="63A757A8"/>
    <w:rsid w:val="63ED29F1"/>
    <w:rsid w:val="64970BAF"/>
    <w:rsid w:val="64C64FF0"/>
    <w:rsid w:val="64D7031E"/>
    <w:rsid w:val="65530F79"/>
    <w:rsid w:val="65D75DFB"/>
    <w:rsid w:val="66D63C10"/>
    <w:rsid w:val="672E75A8"/>
    <w:rsid w:val="67946E1D"/>
    <w:rsid w:val="683F7F25"/>
    <w:rsid w:val="69E77EE2"/>
    <w:rsid w:val="6AB26CAC"/>
    <w:rsid w:val="6B9419A4"/>
    <w:rsid w:val="6C0A7EB8"/>
    <w:rsid w:val="6C1E3EA2"/>
    <w:rsid w:val="6C597F2E"/>
    <w:rsid w:val="6C7A3290"/>
    <w:rsid w:val="6CE1330F"/>
    <w:rsid w:val="6CE54BAD"/>
    <w:rsid w:val="6D233F3F"/>
    <w:rsid w:val="6EF36F2B"/>
    <w:rsid w:val="6F8967F6"/>
    <w:rsid w:val="700370F8"/>
    <w:rsid w:val="704D0934"/>
    <w:rsid w:val="7064228D"/>
    <w:rsid w:val="706E12A8"/>
    <w:rsid w:val="712028BB"/>
    <w:rsid w:val="719A33CE"/>
    <w:rsid w:val="71B66B18"/>
    <w:rsid w:val="721E75C9"/>
    <w:rsid w:val="72DE6D6E"/>
    <w:rsid w:val="73174736"/>
    <w:rsid w:val="734608FB"/>
    <w:rsid w:val="7364476A"/>
    <w:rsid w:val="74104579"/>
    <w:rsid w:val="74766CB2"/>
    <w:rsid w:val="74E62003"/>
    <w:rsid w:val="75512505"/>
    <w:rsid w:val="75524390"/>
    <w:rsid w:val="759E4F2F"/>
    <w:rsid w:val="76DA32A9"/>
    <w:rsid w:val="77D31AA6"/>
    <w:rsid w:val="77E45A61"/>
    <w:rsid w:val="791530A4"/>
    <w:rsid w:val="792C4553"/>
    <w:rsid w:val="79755659"/>
    <w:rsid w:val="7A5058EE"/>
    <w:rsid w:val="7A662BE7"/>
    <w:rsid w:val="7A6D3CF3"/>
    <w:rsid w:val="7ABA25EC"/>
    <w:rsid w:val="7ACF25AC"/>
    <w:rsid w:val="7C316D7A"/>
    <w:rsid w:val="7D2877F5"/>
    <w:rsid w:val="7D5E0D0C"/>
    <w:rsid w:val="7D902913"/>
    <w:rsid w:val="7DE80A36"/>
    <w:rsid w:val="7E2E3EDA"/>
    <w:rsid w:val="7F86368D"/>
    <w:rsid w:val="7FE5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2"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4">
    <w:name w:val="Normal Indent"/>
    <w:basedOn w:val="1"/>
    <w:next w:val="1"/>
    <w:qFormat/>
    <w:uiPriority w:val="0"/>
    <w:pPr>
      <w:ind w:firstLine="420"/>
    </w:pPr>
    <w:rPr>
      <w:szCs w:val="20"/>
    </w:rPr>
  </w:style>
  <w:style w:type="paragraph" w:styleId="7">
    <w:name w:val="annotation text"/>
    <w:basedOn w:val="1"/>
    <w:link w:val="44"/>
    <w:semiHidden/>
    <w:unhideWhenUsed/>
    <w:qFormat/>
    <w:uiPriority w:val="99"/>
    <w:pPr>
      <w:jc w:val="left"/>
    </w:pPr>
  </w:style>
  <w:style w:type="paragraph" w:styleId="8">
    <w:name w:val="Body Text Indent"/>
    <w:basedOn w:val="1"/>
    <w:qFormat/>
    <w:uiPriority w:val="0"/>
    <w:pPr>
      <w:ind w:firstLine="632" w:firstLineChars="200"/>
    </w:pPr>
    <w:rPr>
      <w:rFonts w:ascii="仿宋_GB2312" w:hAnsi="华文楷体" w:eastAsia="仿宋_GB2312"/>
      <w:sz w:val="32"/>
    </w:rPr>
  </w:style>
  <w:style w:type="paragraph" w:styleId="9">
    <w:name w:val="Plain Text"/>
    <w:basedOn w:val="1"/>
    <w:qFormat/>
    <w:uiPriority w:val="0"/>
    <w:rPr>
      <w:rFonts w:ascii="宋体" w:hAnsi="Courier New" w:cs="Courier New"/>
      <w:szCs w:val="21"/>
    </w:rPr>
  </w:style>
  <w:style w:type="paragraph" w:styleId="10">
    <w:name w:val="Balloon Text"/>
    <w:basedOn w:val="1"/>
    <w:link w:val="46"/>
    <w:semiHidden/>
    <w:unhideWhenUsed/>
    <w:qFormat/>
    <w:uiPriority w:val="99"/>
    <w:rPr>
      <w:sz w:val="18"/>
      <w:szCs w:val="18"/>
    </w:rPr>
  </w:style>
  <w:style w:type="paragraph" w:styleId="11">
    <w:name w:val="footer"/>
    <w:basedOn w:val="1"/>
    <w:next w:val="2"/>
    <w:link w:val="43"/>
    <w:unhideWhenUsed/>
    <w:qFormat/>
    <w:uiPriority w:val="99"/>
    <w:pPr>
      <w:tabs>
        <w:tab w:val="center" w:pos="4153"/>
        <w:tab w:val="right" w:pos="8306"/>
      </w:tabs>
      <w:snapToGrid w:val="0"/>
      <w:jc w:val="left"/>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45"/>
    <w:semiHidden/>
    <w:unhideWhenUsed/>
    <w:qFormat/>
    <w:uiPriority w:val="99"/>
    <w:rPr>
      <w:b/>
      <w:bCs/>
    </w:rPr>
  </w:style>
  <w:style w:type="paragraph" w:styleId="14">
    <w:name w:val="Body Text First Indent"/>
    <w:basedOn w:val="2"/>
    <w:next w:val="15"/>
    <w:unhideWhenUsed/>
    <w:qFormat/>
    <w:uiPriority w:val="99"/>
    <w:pPr>
      <w:widowControl w:val="0"/>
      <w:spacing w:before="0" w:beforeAutospacing="0" w:after="120" w:afterAutospacing="0"/>
      <w:ind w:firstLine="420" w:firstLineChars="100"/>
      <w:jc w:val="both"/>
    </w:pPr>
    <w:rPr>
      <w:rFonts w:ascii="Tahoma" w:hAnsi="Tahoma"/>
    </w:rPr>
  </w:style>
  <w:style w:type="paragraph" w:styleId="15">
    <w:name w:val="Body Text First Indent 2"/>
    <w:basedOn w:val="8"/>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paragraph" w:customStyle="1" w:styleId="20">
    <w:name w:val="※封面大标题"/>
    <w:basedOn w:val="1"/>
    <w:next w:val="1"/>
    <w:qFormat/>
    <w:uiPriority w:val="0"/>
    <w:pPr>
      <w:widowControl/>
      <w:jc w:val="center"/>
    </w:pPr>
    <w:rPr>
      <w:rFonts w:ascii="华文中宋" w:hAnsi="华文中宋" w:eastAsia="华文中宋"/>
      <w:sz w:val="96"/>
      <w:szCs w:val="96"/>
    </w:rPr>
  </w:style>
  <w:style w:type="paragraph" w:customStyle="1" w:styleId="21">
    <w:name w:val="※封面题颌"/>
    <w:basedOn w:val="1"/>
    <w:next w:val="1"/>
    <w:qFormat/>
    <w:uiPriority w:val="0"/>
    <w:pPr>
      <w:widowControl/>
      <w:jc w:val="center"/>
    </w:pPr>
    <w:rPr>
      <w:rFonts w:ascii="Calibri Light" w:hAnsi="Calibri Light" w:eastAsia="华文仿宋"/>
      <w:sz w:val="36"/>
      <w:szCs w:val="36"/>
    </w:rPr>
  </w:style>
  <w:style w:type="paragraph" w:customStyle="1" w:styleId="22">
    <w:name w:val="※封面题眉"/>
    <w:basedOn w:val="1"/>
    <w:next w:val="20"/>
    <w:qFormat/>
    <w:uiPriority w:val="0"/>
    <w:pPr>
      <w:widowControl/>
      <w:jc w:val="center"/>
    </w:pPr>
    <w:rPr>
      <w:rFonts w:ascii="华文仿宋" w:hAnsi="华文仿宋" w:eastAsia="华文仿宋"/>
      <w:sz w:val="52"/>
      <w:szCs w:val="28"/>
    </w:rPr>
  </w:style>
  <w:style w:type="paragraph" w:customStyle="1" w:styleId="2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5">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8">
    <w:name w:val="※小标题 一"/>
    <w:basedOn w:val="27"/>
    <w:next w:val="27"/>
    <w:qFormat/>
    <w:uiPriority w:val="0"/>
    <w:pPr>
      <w:spacing w:before="120" w:line="240" w:lineRule="auto"/>
      <w:outlineLvl w:val="2"/>
    </w:pPr>
    <w:rPr>
      <w:b/>
      <w:color w:val="203864" w:themeColor="accent5" w:themeShade="80"/>
      <w:sz w:val="32"/>
    </w:rPr>
  </w:style>
  <w:style w:type="paragraph" w:customStyle="1" w:styleId="29">
    <w:name w:val="※小标题（1）"/>
    <w:basedOn w:val="1"/>
    <w:next w:val="2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30">
    <w:name w:val="※小标题（一）"/>
    <w:basedOn w:val="1"/>
    <w:next w:val="2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3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3">
    <w:name w:val="※页眉"/>
    <w:basedOn w:val="27"/>
    <w:qFormat/>
    <w:uiPriority w:val="0"/>
    <w:pPr>
      <w:pBdr>
        <w:bottom w:val="single" w:color="auto" w:sz="4" w:space="1"/>
      </w:pBdr>
      <w:spacing w:line="240" w:lineRule="atLeast"/>
      <w:jc w:val="right"/>
    </w:pPr>
    <w:rPr>
      <w:rFonts w:ascii="宋体" w:hAnsi="宋体" w:eastAsia="宋体"/>
      <w:sz w:val="18"/>
    </w:rPr>
  </w:style>
  <w:style w:type="paragraph" w:customStyle="1" w:styleId="3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6">
    <w:name w:val="※章节标题（第Z部分分项）"/>
    <w:basedOn w:val="35"/>
    <w:qFormat/>
    <w:uiPriority w:val="0"/>
    <w:pPr>
      <w:outlineLvl w:val="2"/>
    </w:pPr>
  </w:style>
  <w:style w:type="paragraph" w:customStyle="1" w:styleId="3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8">
    <w:name w:val="※正文（缩进2）"/>
    <w:basedOn w:val="27"/>
    <w:qFormat/>
    <w:uiPriority w:val="0"/>
    <w:pPr>
      <w:ind w:firstLine="200" w:firstLineChars="200"/>
    </w:pPr>
  </w:style>
  <w:style w:type="paragraph" w:customStyle="1" w:styleId="39">
    <w:name w:val="※正文（缩进4）"/>
    <w:basedOn w:val="27"/>
    <w:qFormat/>
    <w:uiPriority w:val="0"/>
    <w:pPr>
      <w:ind w:firstLine="400" w:firstLineChars="400"/>
    </w:pPr>
  </w:style>
  <w:style w:type="paragraph" w:customStyle="1" w:styleId="40">
    <w:name w:val="样式"/>
    <w:link w:val="4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1">
    <w:name w:val="样式 Char Char"/>
    <w:link w:val="40"/>
    <w:qFormat/>
    <w:locked/>
    <w:uiPriority w:val="0"/>
    <w:rPr>
      <w:rFonts w:ascii="宋体" w:hAnsi="宋体" w:eastAsia="宋体" w:cs="宋体"/>
      <w:kern w:val="0"/>
      <w:sz w:val="24"/>
      <w:szCs w:val="24"/>
    </w:rPr>
  </w:style>
  <w:style w:type="character" w:customStyle="1" w:styleId="42">
    <w:name w:val="页眉 Char"/>
    <w:basedOn w:val="18"/>
    <w:link w:val="12"/>
    <w:qFormat/>
    <w:uiPriority w:val="99"/>
    <w:rPr>
      <w:rFonts w:ascii="Calibri" w:hAnsi="Calibri" w:eastAsia="宋体" w:cs="Times New Roman"/>
      <w:sz w:val="18"/>
      <w:szCs w:val="18"/>
    </w:rPr>
  </w:style>
  <w:style w:type="character" w:customStyle="1" w:styleId="43">
    <w:name w:val="页脚 Char"/>
    <w:basedOn w:val="18"/>
    <w:link w:val="11"/>
    <w:qFormat/>
    <w:uiPriority w:val="99"/>
    <w:rPr>
      <w:rFonts w:ascii="Calibri" w:hAnsi="Calibri" w:eastAsia="宋体" w:cs="Times New Roman"/>
      <w:sz w:val="18"/>
      <w:szCs w:val="18"/>
    </w:rPr>
  </w:style>
  <w:style w:type="character" w:customStyle="1" w:styleId="44">
    <w:name w:val="批注文字 Char"/>
    <w:basedOn w:val="18"/>
    <w:link w:val="7"/>
    <w:semiHidden/>
    <w:qFormat/>
    <w:uiPriority w:val="99"/>
    <w:rPr>
      <w:rFonts w:ascii="Calibri" w:hAnsi="Calibri" w:eastAsia="宋体" w:cs="Times New Roman"/>
    </w:rPr>
  </w:style>
  <w:style w:type="character" w:customStyle="1" w:styleId="45">
    <w:name w:val="批注主题 Char"/>
    <w:basedOn w:val="44"/>
    <w:link w:val="13"/>
    <w:semiHidden/>
    <w:qFormat/>
    <w:uiPriority w:val="99"/>
    <w:rPr>
      <w:rFonts w:ascii="Calibri" w:hAnsi="Calibri" w:eastAsia="宋体" w:cs="Times New Roman"/>
      <w:b/>
      <w:bCs/>
    </w:rPr>
  </w:style>
  <w:style w:type="character" w:customStyle="1" w:styleId="46">
    <w:name w:val="批注框文本 Char"/>
    <w:basedOn w:val="18"/>
    <w:link w:val="10"/>
    <w:semiHidden/>
    <w:qFormat/>
    <w:uiPriority w:val="99"/>
    <w:rPr>
      <w:rFonts w:ascii="Calibri" w:hAnsi="Calibri" w:eastAsia="宋体" w:cs="Times New Roman"/>
      <w:sz w:val="18"/>
      <w:szCs w:val="18"/>
    </w:rPr>
  </w:style>
  <w:style w:type="paragraph" w:styleId="47">
    <w:name w:val="List Paragraph"/>
    <w:basedOn w:val="1"/>
    <w:qFormat/>
    <w:uiPriority w:val="34"/>
    <w:pPr>
      <w:ind w:firstLine="420" w:firstLineChars="200"/>
    </w:pPr>
    <w:rPr>
      <w:rFonts w:asciiTheme="minorHAnsi" w:hAnsiTheme="minorHAnsi" w:eastAsiaTheme="minorEastAsia" w:cstheme="minorBidi"/>
    </w:rPr>
  </w:style>
  <w:style w:type="table" w:customStyle="1" w:styleId="48">
    <w:name w:val="Grid Table 4 Accent 3"/>
    <w:basedOn w:val="16"/>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9">
    <w:name w:val="font21"/>
    <w:basedOn w:val="18"/>
    <w:qFormat/>
    <w:uiPriority w:val="0"/>
    <w:rPr>
      <w:rFonts w:hint="eastAsia" w:ascii="宋体" w:hAnsi="宋体" w:eastAsia="宋体" w:cs="宋体"/>
      <w:color w:val="000000"/>
      <w:sz w:val="24"/>
      <w:szCs w:val="24"/>
      <w:u w:val="none"/>
    </w:rPr>
  </w:style>
  <w:style w:type="character" w:customStyle="1" w:styleId="50">
    <w:name w:val="font51"/>
    <w:basedOn w:val="18"/>
    <w:qFormat/>
    <w:uiPriority w:val="0"/>
    <w:rPr>
      <w:rFonts w:hint="eastAsia" w:ascii="宋体" w:hAnsi="宋体" w:eastAsia="宋体" w:cs="宋体"/>
      <w:b/>
      <w:bCs/>
      <w:color w:val="FF0000"/>
      <w:sz w:val="24"/>
      <w:szCs w:val="24"/>
      <w:u w:val="none"/>
    </w:rPr>
  </w:style>
  <w:style w:type="character" w:customStyle="1" w:styleId="51">
    <w:name w:val="font01"/>
    <w:basedOn w:val="18"/>
    <w:qFormat/>
    <w:uiPriority w:val="0"/>
    <w:rPr>
      <w:rFonts w:hint="eastAsia" w:ascii="宋体" w:hAnsi="宋体" w:eastAsia="宋体" w:cs="宋体"/>
      <w:color w:val="FF0000"/>
      <w:sz w:val="24"/>
      <w:szCs w:val="24"/>
      <w:u w:val="none"/>
    </w:rPr>
  </w:style>
  <w:style w:type="character" w:customStyle="1" w:styleId="52">
    <w:name w:val="font61"/>
    <w:basedOn w:val="18"/>
    <w:qFormat/>
    <w:uiPriority w:val="0"/>
    <w:rPr>
      <w:rFonts w:hint="eastAsia" w:ascii="宋体" w:hAnsi="宋体" w:eastAsia="宋体" w:cs="宋体"/>
      <w:b/>
      <w:bCs/>
      <w:color w:val="000000"/>
      <w:sz w:val="24"/>
      <w:szCs w:val="24"/>
      <w:u w:val="none"/>
    </w:rPr>
  </w:style>
  <w:style w:type="character" w:customStyle="1" w:styleId="53">
    <w:name w:val="font71"/>
    <w:basedOn w:val="18"/>
    <w:qFormat/>
    <w:uiPriority w:val="0"/>
    <w:rPr>
      <w:rFonts w:hint="eastAsia" w:ascii="宋体" w:hAnsi="宋体" w:eastAsia="宋体" w:cs="宋体"/>
      <w:b/>
      <w:bCs/>
      <w:color w:val="FF0000"/>
      <w:sz w:val="24"/>
      <w:szCs w:val="24"/>
      <w:u w:val="none"/>
    </w:rPr>
  </w:style>
  <w:style w:type="paragraph" w:customStyle="1" w:styleId="54">
    <w:name w:val="Table Paragraph"/>
    <w:basedOn w:val="1"/>
    <w:qFormat/>
    <w:uiPriority w:val="1"/>
    <w:pPr>
      <w:autoSpaceDE w:val="0"/>
      <w:autoSpaceDN w:val="0"/>
      <w:spacing w:before="60"/>
      <w:jc w:val="center"/>
    </w:pPr>
    <w:rPr>
      <w:rFonts w:ascii="宋体" w:hAnsi="宋体" w:cs="宋体"/>
      <w:kern w:val="0"/>
      <w:sz w:val="22"/>
      <w:szCs w:val="22"/>
      <w:lang w:val="zh-CN" w:bidi="zh-CN"/>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4196</Words>
  <Characters>4586</Characters>
  <Lines>22</Lines>
  <Paragraphs>6</Paragraphs>
  <TotalTime>6</TotalTime>
  <ScaleCrop>false</ScaleCrop>
  <LinksUpToDate>false</LinksUpToDate>
  <CharactersWithSpaces>4784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九思雨</cp:lastModifiedBy>
  <cp:lastPrinted>2024-08-23T09:19:00Z</cp:lastPrinted>
  <dcterms:modified xsi:type="dcterms:W3CDTF">2024-12-09T13:16:57Z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03F6FC2EFB1F43FE99969CCB2E0BDBA4_13</vt:lpwstr>
  </property>
</Properties>
</file>