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碑林区城市管理和综合执法局纯电动餐厨垃圾车购买项目</w:t>
      </w:r>
    </w:p>
    <w:p>
      <w:pPr>
        <w:pStyle w:val="null3"/>
        <w:jc w:val="center"/>
        <w:outlineLvl w:val="2"/>
      </w:pPr>
      <w:r>
        <w:rPr>
          <w:sz w:val="28"/>
          <w:b/>
        </w:rPr>
        <w:t>采购项目编号：</w:t>
      </w:r>
      <w:r>
        <w:rPr>
          <w:sz w:val="28"/>
          <w:b/>
        </w:rPr>
        <w:t>SXLX24-02-146Z(H)</w:t>
      </w:r>
      <w:r>
        <w:br/>
      </w:r>
      <w:r>
        <w:br/>
      </w:r>
      <w:r>
        <w:br/>
      </w:r>
    </w:p>
    <w:p>
      <w:pPr>
        <w:pStyle w:val="null3"/>
        <w:jc w:val="center"/>
        <w:outlineLvl w:val="2"/>
      </w:pPr>
      <w:r>
        <w:rPr>
          <w:sz w:val="28"/>
          <w:b/>
        </w:rPr>
        <w:t>西安市碑林区城市管理局（本级）</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2024年12月09日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陕西隆信项目管理有限公司</w:t>
      </w:r>
      <w:r>
        <w:rPr/>
        <w:t>（以下简称“代理机构”）受</w:t>
      </w:r>
      <w:r>
        <w:rPr/>
        <w:t>西安市碑林区城市管理局（本级）</w:t>
      </w:r>
      <w:r>
        <w:rPr/>
        <w:t>委托，拟对</w:t>
      </w:r>
      <w:r>
        <w:rPr/>
        <w:t>碑林区城市管理和综合执法局纯电动餐厨垃圾车购买项目</w:t>
      </w:r>
      <w:r>
        <w:rPr/>
        <w:t>进行国内公开招标，兹邀请符合本次招标要求的供应商参加投标。</w:t>
      </w:r>
    </w:p>
    <w:p>
      <w:pPr>
        <w:pStyle w:val="null3"/>
        <w:outlineLvl w:val="2"/>
      </w:pPr>
      <w:r>
        <w:rPr>
          <w:sz w:val="28"/>
          <w:b/>
        </w:rPr>
        <w:t>一、采购项目编号：</w:t>
      </w:r>
      <w:r>
        <w:rPr>
          <w:sz w:val="28"/>
          <w:b/>
        </w:rPr>
        <w:t>SXLX24-02-146Z(H)</w:t>
      </w:r>
    </w:p>
    <w:p>
      <w:pPr>
        <w:pStyle w:val="null3"/>
        <w:outlineLvl w:val="2"/>
      </w:pPr>
      <w:r>
        <w:rPr>
          <w:sz w:val="28"/>
          <w:b/>
        </w:rPr>
        <w:t>二、采购项目名称：</w:t>
      </w:r>
      <w:r>
        <w:rPr>
          <w:sz w:val="28"/>
          <w:b/>
        </w:rPr>
        <w:t>碑林区城市管理和综合执法局纯电动餐厨垃圾车购买项目</w:t>
      </w:r>
    </w:p>
    <w:p>
      <w:pPr>
        <w:pStyle w:val="null3"/>
        <w:outlineLvl w:val="2"/>
      </w:pPr>
      <w:r>
        <w:rPr>
          <w:sz w:val="28"/>
          <w:b/>
        </w:rPr>
        <w:t>三、招标项目简介</w:t>
      </w:r>
    </w:p>
    <w:p>
      <w:pPr>
        <w:pStyle w:val="null3"/>
        <w:ind w:firstLine="480"/>
      </w:pPr>
      <w:r>
        <w:rPr/>
        <w:t>随着城市规模的扩大和人口的增加，对厨余垃圾清运的需求也相应增加，采购新的电动厨余垃圾清运车可以满足不断增长的垃圾处理需求，提高厨余垃圾清运能力，具体内容详见第三章技术要求。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西安市碑林区城市管理局（本级）</w:t>
      </w:r>
    </w:p>
    <w:p>
      <w:pPr>
        <w:pStyle w:val="null3"/>
      </w:pPr>
      <w:r>
        <w:rPr/>
        <w:t xml:space="preserve"> 地址： </w:t>
      </w:r>
      <w:r>
        <w:rPr/>
        <w:t>西安市碑林区雁塔北路23号</w:t>
      </w:r>
    </w:p>
    <w:p>
      <w:pPr>
        <w:pStyle w:val="null3"/>
      </w:pPr>
      <w:r>
        <w:rPr/>
        <w:t xml:space="preserve"> 邮编： </w:t>
      </w:r>
      <w:r>
        <w:rPr/>
        <w:t>/</w:t>
      </w:r>
    </w:p>
    <w:p>
      <w:pPr>
        <w:pStyle w:val="null3"/>
      </w:pPr>
      <w:r>
        <w:rPr/>
        <w:t xml:space="preserve"> 联系人： </w:t>
      </w:r>
      <w:r>
        <w:rPr/>
        <w:t>马佳</w:t>
      </w:r>
    </w:p>
    <w:p>
      <w:pPr>
        <w:pStyle w:val="null3"/>
      </w:pPr>
      <w:r>
        <w:rPr/>
        <w:t xml:space="preserve"> 联系电话： </w:t>
      </w:r>
      <w:r>
        <w:rPr/>
        <w:t>029-62520419</w:t>
      </w:r>
    </w:p>
    <w:p>
      <w:pPr>
        <w:pStyle w:val="null3"/>
        <w:outlineLvl w:val="2"/>
      </w:pPr>
      <w:r>
        <w:rPr>
          <w:sz w:val="28"/>
          <w:b/>
        </w:rPr>
        <w:t>代理机构：</w:t>
      </w:r>
      <w:r>
        <w:rPr>
          <w:sz w:val="28"/>
          <w:b/>
        </w:rPr>
        <w:t>陕西隆信项目管理有限公司</w:t>
      </w:r>
    </w:p>
    <w:p>
      <w:pPr>
        <w:pStyle w:val="null3"/>
      </w:pPr>
      <w:r>
        <w:rPr/>
        <w:t xml:space="preserve"> 地址： </w:t>
      </w:r>
      <w:r>
        <w:rPr/>
        <w:t>陕西省西安市莲湖区丰登南路9号怡景花园酒店裙楼2层</w:t>
      </w:r>
    </w:p>
    <w:p>
      <w:pPr>
        <w:pStyle w:val="null3"/>
      </w:pPr>
      <w:r>
        <w:rPr/>
        <w:t xml:space="preserve"> 邮编： </w:t>
      </w:r>
      <w:r>
        <w:rPr/>
        <w:t>/</w:t>
      </w:r>
    </w:p>
    <w:p>
      <w:pPr>
        <w:pStyle w:val="null3"/>
      </w:pPr>
      <w:r>
        <w:rPr/>
        <w:t xml:space="preserve"> 联系人： </w:t>
      </w:r>
      <w:r>
        <w:rPr/>
        <w:t>王小琼 任甜 赵嘉彦</w:t>
      </w:r>
    </w:p>
    <w:p>
      <w:pPr>
        <w:pStyle w:val="null3"/>
      </w:pPr>
      <w:r>
        <w:rPr/>
        <w:t xml:space="preserve"> 联系电话： </w:t>
      </w:r>
      <w:r>
        <w:rPr/>
        <w:t>029-88489979-8203</w:t>
      </w:r>
    </w:p>
    <w:p>
      <w:pPr>
        <w:pStyle w:val="null3"/>
        <w:outlineLvl w:val="2"/>
      </w:pPr>
      <w:r>
        <w:rPr>
          <w:sz w:val="28"/>
          <w:b/>
        </w:rPr>
        <w:t>采购监督机构：</w:t>
      </w:r>
      <w:r>
        <w:rPr>
          <w:sz w:val="28"/>
          <w:b/>
        </w:rPr>
        <w:t>西安市碑林区财政局</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中标金额为基础，依据《国家计委关于印发招标代理服务收费管理暂行办法的通知》（计价格〔2002〕1980号）和国家发改委办公厅颁发的《关于招标代理服务收费有关问题的通知》（发改办价格〔2003〕857号）文件规定标准计算收取，由中标人向采购代理机构支付，采购代理服务费具体收费金额将在中标公告中公布。 请将采购代理服务费汇至下列指定账户： 开户名称：陕西隆信项目管理有限公司 开 户 行：招商银行股份有限公司西安土门支行 账 号：129904064810902 财务部电话：029-88489979-8501 注：采购代理服务费计入投标报价中，但不需要单独列项。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西安市碑林区城市管理局（本级）</w:t>
      </w:r>
      <w:r>
        <w:rPr/>
        <w:t>和</w:t>
      </w:r>
      <w:r>
        <w:rPr/>
        <w:t>陕西隆信项目管理有限公司</w:t>
      </w:r>
      <w:r>
        <w:rPr/>
        <w:t>享有。对招标文件中供应商参加本次政府采购活动应当具备的条件，招标项目技术、服务、商务及其他要求，评标细则及标准由</w:t>
      </w:r>
      <w:r>
        <w:rPr/>
        <w:t>西安市碑林区城市管理局（本级）</w:t>
      </w:r>
      <w:r>
        <w:rPr/>
        <w:t>负责解释。除上述招标文件内容，其他内容由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西安市碑林区城市管理局（本级）</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现行的国家标准或国家行政部门颁布的法律法规、规章制度等，是项目验收的另一个重要依据。没有国家标准的，可以参考行业标准。 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联系人：王小琼 任甜 赵嘉彦</w:t>
      </w:r>
    </w:p>
    <w:p>
      <w:pPr>
        <w:pStyle w:val="null3"/>
      </w:pPr>
      <w:r>
        <w:rPr/>
        <w:t>联系电话：029-88489979-8203</w:t>
      </w:r>
    </w:p>
    <w:p>
      <w:pPr>
        <w:pStyle w:val="null3"/>
      </w:pPr>
      <w:r>
        <w:rPr/>
        <w:t>地址：西安市莲湖区丰登南路9号怡景花园酒店裙楼（A座）2层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随着城市规模的扩大和人口的增加，对厨余垃圾清运的需求也相应增加，采购新的电动厨余垃圾清运车可以满足不断增长的垃圾处理需求，提高厨余垃圾清运能力，具体内容详见第三章技术要求。</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为满足不断增长的垃圾处理需求，提高厨余垃圾清运能力，我单位计划购置1台电动厨余垃圾清运车。</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标的名称：为满足不断增长的垃圾处理需求，提高厨余垃圾清运能力，我单位计划购置1台电动厨余垃圾清运车。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1.项目概况及总体要求</w:t>
            </w:r>
          </w:p>
          <w:p>
            <w:pPr>
              <w:pStyle w:val="null3"/>
              <w:ind w:firstLine="420"/>
              <w:jc w:val="both"/>
            </w:pPr>
            <w:r>
              <w:rPr>
                <w:rFonts w:ascii="宋体" w:hAnsi="宋体" w:cs="宋体" w:eastAsia="宋体"/>
                <w:sz w:val="20"/>
              </w:rPr>
              <w:t>随着城市规模的扩大和人口的增加，对厨余垃圾清运的需求也相应增加，采购新的</w:t>
            </w:r>
            <w:r>
              <w:rPr>
                <w:rFonts w:ascii="宋体" w:hAnsi="宋体" w:cs="宋体" w:eastAsia="宋体"/>
                <w:sz w:val="20"/>
              </w:rPr>
              <w:t>电动厨余垃圾</w:t>
            </w:r>
            <w:r>
              <w:rPr>
                <w:rFonts w:ascii="宋体" w:hAnsi="宋体" w:cs="宋体" w:eastAsia="宋体"/>
                <w:sz w:val="20"/>
              </w:rPr>
              <w:t>清运车</w:t>
            </w:r>
            <w:r>
              <w:rPr>
                <w:rFonts w:ascii="宋体" w:hAnsi="宋体" w:cs="宋体" w:eastAsia="宋体"/>
                <w:sz w:val="20"/>
              </w:rPr>
              <w:t>可以</w:t>
            </w:r>
            <w:r>
              <w:rPr>
                <w:rFonts w:ascii="宋体" w:hAnsi="宋体" w:cs="宋体" w:eastAsia="宋体"/>
                <w:sz w:val="20"/>
              </w:rPr>
              <w:t>满足不断增长的垃圾处理需求</w:t>
            </w:r>
            <w:r>
              <w:rPr>
                <w:rFonts w:ascii="宋体" w:hAnsi="宋体" w:cs="宋体" w:eastAsia="宋体"/>
                <w:sz w:val="20"/>
              </w:rPr>
              <w:t>，</w:t>
            </w:r>
            <w:r>
              <w:rPr>
                <w:rFonts w:ascii="宋体" w:hAnsi="宋体" w:cs="宋体" w:eastAsia="宋体"/>
                <w:sz w:val="20"/>
              </w:rPr>
              <w:t>提高</w:t>
            </w:r>
            <w:r>
              <w:rPr>
                <w:rFonts w:ascii="宋体" w:hAnsi="宋体" w:cs="宋体" w:eastAsia="宋体"/>
                <w:sz w:val="20"/>
              </w:rPr>
              <w:t>厨余</w:t>
            </w:r>
            <w:r>
              <w:rPr>
                <w:rFonts w:ascii="宋体" w:hAnsi="宋体" w:cs="宋体" w:eastAsia="宋体"/>
                <w:sz w:val="20"/>
              </w:rPr>
              <w:t>垃圾</w:t>
            </w:r>
            <w:r>
              <w:rPr>
                <w:rFonts w:ascii="宋体" w:hAnsi="宋体" w:cs="宋体" w:eastAsia="宋体"/>
                <w:sz w:val="20"/>
              </w:rPr>
              <w:t>清运能力</w:t>
            </w:r>
            <w:r>
              <w:rPr>
                <w:rFonts w:ascii="宋体" w:hAnsi="宋体" w:cs="宋体" w:eastAsia="宋体"/>
                <w:sz w:val="20"/>
              </w:rPr>
              <w:t>。</w:t>
            </w:r>
          </w:p>
          <w:p>
            <w:pPr>
              <w:pStyle w:val="null3"/>
              <w:ind w:firstLine="420"/>
              <w:jc w:val="both"/>
            </w:pPr>
            <w:r>
              <w:rPr>
                <w:rFonts w:ascii="宋体" w:hAnsi="宋体" w:cs="宋体" w:eastAsia="宋体"/>
                <w:sz w:val="20"/>
              </w:rPr>
              <w:t>本项目行业属性为工业（从业人员</w:t>
            </w:r>
            <w:r>
              <w:rPr>
                <w:rFonts w:ascii="宋体" w:hAnsi="宋体" w:cs="宋体" w:eastAsia="宋体"/>
                <w:sz w:val="2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spacing w:before="120"/>
              <w:jc w:val="both"/>
              <w:outlineLvl w:val="1"/>
            </w:pPr>
            <w:r>
              <w:rPr>
                <w:rFonts w:ascii="宋体" w:hAnsi="宋体" w:cs="宋体" w:eastAsia="宋体"/>
                <w:sz w:val="20"/>
                <w:b/>
              </w:rPr>
              <w:t>2.采购内容</w:t>
            </w:r>
          </w:p>
          <w:p>
            <w:pPr>
              <w:pStyle w:val="null3"/>
              <w:spacing w:after="120"/>
              <w:ind w:right="45"/>
              <w:jc w:val="both"/>
            </w:pPr>
            <w:r>
              <w:rPr>
                <w:rFonts w:ascii="宋体" w:hAnsi="宋体" w:cs="宋体" w:eastAsia="宋体"/>
                <w:sz w:val="20"/>
                <w:b/>
              </w:rPr>
              <w:t>2.1 技术要求</w:t>
            </w:r>
          </w:p>
          <w:p>
            <w:pPr>
              <w:pStyle w:val="null3"/>
              <w:jc w:val="both"/>
            </w:pPr>
            <w:r>
              <w:rPr>
                <w:rFonts w:ascii="宋体" w:hAnsi="宋体" w:cs="宋体" w:eastAsia="宋体"/>
                <w:sz w:val="20"/>
                <w:b/>
              </w:rPr>
              <w:t>2.1.1</w:t>
            </w:r>
            <w:r>
              <w:rPr>
                <w:rFonts w:ascii="calibri" w:hAnsi="calibri" w:cs="calibri" w:eastAsia="calibri"/>
                <w:sz w:val="21"/>
                <w:b/>
              </w:rPr>
              <w:t xml:space="preserve"> </w:t>
            </w:r>
            <w:r>
              <w:rPr>
                <w:rFonts w:ascii="宋体" w:hAnsi="宋体" w:cs="宋体" w:eastAsia="宋体"/>
                <w:sz w:val="20"/>
                <w:b/>
              </w:rPr>
              <w:t>带有</w:t>
            </w:r>
            <w:r>
              <w:rPr>
                <w:rFonts w:ascii="宋体" w:hAnsi="宋体" w:cs="宋体" w:eastAsia="宋体"/>
                <w:sz w:val="20"/>
                <w:b/>
              </w:rPr>
              <w:t>★号的技术参数为实质性条款不得有偏差。带有▲号的参数为重要参数，不满足的将影响技术响应得分。其余参数为一般参数。</w:t>
            </w:r>
          </w:p>
          <w:p>
            <w:pPr>
              <w:pStyle w:val="null3"/>
              <w:jc w:val="both"/>
            </w:pPr>
            <w:r>
              <w:rPr>
                <w:rFonts w:ascii="宋体" w:hAnsi="宋体" w:cs="宋体" w:eastAsia="宋体"/>
                <w:sz w:val="20"/>
                <w:b/>
              </w:rPr>
              <w:t>2.1.2 核心产品名称：</w:t>
            </w:r>
            <w:r>
              <w:rPr>
                <w:rFonts w:ascii="calibri" w:hAnsi="calibri" w:cs="calibri" w:eastAsia="calibri"/>
                <w:sz w:val="21"/>
                <w:b/>
                <w:u w:val="single"/>
              </w:rPr>
              <w:t xml:space="preserve"> </w:t>
            </w:r>
            <w:r>
              <w:rPr>
                <w:rFonts w:ascii="宋体" w:hAnsi="宋体" w:cs="宋体" w:eastAsia="宋体"/>
                <w:sz w:val="20"/>
                <w:u w:val="single"/>
              </w:rPr>
              <w:t>12吨纯电动餐厨垃圾车</w:t>
            </w:r>
            <w:r>
              <w:rPr>
                <w:rFonts w:ascii="calibri" w:hAnsi="calibri" w:cs="calibri" w:eastAsia="calibri"/>
                <w:sz w:val="21"/>
                <w:b/>
                <w:u w:val="single"/>
              </w:rPr>
              <w:t xml:space="preserve"> </w:t>
            </w:r>
            <w:r>
              <w:rPr>
                <w:rFonts w:ascii="宋体" w:hAnsi="宋体" w:cs="宋体" w:eastAsia="宋体"/>
                <w:sz w:val="20"/>
                <w:b/>
              </w:rPr>
              <w:t>。</w:t>
            </w:r>
          </w:p>
          <w:p>
            <w:pPr>
              <w:pStyle w:val="null3"/>
              <w:jc w:val="both"/>
            </w:pPr>
            <w:r>
              <w:rPr>
                <w:rFonts w:ascii="宋体" w:hAnsi="宋体" w:cs="宋体" w:eastAsia="宋体"/>
                <w:sz w:val="20"/>
                <w:b/>
              </w:rPr>
              <w:t>2.1.3 下列产品为</w:t>
            </w:r>
            <w:r>
              <w:rPr>
                <w:rFonts w:ascii="宋体" w:hAnsi="宋体" w:cs="宋体" w:eastAsia="宋体"/>
                <w:sz w:val="20"/>
                <w:b/>
              </w:rPr>
              <w:t>强制采购的节能产品（</w:t>
            </w:r>
            <w:r>
              <w:rPr>
                <w:rFonts w:ascii="宋体" w:hAnsi="宋体" w:cs="宋体" w:eastAsia="宋体"/>
                <w:sz w:val="20"/>
                <w:b/>
              </w:rPr>
              <w:t>如有）：</w:t>
            </w:r>
            <w:r>
              <w:rPr>
                <w:rFonts w:ascii="calibri" w:hAnsi="calibri" w:cs="calibri" w:eastAsia="calibri"/>
                <w:sz w:val="21"/>
                <w:b/>
                <w:u w:val="single"/>
              </w:rPr>
              <w:t xml:space="preserve">     </w:t>
            </w:r>
            <w:r>
              <w:rPr>
                <w:rFonts w:ascii="宋体" w:hAnsi="宋体" w:cs="宋体" w:eastAsia="宋体"/>
                <w:sz w:val="20"/>
                <w:b/>
                <w:u w:val="single"/>
              </w:rPr>
              <w:t>/</w:t>
            </w:r>
            <w:r>
              <w:rPr>
                <w:rFonts w:ascii="calibri" w:hAnsi="calibri" w:cs="calibri" w:eastAsia="calibri"/>
                <w:sz w:val="21"/>
                <w:b/>
                <w:u w:val="single"/>
              </w:rPr>
              <w:t xml:space="preserve">     </w:t>
            </w:r>
            <w:r>
              <w:rPr>
                <w:rFonts w:ascii="宋体" w:hAnsi="宋体" w:cs="宋体" w:eastAsia="宋体"/>
                <w:sz w:val="20"/>
                <w:b/>
              </w:rPr>
              <w:t>。</w:t>
            </w:r>
          </w:p>
          <w:p>
            <w:pPr>
              <w:pStyle w:val="null3"/>
              <w:jc w:val="both"/>
            </w:pPr>
            <w:r>
              <w:rPr>
                <w:rFonts w:ascii="宋体" w:hAnsi="宋体" w:cs="宋体" w:eastAsia="宋体"/>
                <w:sz w:val="20"/>
                <w:b/>
              </w:rPr>
              <w:t>2.1.4 货物技术要求</w:t>
            </w:r>
          </w:p>
          <w:p>
            <w:pPr>
              <w:pStyle w:val="null3"/>
              <w:spacing w:before="105" w:after="105"/>
              <w:jc w:val="left"/>
            </w:pPr>
            <w:r>
              <w:rPr>
                <w:rFonts w:ascii="宋体" w:hAnsi="宋体" w:cs="宋体" w:eastAsia="宋体"/>
                <w:sz w:val="20"/>
                <w:b/>
              </w:rPr>
              <w:t>（一）、主要技术参数要求：</w:t>
            </w:r>
          </w:p>
          <w:p>
            <w:pPr>
              <w:pStyle w:val="null3"/>
              <w:spacing w:before="105" w:after="105"/>
              <w:jc w:val="left"/>
            </w:pPr>
            <w:r>
              <w:rPr>
                <w:rFonts w:ascii="宋体" w:hAnsi="宋体" w:cs="宋体" w:eastAsia="宋体"/>
                <w:sz w:val="20"/>
              </w:rPr>
              <w:t>1. 车</w:t>
            </w:r>
            <w:r>
              <w:rPr>
                <w:rFonts w:ascii="宋体" w:hAnsi="宋体" w:cs="宋体" w:eastAsia="宋体"/>
                <w:sz w:val="20"/>
              </w:rPr>
              <w:t>辆底盘</w:t>
            </w:r>
            <w:r>
              <w:rPr>
                <w:rFonts w:ascii="宋体" w:hAnsi="宋体" w:cs="宋体" w:eastAsia="宋体"/>
                <w:sz w:val="20"/>
              </w:rPr>
              <w:t>:采用国内纯电动二类载货底盘；</w:t>
            </w:r>
          </w:p>
          <w:p>
            <w:pPr>
              <w:pStyle w:val="null3"/>
              <w:spacing w:before="105" w:after="105"/>
              <w:jc w:val="left"/>
            </w:pPr>
            <w:r>
              <w:rPr>
                <w:rFonts w:ascii="宋体" w:hAnsi="宋体" w:cs="宋体" w:eastAsia="宋体"/>
                <w:sz w:val="20"/>
                <w:b/>
              </w:rPr>
              <w:t>▲</w:t>
            </w:r>
            <w:r>
              <w:rPr>
                <w:rFonts w:ascii="宋体" w:hAnsi="宋体" w:cs="宋体" w:eastAsia="宋体"/>
                <w:sz w:val="20"/>
              </w:rPr>
              <w:t>2. 长：≥6</w:t>
            </w:r>
            <w:r>
              <w:rPr>
                <w:rFonts w:ascii="宋体" w:hAnsi="宋体" w:cs="宋体" w:eastAsia="宋体"/>
                <w:sz w:val="20"/>
              </w:rPr>
              <w:t>7</w:t>
            </w:r>
            <w:r>
              <w:rPr>
                <w:rFonts w:ascii="宋体" w:hAnsi="宋体" w:cs="宋体" w:eastAsia="宋体"/>
                <w:sz w:val="20"/>
              </w:rPr>
              <w:t>00（mm）</w:t>
            </w:r>
          </w:p>
          <w:p>
            <w:pPr>
              <w:pStyle w:val="null3"/>
              <w:spacing w:before="105" w:after="105"/>
              <w:jc w:val="left"/>
            </w:pPr>
            <w:r>
              <w:rPr>
                <w:rFonts w:ascii="宋体" w:hAnsi="宋体" w:cs="宋体" w:eastAsia="宋体"/>
                <w:sz w:val="20"/>
                <w:b/>
              </w:rPr>
              <w:t>▲</w:t>
            </w:r>
            <w:r>
              <w:rPr>
                <w:rFonts w:ascii="宋体" w:hAnsi="宋体" w:cs="宋体" w:eastAsia="宋体"/>
                <w:sz w:val="20"/>
              </w:rPr>
              <w:t>3. 宽：≥2</w:t>
            </w:r>
            <w:r>
              <w:rPr>
                <w:rFonts w:ascii="宋体" w:hAnsi="宋体" w:cs="宋体" w:eastAsia="宋体"/>
                <w:sz w:val="20"/>
              </w:rPr>
              <w:t>400</w:t>
            </w:r>
            <w:r>
              <w:rPr>
                <w:rFonts w:ascii="宋体" w:hAnsi="宋体" w:cs="宋体" w:eastAsia="宋体"/>
                <w:sz w:val="20"/>
              </w:rPr>
              <w:t>（</w:t>
            </w:r>
            <w:r>
              <w:rPr>
                <w:rFonts w:ascii="宋体" w:hAnsi="宋体" w:cs="宋体" w:eastAsia="宋体"/>
                <w:sz w:val="20"/>
              </w:rPr>
              <w:t>mm）</w:t>
            </w:r>
          </w:p>
          <w:p>
            <w:pPr>
              <w:pStyle w:val="null3"/>
              <w:spacing w:before="105" w:after="105"/>
              <w:jc w:val="left"/>
            </w:pPr>
            <w:r>
              <w:rPr>
                <w:rFonts w:ascii="宋体" w:hAnsi="宋体" w:cs="宋体" w:eastAsia="宋体"/>
                <w:sz w:val="20"/>
                <w:b/>
              </w:rPr>
              <w:t>▲</w:t>
            </w:r>
            <w:r>
              <w:rPr>
                <w:rFonts w:ascii="宋体" w:hAnsi="宋体" w:cs="宋体" w:eastAsia="宋体"/>
                <w:sz w:val="20"/>
              </w:rPr>
              <w:t>4. 高：≥2700（mm）</w:t>
            </w:r>
          </w:p>
          <w:p>
            <w:pPr>
              <w:pStyle w:val="null3"/>
              <w:jc w:val="both"/>
            </w:pPr>
            <w:r>
              <w:rPr>
                <w:rFonts w:ascii="宋体" w:hAnsi="宋体" w:cs="宋体" w:eastAsia="宋体"/>
                <w:sz w:val="20"/>
              </w:rPr>
              <w:t>▲5. 整备质量：≥7600 kg</w:t>
            </w:r>
          </w:p>
          <w:p>
            <w:pPr>
              <w:pStyle w:val="null3"/>
              <w:spacing w:before="105" w:after="105"/>
              <w:jc w:val="left"/>
            </w:pPr>
            <w:r>
              <w:rPr>
                <w:rFonts w:ascii="宋体" w:hAnsi="宋体" w:cs="宋体" w:eastAsia="宋体"/>
                <w:sz w:val="20"/>
              </w:rPr>
              <w:t>6</w:t>
            </w:r>
            <w:r>
              <w:rPr>
                <w:rFonts w:ascii="宋体" w:hAnsi="宋体" w:cs="宋体" w:eastAsia="宋体"/>
                <w:sz w:val="20"/>
              </w:rPr>
              <w:t>. 车辆总质量：≥12000 kg</w:t>
            </w:r>
          </w:p>
          <w:p>
            <w:pPr>
              <w:pStyle w:val="null3"/>
              <w:spacing w:before="105" w:after="105"/>
              <w:jc w:val="left"/>
            </w:pPr>
            <w:r>
              <w:rPr>
                <w:rFonts w:ascii="宋体" w:hAnsi="宋体" w:cs="宋体" w:eastAsia="宋体"/>
                <w:sz w:val="20"/>
              </w:rPr>
              <w:t>7</w:t>
            </w:r>
            <w:r>
              <w:rPr>
                <w:rFonts w:ascii="宋体" w:hAnsi="宋体" w:cs="宋体" w:eastAsia="宋体"/>
                <w:sz w:val="20"/>
              </w:rPr>
              <w:t>. 车辆额定载质量：≥4200 kg</w:t>
            </w:r>
          </w:p>
          <w:p>
            <w:pPr>
              <w:pStyle w:val="null3"/>
              <w:spacing w:before="105" w:after="105"/>
              <w:jc w:val="left"/>
            </w:pPr>
            <w:r>
              <w:rPr>
                <w:rFonts w:ascii="宋体" w:hAnsi="宋体" w:cs="宋体" w:eastAsia="宋体"/>
                <w:sz w:val="20"/>
                <w:b/>
              </w:rPr>
              <w:t>▲</w:t>
            </w:r>
            <w:r>
              <w:rPr>
                <w:rFonts w:ascii="宋体" w:hAnsi="宋体" w:cs="宋体" w:eastAsia="宋体"/>
                <w:sz w:val="20"/>
              </w:rPr>
              <w:t>8</w:t>
            </w:r>
            <w:r>
              <w:rPr>
                <w:rFonts w:ascii="宋体" w:hAnsi="宋体" w:cs="宋体" w:eastAsia="宋体"/>
                <w:sz w:val="20"/>
              </w:rPr>
              <w:t>. 车辆轴距：≤3800 mm</w:t>
            </w:r>
          </w:p>
          <w:p>
            <w:pPr>
              <w:pStyle w:val="null3"/>
              <w:spacing w:before="105" w:after="105"/>
              <w:jc w:val="left"/>
            </w:pPr>
            <w:r>
              <w:rPr>
                <w:rFonts w:ascii="宋体" w:hAnsi="宋体" w:cs="宋体" w:eastAsia="宋体"/>
                <w:sz w:val="20"/>
                <w:b/>
              </w:rPr>
              <w:t>★</w:t>
            </w:r>
            <w:r>
              <w:rPr>
                <w:rFonts w:ascii="宋体" w:hAnsi="宋体" w:cs="宋体" w:eastAsia="宋体"/>
                <w:sz w:val="20"/>
              </w:rPr>
              <w:t>9</w:t>
            </w:r>
            <w:r>
              <w:rPr>
                <w:rFonts w:ascii="宋体" w:hAnsi="宋体" w:cs="宋体" w:eastAsia="宋体"/>
                <w:sz w:val="20"/>
              </w:rPr>
              <w:t>.车辆动力类型：纯电动</w:t>
            </w:r>
          </w:p>
          <w:p>
            <w:pPr>
              <w:pStyle w:val="null3"/>
              <w:spacing w:before="105" w:after="105"/>
              <w:jc w:val="left"/>
            </w:pPr>
            <w:r>
              <w:rPr>
                <w:rFonts w:ascii="宋体" w:hAnsi="宋体" w:cs="宋体" w:eastAsia="宋体"/>
                <w:sz w:val="20"/>
              </w:rPr>
              <w:t>10</w:t>
            </w:r>
            <w:r>
              <w:rPr>
                <w:rFonts w:ascii="宋体" w:hAnsi="宋体" w:cs="宋体" w:eastAsia="宋体"/>
                <w:sz w:val="20"/>
              </w:rPr>
              <w:t>.电池类型：磷酸铁锂</w:t>
            </w:r>
          </w:p>
          <w:p>
            <w:pPr>
              <w:pStyle w:val="null3"/>
              <w:spacing w:before="105" w:after="105"/>
              <w:jc w:val="left"/>
            </w:pPr>
            <w:r>
              <w:rPr>
                <w:rFonts w:ascii="宋体" w:hAnsi="宋体" w:cs="宋体" w:eastAsia="宋体"/>
                <w:sz w:val="20"/>
              </w:rPr>
              <w:t>1</w:t>
            </w:r>
            <w:r>
              <w:rPr>
                <w:rFonts w:ascii="宋体" w:hAnsi="宋体" w:cs="宋体" w:eastAsia="宋体"/>
                <w:sz w:val="20"/>
              </w:rPr>
              <w:t>1</w:t>
            </w:r>
            <w:r>
              <w:rPr>
                <w:rFonts w:ascii="宋体" w:hAnsi="宋体" w:cs="宋体" w:eastAsia="宋体"/>
                <w:sz w:val="20"/>
              </w:rPr>
              <w:t>. 驱动电机峰值功率：≥160 kw</w:t>
            </w:r>
          </w:p>
          <w:p>
            <w:pPr>
              <w:pStyle w:val="null3"/>
              <w:spacing w:before="105" w:after="105"/>
              <w:jc w:val="left"/>
            </w:pPr>
            <w:r>
              <w:rPr>
                <w:rFonts w:ascii="宋体" w:hAnsi="宋体" w:cs="宋体" w:eastAsia="宋体"/>
                <w:sz w:val="20"/>
                <w:b/>
              </w:rPr>
              <w:t>▲</w:t>
            </w:r>
            <w:r>
              <w:rPr>
                <w:rFonts w:ascii="宋体" w:hAnsi="宋体" w:cs="宋体" w:eastAsia="宋体"/>
                <w:sz w:val="20"/>
              </w:rPr>
              <w:t>1</w:t>
            </w:r>
            <w:r>
              <w:rPr>
                <w:rFonts w:ascii="宋体" w:hAnsi="宋体" w:cs="宋体" w:eastAsia="宋体"/>
                <w:sz w:val="20"/>
              </w:rPr>
              <w:t>2</w:t>
            </w:r>
            <w:r>
              <w:rPr>
                <w:rFonts w:ascii="宋体" w:hAnsi="宋体" w:cs="宋体" w:eastAsia="宋体"/>
                <w:sz w:val="20"/>
              </w:rPr>
              <w:t>. 电池电量：≥160 kwh</w:t>
            </w:r>
          </w:p>
          <w:p>
            <w:pPr>
              <w:pStyle w:val="null3"/>
              <w:spacing w:before="105" w:after="105"/>
              <w:jc w:val="left"/>
            </w:pPr>
            <w:r>
              <w:rPr>
                <w:rFonts w:ascii="宋体" w:hAnsi="宋体" w:cs="宋体" w:eastAsia="宋体"/>
                <w:sz w:val="20"/>
                <w:b/>
              </w:rPr>
              <w:t>▲</w:t>
            </w:r>
            <w:r>
              <w:rPr>
                <w:rFonts w:ascii="宋体" w:hAnsi="宋体" w:cs="宋体" w:eastAsia="宋体"/>
                <w:sz w:val="20"/>
              </w:rPr>
              <w:t>1</w:t>
            </w:r>
            <w:r>
              <w:rPr>
                <w:rFonts w:ascii="宋体" w:hAnsi="宋体" w:cs="宋体" w:eastAsia="宋体"/>
                <w:sz w:val="20"/>
              </w:rPr>
              <w:t>3</w:t>
            </w:r>
            <w:r>
              <w:rPr>
                <w:rFonts w:ascii="宋体" w:hAnsi="宋体" w:cs="宋体" w:eastAsia="宋体"/>
                <w:sz w:val="20"/>
              </w:rPr>
              <w:t>. 接近角/离去角：≥20/12°</w:t>
            </w:r>
          </w:p>
          <w:p>
            <w:pPr>
              <w:pStyle w:val="null3"/>
              <w:spacing w:before="105" w:after="105"/>
              <w:jc w:val="left"/>
            </w:pPr>
            <w:r>
              <w:rPr>
                <w:rFonts w:ascii="宋体" w:hAnsi="宋体" w:cs="宋体" w:eastAsia="宋体"/>
                <w:sz w:val="20"/>
                <w:b/>
              </w:rPr>
              <w:t>▲</w:t>
            </w:r>
            <w:r>
              <w:rPr>
                <w:rFonts w:ascii="宋体" w:hAnsi="宋体" w:cs="宋体" w:eastAsia="宋体"/>
                <w:sz w:val="20"/>
              </w:rPr>
              <w:t>1</w:t>
            </w:r>
            <w:r>
              <w:rPr>
                <w:rFonts w:ascii="宋体" w:hAnsi="宋体" w:cs="宋体" w:eastAsia="宋体"/>
                <w:sz w:val="20"/>
              </w:rPr>
              <w:t>4</w:t>
            </w:r>
            <w:r>
              <w:rPr>
                <w:rFonts w:ascii="宋体" w:hAnsi="宋体" w:cs="宋体" w:eastAsia="宋体"/>
                <w:sz w:val="20"/>
              </w:rPr>
              <w:t>. 垃圾箱容积：≥7.5 m³</w:t>
            </w:r>
          </w:p>
          <w:p>
            <w:pPr>
              <w:pStyle w:val="null3"/>
              <w:spacing w:before="105" w:after="105"/>
              <w:jc w:val="left"/>
            </w:pPr>
            <w:r>
              <w:rPr>
                <w:rFonts w:ascii="宋体" w:hAnsi="宋体" w:cs="宋体" w:eastAsia="宋体"/>
                <w:sz w:val="20"/>
                <w:b/>
              </w:rPr>
              <w:t>▲</w:t>
            </w:r>
            <w:r>
              <w:rPr>
                <w:rFonts w:ascii="宋体" w:hAnsi="宋体" w:cs="宋体" w:eastAsia="宋体"/>
                <w:sz w:val="20"/>
              </w:rPr>
              <w:t>1</w:t>
            </w:r>
            <w:r>
              <w:rPr>
                <w:rFonts w:ascii="宋体" w:hAnsi="宋体" w:cs="宋体" w:eastAsia="宋体"/>
                <w:sz w:val="20"/>
              </w:rPr>
              <w:t>5</w:t>
            </w:r>
            <w:r>
              <w:rPr>
                <w:rFonts w:ascii="宋体" w:hAnsi="宋体" w:cs="宋体" w:eastAsia="宋体"/>
                <w:sz w:val="20"/>
              </w:rPr>
              <w:t>. 上料循环时间：≤25 s</w:t>
            </w:r>
          </w:p>
          <w:p>
            <w:pPr>
              <w:pStyle w:val="null3"/>
              <w:spacing w:before="105" w:after="105"/>
              <w:jc w:val="left"/>
            </w:pPr>
            <w:r>
              <w:rPr>
                <w:rFonts w:ascii="宋体" w:hAnsi="宋体" w:cs="宋体" w:eastAsia="宋体"/>
                <w:sz w:val="20"/>
                <w:b/>
              </w:rPr>
              <w:t>▲</w:t>
            </w:r>
            <w:r>
              <w:rPr>
                <w:rFonts w:ascii="宋体" w:hAnsi="宋体" w:cs="宋体" w:eastAsia="宋体"/>
                <w:sz w:val="20"/>
              </w:rPr>
              <w:t>1</w:t>
            </w:r>
            <w:r>
              <w:rPr>
                <w:rFonts w:ascii="宋体" w:hAnsi="宋体" w:cs="宋体" w:eastAsia="宋体"/>
                <w:sz w:val="20"/>
              </w:rPr>
              <w:t>6</w:t>
            </w:r>
            <w:r>
              <w:rPr>
                <w:rFonts w:ascii="宋体" w:hAnsi="宋体" w:cs="宋体" w:eastAsia="宋体"/>
                <w:sz w:val="20"/>
              </w:rPr>
              <w:t>. 推挤排料时间：≤75 s</w:t>
            </w:r>
          </w:p>
          <w:p>
            <w:pPr>
              <w:pStyle w:val="null3"/>
              <w:spacing w:before="105" w:after="105"/>
              <w:jc w:val="left"/>
            </w:pPr>
            <w:r>
              <w:rPr>
                <w:rFonts w:ascii="宋体" w:hAnsi="宋体" w:cs="宋体" w:eastAsia="宋体"/>
                <w:sz w:val="20"/>
              </w:rPr>
              <w:t>（二）、主要性能要求：</w:t>
            </w:r>
          </w:p>
          <w:p>
            <w:pPr>
              <w:pStyle w:val="null3"/>
              <w:spacing w:before="105" w:after="105"/>
              <w:jc w:val="left"/>
            </w:pPr>
            <w:r>
              <w:rPr>
                <w:rFonts w:ascii="宋体" w:hAnsi="宋体" w:cs="宋体" w:eastAsia="宋体"/>
                <w:sz w:val="20"/>
              </w:rPr>
              <w:t>1. 采用侧提桶投料，可适应标准240L/120L塑料垃圾桶。</w:t>
            </w:r>
          </w:p>
          <w:p>
            <w:pPr>
              <w:pStyle w:val="null3"/>
              <w:spacing w:before="105" w:after="105"/>
              <w:jc w:val="left"/>
            </w:pPr>
            <w:r>
              <w:rPr>
                <w:rFonts w:ascii="宋体" w:hAnsi="宋体" w:cs="宋体" w:eastAsia="宋体"/>
                <w:sz w:val="20"/>
              </w:rPr>
              <w:t xml:space="preserve">2. </w:t>
            </w:r>
            <w:r>
              <w:rPr>
                <w:rFonts w:ascii="宋体" w:hAnsi="宋体" w:cs="宋体" w:eastAsia="宋体"/>
                <w:sz w:val="20"/>
              </w:rPr>
              <w:t>侧提桶机构</w:t>
            </w:r>
            <w:r>
              <w:rPr>
                <w:rFonts w:ascii="宋体" w:hAnsi="宋体" w:cs="宋体" w:eastAsia="宋体"/>
                <w:sz w:val="20"/>
              </w:rPr>
              <w:t>由</w:t>
            </w:r>
            <w:r>
              <w:rPr>
                <w:rFonts w:ascii="宋体" w:hAnsi="宋体" w:cs="宋体" w:eastAsia="宋体"/>
                <w:sz w:val="20"/>
              </w:rPr>
              <w:t>油缸驱动，通过摆臂连杆装置实现机构倒料和复位</w:t>
            </w:r>
            <w:r>
              <w:rPr>
                <w:rFonts w:ascii="宋体" w:hAnsi="宋体" w:cs="宋体" w:eastAsia="宋体"/>
                <w:sz w:val="20"/>
              </w:rPr>
              <w:t>。</w:t>
            </w:r>
          </w:p>
          <w:p>
            <w:pPr>
              <w:pStyle w:val="null3"/>
              <w:spacing w:before="105" w:after="105"/>
              <w:jc w:val="left"/>
            </w:pPr>
            <w:r>
              <w:rPr>
                <w:rFonts w:ascii="宋体" w:hAnsi="宋体" w:cs="宋体" w:eastAsia="宋体"/>
                <w:sz w:val="20"/>
              </w:rPr>
              <w:t xml:space="preserve">3. </w:t>
            </w:r>
            <w:r>
              <w:rPr>
                <w:rFonts w:ascii="宋体" w:hAnsi="宋体" w:cs="宋体" w:eastAsia="宋体"/>
                <w:sz w:val="20"/>
              </w:rPr>
              <w:t>产品上料采用操作杆控制，可根据工况自由改变动作速度</w:t>
            </w:r>
            <w:r>
              <w:rPr>
                <w:rFonts w:ascii="宋体" w:hAnsi="宋体" w:cs="宋体" w:eastAsia="宋体"/>
                <w:sz w:val="20"/>
              </w:rPr>
              <w:t>，</w:t>
            </w:r>
            <w:r>
              <w:rPr>
                <w:rFonts w:ascii="宋体" w:hAnsi="宋体" w:cs="宋体" w:eastAsia="宋体"/>
                <w:sz w:val="20"/>
              </w:rPr>
              <w:t>卸料为一键操作</w:t>
            </w:r>
            <w:r>
              <w:rPr>
                <w:rFonts w:ascii="宋体" w:hAnsi="宋体" w:cs="宋体" w:eastAsia="宋体"/>
                <w:sz w:val="20"/>
              </w:rPr>
              <w:t>。</w:t>
            </w:r>
          </w:p>
          <w:p>
            <w:pPr>
              <w:pStyle w:val="null3"/>
              <w:spacing w:before="105" w:after="105"/>
              <w:jc w:val="left"/>
            </w:pPr>
            <w:r>
              <w:rPr>
                <w:rFonts w:ascii="宋体" w:hAnsi="宋体" w:cs="宋体" w:eastAsia="宋体"/>
                <w:sz w:val="20"/>
              </w:rPr>
              <w:t xml:space="preserve">4. </w:t>
            </w:r>
            <w:r>
              <w:rPr>
                <w:rFonts w:ascii="宋体" w:hAnsi="宋体" w:cs="宋体" w:eastAsia="宋体"/>
                <w:sz w:val="20"/>
              </w:rPr>
              <w:t>采用</w:t>
            </w:r>
            <w:r>
              <w:rPr>
                <w:rFonts w:ascii="宋体" w:hAnsi="宋体" w:cs="宋体" w:eastAsia="宋体"/>
                <w:sz w:val="20"/>
              </w:rPr>
              <w:t>CAN总线+控制器</w:t>
            </w:r>
            <w:r>
              <w:rPr>
                <w:rFonts w:ascii="宋体" w:hAnsi="宋体" w:cs="宋体" w:eastAsia="宋体"/>
                <w:sz w:val="20"/>
              </w:rPr>
              <w:t>控制</w:t>
            </w:r>
            <w:r>
              <w:rPr>
                <w:rFonts w:ascii="宋体" w:hAnsi="宋体" w:cs="宋体" w:eastAsia="宋体"/>
                <w:sz w:val="20"/>
              </w:rPr>
              <w:t>，自动化程度高</w:t>
            </w:r>
            <w:r>
              <w:rPr>
                <w:rFonts w:ascii="宋体" w:hAnsi="宋体" w:cs="宋体" w:eastAsia="宋体"/>
                <w:sz w:val="20"/>
              </w:rPr>
              <w:t>。</w:t>
            </w:r>
          </w:p>
          <w:p>
            <w:pPr>
              <w:pStyle w:val="null3"/>
              <w:spacing w:before="105" w:after="105"/>
              <w:jc w:val="left"/>
            </w:pPr>
            <w:r>
              <w:rPr>
                <w:rFonts w:ascii="宋体" w:hAnsi="宋体" w:cs="宋体" w:eastAsia="宋体"/>
                <w:sz w:val="20"/>
              </w:rPr>
              <w:t>5. 主要结构件：垃圾箱箱体、后门体、推铲等须采用304不锈钢制造。</w:t>
            </w:r>
          </w:p>
          <w:p>
            <w:pPr>
              <w:pStyle w:val="null3"/>
              <w:spacing w:before="105" w:after="105"/>
              <w:jc w:val="left"/>
            </w:pPr>
            <w:r>
              <w:rPr>
                <w:rFonts w:ascii="宋体" w:hAnsi="宋体" w:cs="宋体" w:eastAsia="宋体"/>
                <w:sz w:val="20"/>
              </w:rPr>
              <w:t>6. 垃圾箱与后门总成之间采用加强型硅胶条密封，密封性好，杜绝二次污染。</w:t>
            </w:r>
          </w:p>
          <w:p>
            <w:pPr>
              <w:pStyle w:val="null3"/>
              <w:spacing w:before="105" w:after="105"/>
              <w:jc w:val="left"/>
            </w:pPr>
            <w:r>
              <w:rPr>
                <w:rFonts w:ascii="宋体" w:hAnsi="宋体" w:cs="宋体" w:eastAsia="宋体"/>
                <w:sz w:val="20"/>
              </w:rPr>
              <w:t>7. 推铲通过油缸驱动，借助耐磨尼龙滑块沿垃圾箱轨道滑动，推挤垃圾至后门打开排料，车辆出料口须与处理厂端口无缝对接，全自动一键卸料。</w:t>
            </w:r>
          </w:p>
          <w:p>
            <w:pPr>
              <w:pStyle w:val="null3"/>
              <w:spacing w:before="105" w:after="105"/>
              <w:jc w:val="left"/>
            </w:pPr>
            <w:r>
              <w:rPr>
                <w:rFonts w:ascii="宋体" w:hAnsi="宋体" w:cs="宋体" w:eastAsia="宋体"/>
                <w:sz w:val="20"/>
              </w:rPr>
              <w:t xml:space="preserve">8. </w:t>
            </w:r>
            <w:r>
              <w:rPr>
                <w:rFonts w:ascii="宋体" w:hAnsi="宋体" w:cs="宋体" w:eastAsia="宋体"/>
                <w:sz w:val="20"/>
              </w:rPr>
              <w:t>整车质保期不小于</w:t>
            </w:r>
            <w:r>
              <w:rPr>
                <w:rFonts w:ascii="times new roman, times, serif" w:hAnsi="times new roman, times, serif" w:cs="times new roman, times, serif" w:eastAsia="times new roman, times, serif"/>
                <w:sz w:val="20"/>
              </w:rPr>
              <w:t>2</w:t>
            </w:r>
            <w:r>
              <w:rPr>
                <w:rFonts w:ascii="宋体" w:hAnsi="宋体" w:cs="宋体" w:eastAsia="宋体"/>
                <w:sz w:val="20"/>
              </w:rPr>
              <w:t>年（易损易耗件除外），电池（三电系统）质保期不小于</w:t>
            </w:r>
            <w:r>
              <w:rPr>
                <w:rFonts w:ascii="times new roman, times, serif" w:hAnsi="times new roman, times, serif" w:cs="times new roman, times, serif" w:eastAsia="times new roman, times, serif"/>
                <w:sz w:val="20"/>
              </w:rPr>
              <w:t>5</w:t>
            </w:r>
            <w:r>
              <w:rPr>
                <w:rFonts w:ascii="宋体" w:hAnsi="宋体" w:cs="宋体" w:eastAsia="宋体"/>
                <w:sz w:val="20"/>
              </w:rPr>
              <w:t>年或</w:t>
            </w:r>
            <w:r>
              <w:rPr>
                <w:rFonts w:ascii="times new roman, times, serif" w:hAnsi="times new roman, times, serif" w:cs="times new roman, times, serif" w:eastAsia="times new roman, times, serif"/>
                <w:sz w:val="20"/>
              </w:rPr>
              <w:t>2</w:t>
            </w:r>
            <w:r>
              <w:rPr>
                <w:rFonts w:ascii="宋体" w:hAnsi="宋体" w:cs="宋体" w:eastAsia="宋体"/>
                <w:sz w:val="20"/>
              </w:rPr>
              <w:t>0万公里，电池系统防水防尘等级达到IP68</w:t>
            </w:r>
            <w:r>
              <w:rPr>
                <w:rFonts w:ascii="宋体" w:hAnsi="宋体" w:cs="宋体" w:eastAsia="宋体"/>
                <w:sz w:val="20"/>
              </w:rPr>
              <w:t>。</w:t>
            </w:r>
          </w:p>
          <w:p>
            <w:pPr>
              <w:pStyle w:val="null3"/>
              <w:spacing w:before="105" w:after="105"/>
              <w:jc w:val="left"/>
            </w:pPr>
            <w:r>
              <w:rPr>
                <w:rFonts w:ascii="宋体" w:hAnsi="宋体" w:cs="宋体" w:eastAsia="宋体"/>
                <w:sz w:val="20"/>
              </w:rPr>
              <w:t>9. 车辆配置须有清水箱、水泵、水枪等，水枪带有长距离水管，用于清洗车辆。</w:t>
            </w:r>
          </w:p>
          <w:p>
            <w:pPr>
              <w:pStyle w:val="null3"/>
              <w:spacing w:before="105" w:after="105"/>
              <w:jc w:val="left"/>
            </w:pPr>
            <w:r>
              <w:rPr>
                <w:rFonts w:ascii="宋体" w:hAnsi="宋体" w:cs="宋体" w:eastAsia="宋体"/>
                <w:sz w:val="20"/>
              </w:rPr>
              <w:t>10. 按采购人要求制作车辆涂装。</w:t>
            </w:r>
          </w:p>
          <w:p>
            <w:pPr>
              <w:pStyle w:val="null3"/>
              <w:spacing w:before="105" w:after="105"/>
              <w:jc w:val="left"/>
            </w:pPr>
            <w:r>
              <w:rPr>
                <w:rFonts w:ascii="宋体" w:hAnsi="宋体" w:cs="宋体" w:eastAsia="宋体"/>
                <w:sz w:val="20"/>
              </w:rPr>
              <w:t>（三）、主要服务要求：</w:t>
            </w:r>
          </w:p>
          <w:p>
            <w:pPr>
              <w:pStyle w:val="null3"/>
              <w:ind w:firstLine="400"/>
              <w:jc w:val="both"/>
            </w:pPr>
            <w:r>
              <w:rPr>
                <w:rFonts w:ascii="宋体" w:hAnsi="宋体" w:cs="宋体" w:eastAsia="宋体"/>
                <w:sz w:val="20"/>
              </w:rPr>
              <w:t>确保所提供的清运车质量合格，性能稳定，符合相关的行业标准和合同规定的质量标准。提供完整的车辆配置，包括但不限于车辆主体、配套设备（充电桩等）、工具、说明书等。在合同约定的期限内，提供优质的售后服务，包括维修、保养、零部件更换等，确保车辆的正常运行。保证车辆的生产、销售和交付过程符合相关法律法规和政策要求。对于采购方在使用过程中发现的质量问题，积极采取措施予以解决，并承担相应的费用和责任。积极配合采购方进行车辆的验收工作，提供必要的技术资料和协助。</w:t>
            </w:r>
          </w:p>
          <w:p>
            <w:pPr>
              <w:pStyle w:val="null3"/>
              <w:jc w:val="both"/>
            </w:pPr>
            <w:r>
              <w:rPr>
                <w:rFonts w:ascii="宋体" w:hAnsi="宋体" w:cs="宋体" w:eastAsia="宋体"/>
                <w:sz w:val="20"/>
                <w:b/>
              </w:rPr>
              <w:t>2.1.</w:t>
            </w:r>
            <w:r>
              <w:rPr>
                <w:rFonts w:ascii="宋体" w:hAnsi="宋体" w:cs="宋体" w:eastAsia="宋体"/>
                <w:sz w:val="20"/>
                <w:b/>
              </w:rPr>
              <w:t>1</w:t>
            </w:r>
            <w:r>
              <w:rPr>
                <w:rFonts w:ascii="宋体" w:hAnsi="宋体" w:cs="宋体" w:eastAsia="宋体"/>
                <w:sz w:val="20"/>
                <w:b/>
              </w:rPr>
              <w:t xml:space="preserve">  </w:t>
            </w:r>
            <w:r>
              <w:rPr>
                <w:rFonts w:ascii="宋体" w:hAnsi="宋体" w:cs="宋体" w:eastAsia="宋体"/>
                <w:sz w:val="20"/>
                <w:b/>
              </w:rPr>
              <w:t>质量要求</w:t>
            </w:r>
          </w:p>
          <w:p>
            <w:pPr>
              <w:pStyle w:val="null3"/>
              <w:jc w:val="both"/>
            </w:pPr>
            <w:r>
              <w:rPr>
                <w:rFonts w:ascii="宋体" w:hAnsi="宋体" w:cs="宋体" w:eastAsia="宋体"/>
                <w:sz w:val="20"/>
              </w:rPr>
              <w:t>★</w:t>
            </w:r>
            <w:r>
              <w:rPr>
                <w:rFonts w:ascii="宋体" w:hAnsi="宋体" w:cs="宋体" w:eastAsia="宋体"/>
                <w:sz w:val="20"/>
              </w:rPr>
              <w:t>2.1.</w:t>
            </w:r>
            <w:r>
              <w:rPr>
                <w:rFonts w:ascii="宋体" w:hAnsi="宋体" w:cs="宋体" w:eastAsia="宋体"/>
                <w:sz w:val="20"/>
              </w:rPr>
              <w:t>1</w:t>
            </w:r>
            <w:r>
              <w:rPr>
                <w:rFonts w:ascii="宋体" w:hAnsi="宋体" w:cs="宋体" w:eastAsia="宋体"/>
                <w:sz w:val="20"/>
              </w:rPr>
              <w:t>.1 货物（产品）制造商、经销代理商应严格遵守《中华人民共和国产品质量法》，确保提供的产品符合质量标准，达到合格产品的要求。</w:t>
            </w:r>
            <w:r>
              <w:rPr>
                <w:rFonts w:ascii="宋体" w:hAnsi="宋体" w:cs="宋体" w:eastAsia="宋体"/>
                <w:sz w:val="20"/>
              </w:rPr>
              <w:t>可能危及人体健康和人身、财产安全的工业产品，必须符合保障人体健康和人身、财产安全的国家标准、行业标准；未制定国家标准、行业标准的，必须符合保障人体健康和人身、财产安全的要求。</w:t>
            </w:r>
          </w:p>
          <w:p>
            <w:pPr>
              <w:pStyle w:val="null3"/>
              <w:jc w:val="both"/>
            </w:pPr>
            <w:r>
              <w:rPr>
                <w:rFonts w:ascii="宋体" w:hAnsi="宋体" w:cs="宋体" w:eastAsia="宋体"/>
                <w:sz w:val="20"/>
                <w:b/>
              </w:rPr>
              <w:t>2.1.</w:t>
            </w:r>
            <w:r>
              <w:rPr>
                <w:rFonts w:ascii="宋体" w:hAnsi="宋体" w:cs="宋体" w:eastAsia="宋体"/>
                <w:sz w:val="20"/>
                <w:b/>
              </w:rPr>
              <w:t>1</w:t>
            </w:r>
            <w:r>
              <w:rPr>
                <w:rFonts w:ascii="宋体" w:hAnsi="宋体" w:cs="宋体" w:eastAsia="宋体"/>
                <w:sz w:val="20"/>
                <w:b/>
              </w:rPr>
              <w:t>.2  货物（产品）执行的标准、规范：</w:t>
            </w:r>
          </w:p>
          <w:p>
            <w:pPr>
              <w:pStyle w:val="null3"/>
              <w:jc w:val="both"/>
            </w:pPr>
            <w:r>
              <w:rPr>
                <w:rFonts w:ascii="宋体" w:hAnsi="宋体" w:cs="宋体" w:eastAsia="宋体"/>
                <w:sz w:val="20"/>
              </w:rPr>
              <w:t>（</w:t>
            </w:r>
            <w:r>
              <w:rPr>
                <w:rFonts w:ascii="宋体" w:hAnsi="宋体" w:cs="宋体" w:eastAsia="宋体"/>
                <w:sz w:val="20"/>
              </w:rPr>
              <w:t>1）国家标准、规范</w:t>
            </w:r>
            <w:r>
              <w:rPr>
                <w:rFonts w:ascii="calibri" w:hAnsi="calibri" w:cs="calibri" w:eastAsia="calibri"/>
                <w:sz w:val="21"/>
                <w:u w:val="single"/>
              </w:rPr>
              <w:t xml:space="preserve">           </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2）行业标准、规范</w:t>
            </w:r>
            <w:r>
              <w:rPr>
                <w:rFonts w:ascii="calibri" w:hAnsi="calibri" w:cs="calibri" w:eastAsia="calibri"/>
                <w:sz w:val="21"/>
                <w:u w:val="single"/>
              </w:rPr>
              <w:t xml:space="preserve">           </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3）地方标准、规范</w:t>
            </w:r>
            <w:r>
              <w:rPr>
                <w:rFonts w:ascii="calibri" w:hAnsi="calibri" w:cs="calibri" w:eastAsia="calibri"/>
                <w:sz w:val="21"/>
                <w:u w:val="single"/>
              </w:rPr>
              <w:t xml:space="preserve">           </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4）团体标准、规范</w:t>
            </w:r>
            <w:r>
              <w:rPr>
                <w:rFonts w:ascii="calibri" w:hAnsi="calibri" w:cs="calibri" w:eastAsia="calibri"/>
                <w:sz w:val="21"/>
                <w:u w:val="single"/>
              </w:rPr>
              <w:t xml:space="preserve">           </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rPr>
              <w:t>5）企业标准、规范</w:t>
            </w:r>
            <w:r>
              <w:rPr>
                <w:rFonts w:ascii="calibri" w:hAnsi="calibri" w:cs="calibri" w:eastAsia="calibri"/>
                <w:sz w:val="21"/>
                <w:u w:val="single"/>
              </w:rPr>
              <w:t xml:space="preserve">           </w:t>
            </w:r>
            <w:r>
              <w:rPr>
                <w:rFonts w:ascii="宋体" w:hAnsi="宋体" w:cs="宋体" w:eastAsia="宋体"/>
                <w:sz w:val="20"/>
              </w:rPr>
              <w:t>。</w:t>
            </w:r>
          </w:p>
          <w:p>
            <w:pPr>
              <w:pStyle w:val="null3"/>
              <w:jc w:val="both"/>
            </w:pPr>
            <w:r>
              <w:rPr>
                <w:rFonts w:ascii="宋体" w:hAnsi="宋体" w:cs="宋体" w:eastAsia="宋体"/>
                <w:sz w:val="20"/>
              </w:rPr>
              <w:t>★</w:t>
            </w:r>
            <w:r>
              <w:rPr>
                <w:rFonts w:ascii="宋体" w:hAnsi="宋体" w:cs="宋体" w:eastAsia="宋体"/>
                <w:sz w:val="20"/>
                <w:b/>
              </w:rPr>
              <w:t>2.1.</w:t>
            </w:r>
            <w:r>
              <w:rPr>
                <w:rFonts w:ascii="宋体" w:hAnsi="宋体" w:cs="宋体" w:eastAsia="宋体"/>
                <w:sz w:val="20"/>
                <w:b/>
              </w:rPr>
              <w:t>1</w:t>
            </w:r>
            <w:r>
              <w:rPr>
                <w:rFonts w:ascii="宋体" w:hAnsi="宋体" w:cs="宋体" w:eastAsia="宋体"/>
                <w:sz w:val="20"/>
                <w:b/>
              </w:rPr>
              <w:t>.3 本章第2.1.1.2条款未明确货物（产品）执行标准、规范的，则按下列方法选择：</w:t>
            </w:r>
          </w:p>
          <w:p>
            <w:pPr>
              <w:pStyle w:val="null3"/>
              <w:jc w:val="both"/>
            </w:pPr>
            <w:r>
              <w:rPr>
                <w:rFonts w:ascii="宋体" w:hAnsi="宋体" w:cs="宋体" w:eastAsia="宋体"/>
                <w:sz w:val="20"/>
              </w:rPr>
              <w:t>□ 顺序执行：国家标准→行业标准→地方标准→团体标准→企业标准（有国家标准按国家标准执行，没有国家标准按行业标准，以此类推）；</w:t>
            </w:r>
          </w:p>
          <w:p>
            <w:pPr>
              <w:pStyle w:val="null3"/>
              <w:jc w:val="both"/>
            </w:pPr>
            <w:r>
              <w:rPr>
                <w:rFonts w:ascii="宋体" w:hAnsi="宋体" w:cs="宋体" w:eastAsia="宋体"/>
                <w:sz w:val="20"/>
              </w:rPr>
              <w:t>□ 最高标准执行：国家标准，行业标准，地方标准，团体标准，企业标准（那个标准高执行那个标准）；</w:t>
            </w:r>
          </w:p>
          <w:p>
            <w:pPr>
              <w:pStyle w:val="null3"/>
              <w:jc w:val="both"/>
            </w:pPr>
            <w:r>
              <w:rPr>
                <w:rFonts w:ascii="calibri" w:hAnsi="calibri" w:cs="calibri" w:eastAsia="calibri"/>
                <w:sz w:val="21"/>
              </w:rPr>
              <w:t>√</w:t>
            </w:r>
            <w:r>
              <w:rPr>
                <w:rFonts w:ascii="宋体" w:hAnsi="宋体" w:cs="宋体" w:eastAsia="宋体"/>
                <w:sz w:val="20"/>
              </w:rPr>
              <w:t xml:space="preserve"> </w:t>
            </w:r>
            <w:r>
              <w:rPr>
                <w:rFonts w:ascii="宋体" w:hAnsi="宋体" w:cs="宋体" w:eastAsia="宋体"/>
                <w:sz w:val="20"/>
              </w:rPr>
              <w:t>必须执行：国家、行业强制性标准。</w:t>
            </w:r>
          </w:p>
          <w:p>
            <w:pPr>
              <w:pStyle w:val="null3"/>
              <w:jc w:val="both"/>
            </w:pPr>
            <w:r>
              <w:rPr>
                <w:rFonts w:ascii="宋体" w:hAnsi="宋体" w:cs="宋体" w:eastAsia="宋体"/>
                <w:sz w:val="20"/>
              </w:rPr>
              <w:t>2.1.</w:t>
            </w:r>
            <w:r>
              <w:rPr>
                <w:rFonts w:ascii="宋体" w:hAnsi="宋体" w:cs="宋体" w:eastAsia="宋体"/>
                <w:sz w:val="20"/>
              </w:rPr>
              <w:t>1</w:t>
            </w:r>
            <w:r>
              <w:rPr>
                <w:rFonts w:ascii="宋体" w:hAnsi="宋体" w:cs="宋体" w:eastAsia="宋体"/>
                <w:sz w:val="20"/>
              </w:rPr>
              <w:t>.4 核心产品制造商符合ISO系列管理体系认证要求的，可以提供认证证书。</w:t>
            </w:r>
          </w:p>
          <w:p>
            <w:pPr>
              <w:pStyle w:val="null3"/>
              <w:jc w:val="both"/>
            </w:pPr>
            <w:r>
              <w:rPr>
                <w:rFonts w:ascii="宋体" w:hAnsi="宋体" w:cs="宋体" w:eastAsia="宋体"/>
                <w:sz w:val="20"/>
                <w:b/>
              </w:rPr>
              <w:t>2.1.</w:t>
            </w:r>
            <w:r>
              <w:rPr>
                <w:rFonts w:ascii="宋体" w:hAnsi="宋体" w:cs="宋体" w:eastAsia="宋体"/>
                <w:sz w:val="20"/>
                <w:b/>
              </w:rPr>
              <w:t>2</w:t>
            </w:r>
            <w:r>
              <w:rPr>
                <w:rFonts w:ascii="宋体" w:hAnsi="宋体" w:cs="宋体" w:eastAsia="宋体"/>
                <w:sz w:val="20"/>
                <w:b/>
              </w:rPr>
              <w:t>安全要求</w:t>
            </w:r>
          </w:p>
          <w:p>
            <w:pPr>
              <w:pStyle w:val="null3"/>
              <w:ind w:firstLine="420"/>
              <w:jc w:val="both"/>
            </w:pPr>
            <w:r>
              <w:rPr>
                <w:rFonts w:ascii="宋体" w:hAnsi="宋体" w:cs="宋体" w:eastAsia="宋体"/>
                <w:sz w:val="20"/>
              </w:rPr>
              <w:t>认真贯彻执行国家及省、市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施工。</w:t>
            </w:r>
          </w:p>
          <w:p>
            <w:pPr>
              <w:pStyle w:val="null3"/>
              <w:spacing w:before="120" w:after="120"/>
              <w:ind w:right="45"/>
              <w:jc w:val="both"/>
            </w:pPr>
            <w:r>
              <w:rPr>
                <w:rFonts w:ascii="宋体" w:hAnsi="宋体" w:cs="宋体" w:eastAsia="宋体"/>
                <w:sz w:val="20"/>
                <w:b/>
              </w:rPr>
              <w:t>2.2 商务要求</w:t>
            </w:r>
          </w:p>
          <w:p>
            <w:pPr>
              <w:pStyle w:val="null3"/>
              <w:spacing w:before="120" w:after="120"/>
              <w:jc w:val="both"/>
            </w:pPr>
            <w:r>
              <w:rPr>
                <w:rFonts w:ascii="宋体" w:hAnsi="宋体" w:cs="宋体" w:eastAsia="宋体"/>
                <w:sz w:val="20"/>
                <w:b/>
              </w:rPr>
              <w:t>2.2.1带有★号的商务要求为实质性条款不得有偏差。</w:t>
            </w:r>
          </w:p>
          <w:p>
            <w:pPr>
              <w:pStyle w:val="null3"/>
              <w:jc w:val="both"/>
            </w:pPr>
            <w:r>
              <w:rPr>
                <w:rFonts w:ascii="宋体" w:hAnsi="宋体" w:cs="宋体" w:eastAsia="宋体"/>
                <w:sz w:val="20"/>
                <w:b/>
                <w:color w:val="000000"/>
              </w:rPr>
              <w:t>2.2.</w:t>
            </w:r>
            <w:r>
              <w:rPr>
                <w:rFonts w:ascii="宋体" w:hAnsi="宋体" w:cs="宋体" w:eastAsia="宋体"/>
                <w:sz w:val="20"/>
                <w:b/>
                <w:color w:val="000000"/>
              </w:rPr>
              <w:t>2</w:t>
            </w:r>
            <w:r>
              <w:rPr>
                <w:rFonts w:ascii="宋体" w:hAnsi="宋体" w:cs="宋体" w:eastAsia="宋体"/>
                <w:sz w:val="20"/>
                <w:b/>
              </w:rPr>
              <w:t xml:space="preserve"> </w:t>
            </w:r>
            <w:r>
              <w:rPr>
                <w:rFonts w:ascii="宋体" w:hAnsi="宋体" w:cs="宋体" w:eastAsia="宋体"/>
                <w:sz w:val="20"/>
                <w:b/>
              </w:rPr>
              <w:t>售后服务要求：</w:t>
            </w:r>
          </w:p>
          <w:p>
            <w:pPr>
              <w:pStyle w:val="null3"/>
              <w:jc w:val="both"/>
            </w:pPr>
            <w:r>
              <w:rPr>
                <w:rFonts w:ascii="宋体" w:hAnsi="宋体" w:cs="宋体" w:eastAsia="宋体"/>
                <w:sz w:val="20"/>
              </w:rPr>
              <w:t>★</w:t>
            </w:r>
            <w:r>
              <w:rPr>
                <w:rFonts w:ascii="宋体" w:hAnsi="宋体" w:cs="宋体" w:eastAsia="宋体"/>
                <w:sz w:val="20"/>
                <w:b/>
                <w:color w:val="000000"/>
              </w:rPr>
              <w:t>2.2.</w:t>
            </w:r>
            <w:r>
              <w:rPr>
                <w:rFonts w:ascii="宋体" w:hAnsi="宋体" w:cs="宋体" w:eastAsia="宋体"/>
                <w:sz w:val="20"/>
                <w:b/>
                <w:color w:val="000000"/>
              </w:rPr>
              <w:t>2.</w:t>
            </w:r>
            <w:r>
              <w:rPr>
                <w:rFonts w:ascii="宋体" w:hAnsi="宋体" w:cs="宋体" w:eastAsia="宋体"/>
                <w:sz w:val="20"/>
                <w:b/>
                <w:color w:val="000000"/>
              </w:rPr>
              <w:t>1 基本要求</w:t>
            </w:r>
          </w:p>
          <w:p>
            <w:pPr>
              <w:pStyle w:val="null3"/>
              <w:jc w:val="both"/>
            </w:pPr>
            <w:r>
              <w:rPr>
                <w:rFonts w:ascii="宋体" w:hAnsi="宋体" w:cs="宋体" w:eastAsia="宋体"/>
                <w:sz w:val="20"/>
                <w:color w:val="000000"/>
              </w:rPr>
              <w:t>（</w:t>
            </w:r>
            <w:r>
              <w:rPr>
                <w:rFonts w:ascii="宋体" w:hAnsi="宋体" w:cs="宋体" w:eastAsia="宋体"/>
                <w:sz w:val="20"/>
                <w:color w:val="000000"/>
              </w:rPr>
              <w:t>1）中标人</w:t>
            </w:r>
            <w:r>
              <w:rPr>
                <w:rFonts w:ascii="宋体" w:hAnsi="宋体" w:cs="宋体" w:eastAsia="宋体"/>
                <w:sz w:val="20"/>
              </w:rPr>
              <w:t>须指派专人负责与采购人联系售后服务事宜；</w:t>
            </w:r>
            <w:r>
              <w:rPr>
                <w:rFonts w:ascii="宋体" w:hAnsi="宋体" w:cs="宋体" w:eastAsia="宋体"/>
                <w:sz w:val="20"/>
              </w:rPr>
              <w:t xml:space="preserve">  </w:t>
            </w:r>
            <w:r>
              <w:rPr>
                <w:rFonts w:ascii="宋体" w:hAnsi="宋体" w:cs="宋体" w:eastAsia="宋体"/>
                <w:sz w:val="20"/>
              </w:rPr>
              <w:t xml:space="preserve"> </w:t>
            </w:r>
          </w:p>
          <w:p>
            <w:pPr>
              <w:pStyle w:val="null3"/>
              <w:jc w:val="left"/>
            </w:pPr>
            <w:r>
              <w:rPr>
                <w:rFonts w:ascii="宋体" w:hAnsi="宋体" w:cs="宋体" w:eastAsia="宋体"/>
                <w:sz w:val="20"/>
                <w:color w:val="000000"/>
              </w:rPr>
              <w:t>（</w:t>
            </w:r>
            <w:r>
              <w:rPr>
                <w:rFonts w:ascii="宋体" w:hAnsi="宋体" w:cs="宋体" w:eastAsia="宋体"/>
                <w:sz w:val="20"/>
                <w:color w:val="000000"/>
              </w:rPr>
              <w:t>2）中标人负责货物（产品）的现场安装、调试和启动；</w:t>
            </w:r>
          </w:p>
          <w:p>
            <w:pPr>
              <w:pStyle w:val="null3"/>
              <w:jc w:val="left"/>
            </w:pPr>
            <w:r>
              <w:rPr>
                <w:rFonts w:ascii="宋体" w:hAnsi="宋体" w:cs="宋体" w:eastAsia="宋体"/>
                <w:sz w:val="20"/>
                <w:color w:val="000000"/>
              </w:rPr>
              <w:t>（</w:t>
            </w:r>
            <w:r>
              <w:rPr>
                <w:rFonts w:ascii="宋体" w:hAnsi="宋体" w:cs="宋体" w:eastAsia="宋体"/>
                <w:sz w:val="20"/>
                <w:color w:val="000000"/>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pPr>
              <w:pStyle w:val="null3"/>
              <w:jc w:val="left"/>
            </w:pPr>
            <w:r>
              <w:rPr>
                <w:rFonts w:ascii="宋体" w:hAnsi="宋体" w:cs="宋体" w:eastAsia="宋体"/>
                <w:sz w:val="20"/>
                <w:color w:val="000000"/>
              </w:rPr>
              <w:t>（</w:t>
            </w:r>
            <w:r>
              <w:rPr>
                <w:rFonts w:ascii="宋体" w:hAnsi="宋体" w:cs="宋体" w:eastAsia="宋体"/>
                <w:sz w:val="20"/>
                <w:color w:val="000000"/>
              </w:rPr>
              <w:t>4）质保期自采购人在货物质量验收单（终验）上签名之日起计算，质保费用计入总价；</w:t>
            </w:r>
          </w:p>
          <w:p>
            <w:pPr>
              <w:pStyle w:val="null3"/>
              <w:jc w:val="left"/>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质保期内，中标人负责对其提供的货物整机</w:t>
            </w:r>
            <w:r>
              <w:rPr>
                <w:rFonts w:ascii="宋体" w:hAnsi="宋体" w:cs="宋体" w:eastAsia="宋体"/>
                <w:sz w:val="20"/>
                <w:color w:val="000000"/>
              </w:rPr>
              <w:t>质量问题导致的故障负责免费维修，易损易耗件除外；</w:t>
            </w:r>
            <w:r>
              <w:rPr>
                <w:rFonts w:ascii="宋体" w:hAnsi="宋体" w:cs="宋体" w:eastAsia="宋体"/>
                <w:sz w:val="20"/>
                <w:color w:val="000000"/>
              </w:rPr>
              <w:t>；</w:t>
            </w:r>
          </w:p>
          <w:p>
            <w:pPr>
              <w:pStyle w:val="null3"/>
              <w:jc w:val="both"/>
            </w:pPr>
            <w:r>
              <w:rPr>
                <w:rFonts w:ascii="宋体" w:hAnsi="宋体" w:cs="宋体" w:eastAsia="宋体"/>
                <w:sz w:val="20"/>
              </w:rPr>
              <w:t>（</w:t>
            </w:r>
            <w:r>
              <w:rPr>
                <w:rFonts w:ascii="宋体" w:hAnsi="宋体" w:cs="宋体" w:eastAsia="宋体"/>
                <w:sz w:val="20"/>
              </w:rPr>
              <w:t>6）货物故障报修的响应时间为：</w:t>
            </w:r>
            <w:r>
              <w:rPr>
                <w:rFonts w:ascii="宋体" w:hAnsi="宋体" w:cs="宋体" w:eastAsia="宋体"/>
                <w:sz w:val="20"/>
              </w:rPr>
              <w:t>工作期间（星期一至星期五</w:t>
            </w:r>
            <w:r>
              <w:rPr>
                <w:rFonts w:ascii="宋体" w:hAnsi="宋体" w:cs="宋体" w:eastAsia="宋体"/>
                <w:sz w:val="20"/>
              </w:rPr>
              <w:t>8：00-18：00）为2时；非工作期间为4小时；</w:t>
            </w:r>
          </w:p>
          <w:p>
            <w:pPr>
              <w:pStyle w:val="null3"/>
              <w:jc w:val="left"/>
            </w:pPr>
            <w:r>
              <w:rPr>
                <w:rFonts w:ascii="宋体" w:hAnsi="宋体" w:cs="宋体" w:eastAsia="宋体"/>
                <w:sz w:val="20"/>
              </w:rPr>
              <w:t>（</w:t>
            </w:r>
            <w:r>
              <w:rPr>
                <w:rFonts w:ascii="宋体" w:hAnsi="宋体" w:cs="宋体" w:eastAsia="宋体"/>
                <w:sz w:val="20"/>
              </w:rPr>
              <w:t>7）中标人在接到甲方通知后须</w:t>
            </w:r>
            <w:r>
              <w:rPr>
                <w:rFonts w:ascii="calibri" w:hAnsi="calibri" w:cs="calibri" w:eastAsia="calibri"/>
                <w:sz w:val="21"/>
                <w:u w:val="single"/>
              </w:rPr>
              <w:t xml:space="preserve"> </w:t>
            </w:r>
            <w:r>
              <w:rPr>
                <w:rFonts w:ascii="宋体" w:hAnsi="宋体" w:cs="宋体" w:eastAsia="宋体"/>
                <w:sz w:val="20"/>
                <w:u w:val="single"/>
              </w:rPr>
              <w:t xml:space="preserve">24 </w:t>
            </w:r>
            <w:r>
              <w:rPr>
                <w:rFonts w:ascii="宋体" w:hAnsi="宋体" w:cs="宋体" w:eastAsia="宋体"/>
                <w:sz w:val="20"/>
              </w:rPr>
              <w:t>小时内完成维修或更换；</w:t>
            </w:r>
          </w:p>
          <w:p>
            <w:pPr>
              <w:pStyle w:val="null3"/>
              <w:jc w:val="left"/>
            </w:pPr>
            <w:r>
              <w:rPr>
                <w:rFonts w:ascii="宋体" w:hAnsi="宋体" w:cs="宋体" w:eastAsia="宋体"/>
                <w:sz w:val="20"/>
              </w:rPr>
              <w:t>（</w:t>
            </w:r>
            <w:r>
              <w:rPr>
                <w:rFonts w:ascii="宋体" w:hAnsi="宋体" w:cs="宋体" w:eastAsia="宋体"/>
                <w:sz w:val="20"/>
              </w:rPr>
              <w:t>8）</w:t>
            </w:r>
            <w:r>
              <w:rPr>
                <w:rFonts w:ascii="宋体" w:hAnsi="宋体" w:cs="宋体" w:eastAsia="宋体"/>
                <w:sz w:val="20"/>
              </w:rPr>
              <w:t>质保期内，产品质量问题导致设备发生故障，服务方式根据服务需要可以选择上门服务或车辆进站维修</w:t>
            </w:r>
            <w:r>
              <w:rPr>
                <w:rFonts w:ascii="宋体" w:hAnsi="宋体" w:cs="宋体" w:eastAsia="宋体"/>
                <w:sz w:val="20"/>
              </w:rPr>
              <w:t>；</w:t>
            </w:r>
          </w:p>
          <w:p>
            <w:pPr>
              <w:pStyle w:val="null3"/>
              <w:jc w:val="left"/>
            </w:pPr>
            <w:r>
              <w:rPr>
                <w:rFonts w:ascii="宋体" w:hAnsi="宋体" w:cs="宋体" w:eastAsia="宋体"/>
                <w:sz w:val="20"/>
              </w:rPr>
              <w:t>（</w:t>
            </w:r>
            <w:r>
              <w:rPr>
                <w:rFonts w:ascii="宋体" w:hAnsi="宋体" w:cs="宋体" w:eastAsia="宋体"/>
                <w:sz w:val="20"/>
              </w:rPr>
              <w:t>9）质保期结束后的货物维修、维护及费用由双方另行协商；</w:t>
            </w:r>
          </w:p>
          <w:p>
            <w:pPr>
              <w:pStyle w:val="null3"/>
              <w:jc w:val="left"/>
            </w:pPr>
            <w:r>
              <w:rPr>
                <w:rFonts w:ascii="宋体" w:hAnsi="宋体" w:cs="宋体" w:eastAsia="宋体"/>
                <w:sz w:val="20"/>
              </w:rPr>
              <w:t>（</w:t>
            </w:r>
            <w:r>
              <w:rPr>
                <w:rFonts w:ascii="宋体" w:hAnsi="宋体" w:cs="宋体" w:eastAsia="宋体"/>
                <w:sz w:val="20"/>
              </w:rPr>
              <w:t>10）其它。</w:t>
            </w:r>
          </w:p>
          <w:p>
            <w:pPr>
              <w:pStyle w:val="null3"/>
              <w:jc w:val="both"/>
            </w:pPr>
            <w:r>
              <w:rPr>
                <w:rFonts w:ascii="宋体" w:hAnsi="宋体" w:cs="宋体" w:eastAsia="宋体"/>
                <w:sz w:val="20"/>
              </w:rPr>
              <w:t>★</w:t>
            </w:r>
            <w:r>
              <w:rPr>
                <w:rFonts w:ascii="宋体" w:hAnsi="宋体" w:cs="宋体" w:eastAsia="宋体"/>
                <w:sz w:val="20"/>
                <w:b/>
              </w:rPr>
              <w:t>2.2.</w:t>
            </w:r>
            <w:r>
              <w:rPr>
                <w:rFonts w:ascii="宋体" w:hAnsi="宋体" w:cs="宋体" w:eastAsia="宋体"/>
                <w:sz w:val="20"/>
                <w:b/>
              </w:rPr>
              <w:t>2</w:t>
            </w:r>
            <w:r>
              <w:rPr>
                <w:rFonts w:ascii="宋体" w:hAnsi="宋体" w:cs="宋体" w:eastAsia="宋体"/>
                <w:sz w:val="20"/>
                <w:b/>
              </w:rPr>
              <w:t>.</w:t>
            </w:r>
            <w:r>
              <w:rPr>
                <w:rFonts w:ascii="宋体" w:hAnsi="宋体" w:cs="宋体" w:eastAsia="宋体"/>
                <w:sz w:val="20"/>
                <w:b/>
              </w:rPr>
              <w:t>2</w:t>
            </w:r>
            <w:r>
              <w:rPr>
                <w:rFonts w:ascii="宋体" w:hAnsi="宋体" w:cs="宋体" w:eastAsia="宋体"/>
                <w:sz w:val="20"/>
                <w:b/>
              </w:rPr>
              <w:t>产品</w:t>
            </w:r>
            <w:r>
              <w:rPr>
                <w:rFonts w:ascii="宋体" w:hAnsi="宋体" w:cs="宋体" w:eastAsia="宋体"/>
                <w:sz w:val="20"/>
                <w:b/>
              </w:rPr>
              <w:t>“三包”要求：</w:t>
            </w:r>
            <w:r>
              <w:rPr>
                <w:rFonts w:ascii="宋体" w:hAnsi="宋体" w:cs="宋体" w:eastAsia="宋体"/>
                <w:sz w:val="20"/>
              </w:rPr>
              <w:t>货物（产品）属于国家规定的</w:t>
            </w:r>
            <w:r>
              <w:rPr>
                <w:rFonts w:ascii="宋体" w:hAnsi="宋体" w:cs="宋体" w:eastAsia="宋体"/>
                <w:sz w:val="20"/>
              </w:rPr>
              <w:t>“三包产品”，产品制造商、经销代理商应遵守“三包”的规定，在产品发生质量问题时，及时对所提供产品实行“包退、包换、保修”服务。</w:t>
            </w:r>
          </w:p>
          <w:p>
            <w:pPr>
              <w:pStyle w:val="null3"/>
              <w:jc w:val="both"/>
            </w:pPr>
            <w:r>
              <w:rPr>
                <w:rFonts w:ascii="宋体" w:hAnsi="宋体" w:cs="宋体" w:eastAsia="宋体"/>
                <w:sz w:val="20"/>
              </w:rPr>
              <w:t>★</w:t>
            </w:r>
            <w:r>
              <w:rPr>
                <w:rFonts w:ascii="宋体" w:hAnsi="宋体" w:cs="宋体" w:eastAsia="宋体"/>
                <w:sz w:val="20"/>
                <w:b/>
              </w:rPr>
              <w:t>2.2.</w:t>
            </w:r>
            <w:r>
              <w:rPr>
                <w:rFonts w:ascii="宋体" w:hAnsi="宋体" w:cs="宋体" w:eastAsia="宋体"/>
                <w:sz w:val="20"/>
                <w:b/>
              </w:rPr>
              <w:t>2</w:t>
            </w:r>
            <w:r>
              <w:rPr>
                <w:rFonts w:ascii="宋体" w:hAnsi="宋体" w:cs="宋体" w:eastAsia="宋体"/>
                <w:sz w:val="20"/>
                <w:b/>
              </w:rPr>
              <w:t>.</w:t>
            </w:r>
            <w:r>
              <w:rPr>
                <w:rFonts w:ascii="宋体" w:hAnsi="宋体" w:cs="宋体" w:eastAsia="宋体"/>
                <w:sz w:val="20"/>
                <w:b/>
              </w:rPr>
              <w:t>3</w:t>
            </w:r>
            <w:r>
              <w:rPr>
                <w:rFonts w:ascii="宋体" w:hAnsi="宋体" w:cs="宋体" w:eastAsia="宋体"/>
                <w:sz w:val="20"/>
                <w:b/>
              </w:rPr>
              <w:t>电子电器产品服务要求：</w:t>
            </w:r>
            <w:r>
              <w:rPr>
                <w:rFonts w:ascii="宋体" w:hAnsi="宋体" w:cs="宋体" w:eastAsia="宋体"/>
                <w:sz w:val="20"/>
              </w:rPr>
              <w:t>货物（产品）属于电子电器的，产品制造商、经销代理商应按照《政府采购电子电器服务规范》（</w:t>
            </w:r>
            <w:r>
              <w:rPr>
                <w:rFonts w:ascii="宋体" w:hAnsi="宋体" w:cs="宋体" w:eastAsia="宋体"/>
                <w:sz w:val="20"/>
              </w:rPr>
              <w:t>GB/T 33496-2017）的要求提供服务。</w:t>
            </w:r>
          </w:p>
          <w:p>
            <w:pPr>
              <w:pStyle w:val="null3"/>
              <w:jc w:val="both"/>
            </w:pPr>
            <w:r>
              <w:rPr>
                <w:rFonts w:ascii="宋体" w:hAnsi="宋体" w:cs="宋体" w:eastAsia="宋体"/>
                <w:sz w:val="20"/>
              </w:rPr>
              <w:t>★</w:t>
            </w:r>
            <w:r>
              <w:rPr>
                <w:rFonts w:ascii="宋体" w:hAnsi="宋体" w:cs="宋体" w:eastAsia="宋体"/>
                <w:sz w:val="20"/>
                <w:b/>
              </w:rPr>
              <w:t>2.2.</w:t>
            </w:r>
            <w:r>
              <w:rPr>
                <w:rFonts w:ascii="宋体" w:hAnsi="宋体" w:cs="宋体" w:eastAsia="宋体"/>
                <w:sz w:val="20"/>
                <w:b/>
              </w:rPr>
              <w:t>3</w:t>
            </w:r>
            <w:r>
              <w:rPr>
                <w:rFonts w:ascii="宋体" w:hAnsi="宋体" w:cs="宋体" w:eastAsia="宋体"/>
                <w:sz w:val="20"/>
                <w:b/>
              </w:rPr>
              <w:t>其他要求：所投车型必须在国家发改委或工信部发布的《车辆生产企业及产品》公告内，提供车辆</w:t>
            </w:r>
            <w:r>
              <w:rPr>
                <w:rFonts w:ascii="宋体" w:hAnsi="宋体" w:cs="宋体" w:eastAsia="宋体"/>
                <w:sz w:val="20"/>
                <w:b/>
              </w:rPr>
              <w:t>3C认证。</w:t>
            </w:r>
          </w:p>
          <w:p>
            <w:pPr>
              <w:pStyle w:val="null3"/>
              <w:jc w:val="both"/>
            </w:pPr>
            <w:r>
              <w:rPr>
                <w:rFonts w:ascii="宋体" w:hAnsi="宋体" w:cs="宋体" w:eastAsia="宋体"/>
                <w:sz w:val="20"/>
                <w:b/>
              </w:rPr>
              <w:t>3</w:t>
            </w:r>
            <w:r>
              <w:rPr>
                <w:rFonts w:ascii="宋体" w:hAnsi="宋体" w:cs="宋体" w:eastAsia="宋体"/>
                <w:sz w:val="20"/>
                <w:b/>
              </w:rPr>
              <w:t>.</w:t>
            </w:r>
            <w:r>
              <w:rPr>
                <w:rFonts w:ascii="宋体" w:hAnsi="宋体" w:cs="宋体" w:eastAsia="宋体"/>
                <w:sz w:val="20"/>
                <w:b/>
              </w:rPr>
              <w:t>其他：</w:t>
            </w:r>
            <w:r>
              <w:rPr>
                <w:rFonts w:ascii="宋体" w:hAnsi="宋体" w:cs="宋体" w:eastAsia="宋体"/>
                <w:sz w:val="20"/>
                <w:b/>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30 日历天内完成供货并交付采购人使用</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合同签订后，全部交付调试完毕达到使用标准并验收合格</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现行的国家标准或国家行政部门颁布的法律法规、规章制度等，是项目验收的另一个重要依据。没有国家标准的，可以参考行业标准。 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整车质保期不小于2年（易损易耗件除外），电池（三电系统）质保期不小于5年或20万公里，电池系统防水防尘等级达到IP68。投标人承诺超过招标文件要求的，按其承诺的质保期进行质保，质保期起始时间为终验合格之日。</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一、中标人在领取中标通知书时提供纸质版投标文件2套，应通过专用制作软件直接打印，确保与电子投标文件保持一致，不允许修改和补充。提交地点：西安市莲湖区丰登南路9号怡景花园酒店裙楼（A座）2层招标二部。 二、中标人的投标报价包括货物（产品）设计、材料、制造、包装、运输、安装、调试、挂牌费、车身外装潢、检测、等所有费用，否则将按无效响应处理。 三、投标有效期 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四、合格投标少于3家的处理 评审过程中，合格投标人少于3家时，采购人应依法重新组织采购活动。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（1）投标人的营业执照等证明文件，自然人的身份证明； (2) 法定代表人（单位负责人）参加投标的，提供本人身份证复印件；法定代表人授权他人参加投标的，提供法定代表人委托授权书并出示被授权代表的身份证复印件； （3）税收缴纳证明； （4）社会保障资金缴纳证明； （5）参加本次招标前3年内，在经营活动中没有重大违法记录的书面声明。 注： 1、按照《政府采购货物和服务招标投标管理办法》（财政部第87号令）有关规定，采购代理机构依法对投标人的资格进行审查，并组建资格审查小组。 2、资格审查小组，由采购人代表和采购代理机构工作人员3人及以上单数组成，采购代理机构项目经理担任资格审查小组组长。 3、 资格审查小组成立后，全体小组成员应当在签到表中签到</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或其提交响应文件截止时间前3个月内银行出具的资信证明。（以上形式的资料提供任何一种即可）。（1）投标人是企业法人的，应提供2022或2023全年度经审计的投标人财务报告，包括 “四表一注”即《资产负债表》《利润表》《现金流量表》《所有者权益变动表》及其附注，或者提交响应文件截止时间前3个月内其基本账户开户银行出具的资信证明（附基本存款账户信息），投标人是小型企业的，应提供2022或2023全年度经审计的投标人财务报告，至少包括 《资产负债表》《利润表》《现金流量表》及其附注，或者提交响应文件截止时间前3个月内其基本账户开户银行出具的资信证明（附基本存款账户信息）； （2）部分其他组织和自然人，提供提交响应文件截止时间前3个月内银行出具的资信证明（附账户信息）；（3）投标人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投标文件签署盖章</w:t>
            </w:r>
          </w:p>
        </w:tc>
        <w:tc>
          <w:tcPr>
            <w:tcW w:type="dxa" w:w="3322"/>
          </w:tcPr>
          <w:p>
            <w:pPr>
              <w:pStyle w:val="null3"/>
            </w:pPr>
            <w:r>
              <w:rPr/>
              <w:t>投标文件要求签名或盖章的，应有法定代表人或其授权代表人的签名并加盖公章</w:t>
            </w:r>
          </w:p>
        </w:tc>
        <w:tc>
          <w:tcPr>
            <w:tcW w:type="dxa" w:w="1661"/>
          </w:tcPr>
          <w:p>
            <w:pPr>
              <w:pStyle w:val="null3"/>
            </w:pPr>
            <w:r>
              <w:rPr/>
              <w:t>开标一览表 商务技术文件 投标函 中小企业声明函 残疾人福利性单位声明函 标的清单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1.在评标过程中，评标委员会认为投标人报价低于，有可能影响产品质量或者不能诚信履约的，评标委员会应当要求其在合理的时间内通过电子化交易系统提交书面说明，必要时提交相关证明材料。 2.投标人提交的相关说明和证明材料，应当加盖投标人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商务技术文件 标的清单</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符合“响应文件格式”的规定（不得因装订、纸张、文件排序等非实质性的格式、形式问题限制和影响投标人响应）</w:t>
            </w:r>
          </w:p>
        </w:tc>
        <w:tc>
          <w:tcPr>
            <w:tcW w:type="dxa" w:w="1661"/>
          </w:tcPr>
          <w:p>
            <w:pPr>
              <w:pStyle w:val="null3"/>
            </w:pPr>
            <w:r>
              <w:rPr/>
              <w:t>开标一览表 商务技术文件 投标函 中小企业声明函 残疾人福利性单位声明函 标的清单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只能有一个有效报价，不得提交选择性报价，且报价不超过第二章“投标人须知”前附表规定的采购预算金额或最高限价</w:t>
            </w:r>
          </w:p>
        </w:tc>
        <w:tc>
          <w:tcPr>
            <w:tcW w:type="dxa" w:w="1661"/>
          </w:tcPr>
          <w:p>
            <w:pPr>
              <w:pStyle w:val="null3"/>
            </w:pPr>
            <w:r>
              <w:rPr/>
              <w:t>开标一览表 商务技术文件 标的清单</w:t>
            </w:r>
          </w:p>
        </w:tc>
      </w:tr>
      <w:tr>
        <w:tc>
          <w:tcPr>
            <w:tcW w:type="dxa" w:w="831"/>
          </w:tcPr>
          <w:p>
            <w:pPr>
              <w:pStyle w:val="null3"/>
            </w:pPr>
            <w:r>
              <w:rPr/>
              <w:t>5</w:t>
            </w:r>
          </w:p>
        </w:tc>
        <w:tc>
          <w:tcPr>
            <w:tcW w:type="dxa" w:w="2492"/>
          </w:tcPr>
          <w:p>
            <w:pPr>
              <w:pStyle w:val="null3"/>
            </w:pPr>
            <w:r>
              <w:rPr/>
              <w:t>不存在串通投标的情形</w:t>
            </w:r>
          </w:p>
        </w:tc>
        <w:tc>
          <w:tcPr>
            <w:tcW w:type="dxa" w:w="3322"/>
          </w:tcPr>
          <w:p>
            <w:pPr>
              <w:pStyle w:val="null3"/>
            </w:pPr>
            <w:r>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t>开标一览表 商务技术文件 投标函 中小企业声明函 残疾人福利性单位声明函 标的清单 监狱企业的证明文件</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商务技术文件 投标函</w:t>
            </w:r>
          </w:p>
        </w:tc>
      </w:tr>
      <w:tr>
        <w:tc>
          <w:tcPr>
            <w:tcW w:type="dxa" w:w="831"/>
          </w:tcPr>
          <w:p>
            <w:pPr>
              <w:pStyle w:val="null3"/>
            </w:pPr>
            <w:r>
              <w:rPr/>
              <w:t>7</w:t>
            </w:r>
          </w:p>
        </w:tc>
        <w:tc>
          <w:tcPr>
            <w:tcW w:type="dxa" w:w="2492"/>
          </w:tcPr>
          <w:p>
            <w:pPr>
              <w:pStyle w:val="null3"/>
            </w:pPr>
            <w:r>
              <w:rPr/>
              <w:t>交货期</w:t>
            </w:r>
          </w:p>
        </w:tc>
        <w:tc>
          <w:tcPr>
            <w:tcW w:type="dxa" w:w="3322"/>
          </w:tcPr>
          <w:p>
            <w:pPr>
              <w:pStyle w:val="null3"/>
            </w:pPr>
            <w:r>
              <w:rPr/>
              <w:t>应满足招标文件中的规定</w:t>
            </w:r>
          </w:p>
        </w:tc>
        <w:tc>
          <w:tcPr>
            <w:tcW w:type="dxa" w:w="1661"/>
          </w:tcPr>
          <w:p>
            <w:pPr>
              <w:pStyle w:val="null3"/>
            </w:pPr>
            <w:r>
              <w:rPr/>
              <w:t>开标一览表 商务技术文件 标的清单</w:t>
            </w:r>
          </w:p>
        </w:tc>
      </w:tr>
      <w:tr>
        <w:tc>
          <w:tcPr>
            <w:tcW w:type="dxa" w:w="831"/>
          </w:tcPr>
          <w:p>
            <w:pPr>
              <w:pStyle w:val="null3"/>
            </w:pPr>
            <w:r>
              <w:rPr/>
              <w:t>8</w:t>
            </w:r>
          </w:p>
        </w:tc>
        <w:tc>
          <w:tcPr>
            <w:tcW w:type="dxa" w:w="2492"/>
          </w:tcPr>
          <w:p>
            <w:pPr>
              <w:pStyle w:val="null3"/>
            </w:pPr>
            <w:r>
              <w:rPr/>
              <w:t>质保期</w:t>
            </w:r>
          </w:p>
        </w:tc>
        <w:tc>
          <w:tcPr>
            <w:tcW w:type="dxa" w:w="3322"/>
          </w:tcPr>
          <w:p>
            <w:pPr>
              <w:pStyle w:val="null3"/>
            </w:pPr>
            <w:r>
              <w:rPr/>
              <w:t>应满足招标文件中的规定</w:t>
            </w:r>
          </w:p>
        </w:tc>
        <w:tc>
          <w:tcPr>
            <w:tcW w:type="dxa" w:w="1661"/>
          </w:tcPr>
          <w:p>
            <w:pPr>
              <w:pStyle w:val="null3"/>
            </w:pPr>
            <w:r>
              <w:rPr/>
              <w:t>开标一览表 商务技术文件 标的清单 投标文件封面</w:t>
            </w:r>
          </w:p>
        </w:tc>
      </w:tr>
      <w:tr>
        <w:tc>
          <w:tcPr>
            <w:tcW w:type="dxa" w:w="831"/>
          </w:tcPr>
          <w:p>
            <w:pPr>
              <w:pStyle w:val="null3"/>
            </w:pPr>
            <w:r>
              <w:rPr/>
              <w:t>9</w:t>
            </w:r>
          </w:p>
        </w:tc>
        <w:tc>
          <w:tcPr>
            <w:tcW w:type="dxa" w:w="2492"/>
          </w:tcPr>
          <w:p>
            <w:pPr>
              <w:pStyle w:val="null3"/>
            </w:pPr>
            <w:r>
              <w:rPr/>
              <w:t>“★”符号标明的条款</w:t>
            </w:r>
          </w:p>
        </w:tc>
        <w:tc>
          <w:tcPr>
            <w:tcW w:type="dxa" w:w="3322"/>
          </w:tcPr>
          <w:p>
            <w:pPr>
              <w:pStyle w:val="null3"/>
            </w:pPr>
            <w:r>
              <w:rPr/>
              <w:t>带有“★”的要求为实质性要求，不得有偏差，否则视为未实质性响应，其投标文件无效</w:t>
            </w:r>
          </w:p>
        </w:tc>
        <w:tc>
          <w:tcPr>
            <w:tcW w:type="dxa" w:w="1661"/>
          </w:tcPr>
          <w:p>
            <w:pPr>
              <w:pStyle w:val="null3"/>
            </w:pPr>
            <w:r>
              <w:rPr/>
              <w:t>商务技术文件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技术响应1</w:t>
            </w:r>
          </w:p>
        </w:tc>
        <w:tc>
          <w:tcPr>
            <w:tcW w:type="dxa" w:w="2492"/>
          </w:tcPr>
          <w:p>
            <w:pPr>
              <w:pStyle w:val="null3"/>
            </w:pPr>
            <w:r>
              <w:rPr/>
              <w:t>技术参数以相应的功能证明材料为依据，包括但不限于原厂印刷的质量证书、产品检测报告、产品合格证、官网和功能截图等，不提供证明材料视为负偏离；▲技术参数共10项，无标记技术参数共5项。▲技术参数每有一项不满足，扣1.5分，其他无标记技术参数，每有一项不满足，扣1分，扣完为止。 （满分20分）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技术响应2</w:t>
            </w:r>
          </w:p>
        </w:tc>
        <w:tc>
          <w:tcPr>
            <w:tcW w:type="dxa" w:w="2492"/>
          </w:tcPr>
          <w:p>
            <w:pPr>
              <w:pStyle w:val="null3"/>
            </w:pPr>
            <w:r>
              <w:rPr/>
              <w:t>所投产品选型合理、功能满足采购需求，达到实用、先进、安全、耐用的要求。 达到实用、先进、安全、耐用；且方案详细，得7分； 不完全体现出技术的实用、先进、安全、耐用，方案简单得3分；体现不出技术的实用、先进、安全、耐用，且方案不完整，得1分。 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技术响应3</w:t>
            </w:r>
          </w:p>
        </w:tc>
        <w:tc>
          <w:tcPr>
            <w:tcW w:type="dxa" w:w="2492"/>
          </w:tcPr>
          <w:p>
            <w:pPr>
              <w:pStyle w:val="null3"/>
            </w:pPr>
            <w:r>
              <w:rPr/>
              <w:t>所投车辆的关键部件采用先进工艺、选用材料、配件耐久性、维修率方面。 能体现出关键部件工艺先进，用料耐久，维修率低；且方案详细，得5分； 不能完全体现出关键部件的工艺先进，用料耐久，维修率低；且方案简单，得3分； 体现不出关键部件的工艺先进，用料耐久，维修率低，且方案不完整，得1分。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技术响应4</w:t>
            </w:r>
          </w:p>
        </w:tc>
        <w:tc>
          <w:tcPr>
            <w:tcW w:type="dxa" w:w="2492"/>
          </w:tcPr>
          <w:p>
            <w:pPr>
              <w:pStyle w:val="null3"/>
            </w:pPr>
            <w:r>
              <w:rPr/>
              <w:t>提供完善的供货组织方案，履约能力承诺，并针对本项目特点做出合理计划及调配，确保人员分工明确到位，车辆运输及交付等协调措施有力，具有完成项目的组织能力、财力、物力、人力，能够保证生产、服务正常运转。 方案科学合理，描述清晰，且能针对性满足项目需求的得3分； 方案合理，但陈述简单，缺乏针对性的得2分； 方案笼统的得1分； 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技术响应5</w:t>
            </w:r>
          </w:p>
        </w:tc>
        <w:tc>
          <w:tcPr>
            <w:tcW w:type="dxa" w:w="2492"/>
          </w:tcPr>
          <w:p>
            <w:pPr>
              <w:pStyle w:val="null3"/>
            </w:pPr>
            <w:r>
              <w:rPr/>
              <w:t>产品供货方案，产品货源渠道正规、产地及制造商明确，无产权纠纷，质量和服务有保障 方案科学合理，描述清晰，且能针对性满足项目需求的得10分； 方案合理，但陈述简单，缺乏针对性的得7分； 方案笼统的得3分；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技术响应6</w:t>
            </w:r>
          </w:p>
        </w:tc>
        <w:tc>
          <w:tcPr>
            <w:tcW w:type="dxa" w:w="2492"/>
          </w:tcPr>
          <w:p>
            <w:pPr>
              <w:pStyle w:val="null3"/>
            </w:pPr>
            <w:r>
              <w:rPr/>
              <w:t>质量保证措施方案，所投产品性能稳定、有完善的质量保证措施、使用效果好，能够确保所投车辆的安全性能及安全保证，且使用单位能熟练操作维护和正常使用。 方案科学合理，描述清晰，且能针对性满足项目需求的得5分； 方案合理，但陈述简单，缺乏针对性的得3分； 方案笼统的得1分；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技术响应7</w:t>
            </w:r>
          </w:p>
        </w:tc>
        <w:tc>
          <w:tcPr>
            <w:tcW w:type="dxa" w:w="2492"/>
          </w:tcPr>
          <w:p>
            <w:pPr>
              <w:pStyle w:val="null3"/>
            </w:pPr>
            <w:r>
              <w:rPr/>
              <w:t>售后服务方案，针对本项目有全面、可行的售后服务方案，内容包括但不限于售后服务方案详细程度、具体应急时间、应急措施、人员配备、服务承诺等。 方案科学合理，描述清晰，且能针对性满足项目需求的得5分； 方案合理，但陈述简单，缺乏针对性的得3分； 方案笼统的得1分；未提供得0分。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技术响应8</w:t>
            </w:r>
          </w:p>
        </w:tc>
        <w:tc>
          <w:tcPr>
            <w:tcW w:type="dxa" w:w="2492"/>
          </w:tcPr>
          <w:p>
            <w:pPr>
              <w:pStyle w:val="null3"/>
            </w:pPr>
            <w:r>
              <w:rPr/>
              <w:t>提供投标人的备品配件、日常养护培训、维修服务响应、对整个产品发生故障后的补救措施等方案。 方案科学合理，描述清晰，且能针对性满足项目需求的得6分； 方案合理，但陈述简单，缺乏针对性的得4分； 方案笼统的得1分；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主要材料与设备为环境标志产品</w:t>
            </w:r>
          </w:p>
        </w:tc>
        <w:tc>
          <w:tcPr>
            <w:tcW w:type="dxa" w:w="2492"/>
          </w:tcPr>
          <w:p>
            <w:pPr>
              <w:pStyle w:val="null3"/>
            </w:pPr>
            <w:r>
              <w:rPr/>
              <w:t>每种产品得1分，最高得2分，（若项目为单一产品，得1分；若非单一产品，每种产品得0.5分，最高得1分）没有计0分。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主要材料与设备为节能产品</w:t>
            </w:r>
          </w:p>
        </w:tc>
        <w:tc>
          <w:tcPr>
            <w:tcW w:type="dxa" w:w="2492"/>
          </w:tcPr>
          <w:p>
            <w:pPr>
              <w:pStyle w:val="null3"/>
            </w:pPr>
            <w:r>
              <w:rPr/>
              <w:t>每种产品得1分，最高得2分，（若项目为单一产品，得1分；若非单一产品，每种产品得0.5分，最高得1分）没有不得分；属强制节能产品的不再得分，未提供该产品的按无效响应文件处理。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投标人提供2021年1月至今（以合同签订时间为准）同类型项目业绩，投标文件中附业绩证明材料（业绩以完整合同文件复印件加盖投标人公章为评审依据），提供一个有效业绩得1分，满分5分，不提供不得分。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投标函</w:t>
            </w:r>
          </w:p>
          <w:p>
            <w:pPr>
              <w:pStyle w:val="null3"/>
            </w:pPr>
            <w:r>
              <w:rPr/>
              <w:t>商务技术文件</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投标人报价扣除幅度如下： 投标人提供的货物全部为小微企业制造的，给予投标报价扣除10%优惠政策，只要有大中型企业制造货物情形的，就不得享受价格扣除优惠政策。</w:t>
            </w:r>
          </w:p>
        </w:tc>
        <w:tc>
          <w:tcPr>
            <w:tcW w:type="dxa" w:w="1661"/>
          </w:tcPr>
          <w:p>
            <w:pPr>
              <w:pStyle w:val="null3"/>
            </w:pPr>
            <w:r>
              <w:rPr/>
              <w:t>开标一览表 投标函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