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2025年西安市碑林区城西燃气管道等老化更新改造项目工程设计服务</w:t>
      </w:r>
    </w:p>
    <w:p>
      <w:pPr>
        <w:pStyle w:val="null3"/>
        <w:jc w:val="center"/>
        <w:outlineLvl w:val="2"/>
      </w:pPr>
      <w:r>
        <w:rPr>
          <w:sz w:val="28"/>
          <w:b/>
        </w:rPr>
        <w:t>采购项目编号：</w:t>
      </w:r>
      <w:r>
        <w:rPr>
          <w:sz w:val="28"/>
          <w:b/>
        </w:rPr>
        <w:t>XBZB-2024-150</w:t>
      </w:r>
      <w:r>
        <w:br/>
      </w:r>
      <w:r>
        <w:br/>
      </w:r>
      <w:r>
        <w:br/>
      </w:r>
    </w:p>
    <w:p>
      <w:pPr>
        <w:pStyle w:val="null3"/>
        <w:jc w:val="center"/>
        <w:outlineLvl w:val="2"/>
      </w:pPr>
      <w:r>
        <w:rPr>
          <w:sz w:val="28"/>
          <w:b/>
        </w:rPr>
        <w:t>西安市碑林区城市管理局（本级）</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2024年11月06日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西北国际（陕西）造价管理集团有限公司</w:t>
      </w:r>
      <w:r>
        <w:rPr/>
        <w:t>（以下简称“代理机构”）受</w:t>
      </w:r>
      <w:r>
        <w:rPr/>
        <w:t>西安市碑林区城市管理局（本级）</w:t>
      </w:r>
      <w:r>
        <w:rPr/>
        <w:t>委托，拟对</w:t>
      </w:r>
      <w:r>
        <w:rPr/>
        <w:t>2025年西安市碑林区城西燃气管道等老化更新改造项目工程设计服务</w:t>
      </w:r>
      <w:r>
        <w:rPr/>
        <w:t>采用竞争性磋商采购方式进行采购，兹邀请供应商参加本项目的竞争性磋商。</w:t>
      </w:r>
    </w:p>
    <w:p>
      <w:pPr>
        <w:pStyle w:val="null3"/>
        <w:outlineLvl w:val="2"/>
      </w:pPr>
      <w:r>
        <w:rPr>
          <w:sz w:val="28"/>
          <w:b/>
        </w:rPr>
        <w:t>一、项目编号：</w:t>
      </w:r>
      <w:r>
        <w:rPr>
          <w:sz w:val="28"/>
          <w:b/>
        </w:rPr>
        <w:t>XBZB-2024-150</w:t>
      </w:r>
    </w:p>
    <w:p>
      <w:pPr>
        <w:pStyle w:val="null3"/>
        <w:outlineLvl w:val="2"/>
      </w:pPr>
      <w:r>
        <w:rPr>
          <w:sz w:val="28"/>
          <w:b/>
        </w:rPr>
        <w:t>二、项目名称：</w:t>
      </w:r>
      <w:r>
        <w:rPr>
          <w:sz w:val="28"/>
          <w:b/>
        </w:rPr>
        <w:t>2025年西安市碑林区城西燃气管道等老化更新改造项目工程设计服务</w:t>
      </w:r>
    </w:p>
    <w:p>
      <w:pPr>
        <w:pStyle w:val="null3"/>
        <w:outlineLvl w:val="2"/>
      </w:pPr>
      <w:r>
        <w:rPr>
          <w:sz w:val="28"/>
          <w:b/>
        </w:rPr>
        <w:t>三、磋商项目简介</w:t>
      </w:r>
    </w:p>
    <w:p>
      <w:pPr>
        <w:pStyle w:val="null3"/>
        <w:ind w:firstLine="480"/>
      </w:pPr>
      <w:r>
        <w:rPr/>
        <w:t>2025年西安市碑林区城西燃气管道等老化更新改造项目工程设计服务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1、企业资质：供应商须具备工程设计综合资质甲级，或市政行业工程设计乙级及以上资质，或市政行业（城镇燃气工程）专业丙级及以上资质；并具有特种设备压力管道GB1级设计许可证；</w:t>
      </w:r>
    </w:p>
    <w:p>
      <w:pPr>
        <w:pStyle w:val="null3"/>
      </w:pPr>
      <w:r>
        <w:rPr/>
        <w:t>2、项目负责人资质：拟派项目负责人须具备（市政工程相关专业）高级工程师及以上职称，或注册公用设备工程师（动力或暖通空调）执业资格（在本单位注册）；</w:t>
      </w:r>
    </w:p>
    <w:p>
      <w:pPr>
        <w:pStyle w:val="null3"/>
      </w:pPr>
      <w:r>
        <w:rPr/>
        <w:t>3、网页查询截图：供应商基本信息及项目负责人的基本信息在“陕西省住房和城乡建设厅（http://js.shaanxi.gov.cn/）”或陕西政务服务网https://zwfw.shaanxi.gov.cn/sx/public/index可查询，提供官网截图并加盖供应商公章；</w:t>
      </w:r>
    </w:p>
    <w:p>
      <w:pPr>
        <w:pStyle w:val="null3"/>
      </w:pPr>
      <w:r>
        <w:rPr/>
        <w:t>4、法定代表人授权书：被授权人参加投标，须提供法定代表人授权书（附法定代表人、被授权人身份证复印件）；法定代表人直接参加投标，须提供法定代表人身份证明；</w:t>
      </w:r>
    </w:p>
    <w:p>
      <w:pPr>
        <w:pStyle w:val="null3"/>
      </w:pPr>
      <w:r>
        <w:rPr/>
        <w:t>5、信用记录：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t>6、非联合体 ：本项目不接受联合体磋商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西安市碑林区雁塔北路23号</w:t>
      </w:r>
    </w:p>
    <w:p>
      <w:pPr>
        <w:pStyle w:val="null3"/>
      </w:pPr>
      <w:r>
        <w:rPr/>
        <w:t xml:space="preserve"> 邮编： </w:t>
      </w:r>
      <w:r>
        <w:rPr/>
        <w:t>710000</w:t>
      </w:r>
    </w:p>
    <w:p>
      <w:pPr>
        <w:pStyle w:val="null3"/>
      </w:pPr>
      <w:r>
        <w:rPr/>
        <w:t xml:space="preserve"> 联系人： </w:t>
      </w:r>
      <w:r>
        <w:rPr/>
        <w:t>何锐</w:t>
      </w:r>
    </w:p>
    <w:p>
      <w:pPr>
        <w:pStyle w:val="null3"/>
      </w:pPr>
      <w:r>
        <w:rPr/>
        <w:t xml:space="preserve"> 联系电话： </w:t>
      </w:r>
      <w:r>
        <w:rPr/>
        <w:t>029-62651335</w:t>
      </w:r>
    </w:p>
    <w:p>
      <w:pPr>
        <w:pStyle w:val="null3"/>
        <w:outlineLvl w:val="3"/>
      </w:pPr>
      <w:r>
        <w:rPr>
          <w:sz w:val="24"/>
          <w:b/>
        </w:rPr>
        <w:t>代理机构：</w:t>
      </w:r>
      <w:r>
        <w:rPr>
          <w:sz w:val="24"/>
          <w:b/>
        </w:rPr>
        <w:t>西北国际（陕西）造价管理集团有限公司</w:t>
      </w:r>
    </w:p>
    <w:p>
      <w:pPr>
        <w:pStyle w:val="null3"/>
      </w:pPr>
      <w:r>
        <w:rPr/>
        <w:t xml:space="preserve"> 地址： </w:t>
      </w:r>
      <w:r>
        <w:rPr/>
        <w:t>陕西省西安市碑林区长安国际中心F座17层</w:t>
      </w:r>
    </w:p>
    <w:p>
      <w:pPr>
        <w:pStyle w:val="null3"/>
      </w:pPr>
      <w:r>
        <w:rPr/>
        <w:t xml:space="preserve"> 邮编： </w:t>
      </w:r>
      <w:r>
        <w:rPr/>
        <w:t>710000</w:t>
      </w:r>
    </w:p>
    <w:p>
      <w:pPr>
        <w:pStyle w:val="null3"/>
      </w:pPr>
      <w:r>
        <w:rPr/>
        <w:t xml:space="preserve"> 联系人： </w:t>
      </w:r>
      <w:r>
        <w:rPr/>
        <w:t>王富敏、王薇、朱柯伟</w:t>
      </w:r>
    </w:p>
    <w:p>
      <w:pPr>
        <w:pStyle w:val="null3"/>
      </w:pPr>
      <w:r>
        <w:rPr/>
        <w:t xml:space="preserve"> 联系电话： </w:t>
      </w:r>
      <w:r>
        <w:rPr/>
        <w:t>029-85221302/17782814521</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国家计委颁发的《招标代理服务收费管理暂行办法》（计价格[2002]1980号）和国家发展改革委员会办公厅颁发的《关于招标代理服务收费有关问题的通知》（发改办价格[2003]857号）的有关规定执行，不足6000元按6000元收取。成交供应商须在领取《成交通知书》之前，向采购代理机构一次付清招标代理服务费。 户名：西北国际（陕西）造价管理集团有限公司 开户行：招商银行股份有限公司西安雁塔路支行 账号：129912898210301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西北国际（陕西）造价管理集团有限公司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联系人：王富敏、王薇、朱柯伟</w:t>
      </w:r>
    </w:p>
    <w:p>
      <w:pPr>
        <w:pStyle w:val="null3"/>
      </w:pPr>
      <w:r>
        <w:rPr/>
        <w:t>联系电话：029-85221302/17782814521</w:t>
      </w:r>
    </w:p>
    <w:p>
      <w:pPr>
        <w:pStyle w:val="null3"/>
      </w:pPr>
      <w:r>
        <w:rPr/>
        <w:t>地址：陕西省西安市碑林区长安国际中心F座17层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2025年西安市碑林区城西燃气管道等老化更新改造项目工程设计服务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400,000.00</w:t>
      </w:r>
    </w:p>
    <w:p>
      <w:pPr>
        <w:pStyle w:val="null3"/>
      </w:pPr>
      <w:r>
        <w:rPr/>
        <w:t>采购包最高限价（元）: 400,000.00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因我局负责组织实施2025年西安市碑林区燃气管道等老化更新改造项目，现需开展2025年西安市碑林区城西燃气管道等老化更新改造项目工程设计服务</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标的名称：因我局负责组织实施2025年西安市碑林区燃气管道等老化更新改造项目，现需开展2025年西安市碑林区城西燃气管道等老化更新改造项目工程设计服务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jc w:val="both"/>
            </w:pPr>
            <w:r>
              <w:rPr>
                <w:rFonts w:ascii="verdana" w:hAnsi="verdana" w:cs="verdana" w:eastAsia="verdana"/>
                <w:sz w:val="18"/>
              </w:rPr>
              <w:t>一、项目概况</w:t>
            </w:r>
          </w:p>
          <w:p>
            <w:pPr>
              <w:pStyle w:val="null3"/>
              <w:jc w:val="both"/>
            </w:pPr>
            <w:r>
              <w:rPr>
                <w:rFonts w:ascii="verdana" w:hAnsi="verdana" w:cs="verdana" w:eastAsia="verdana"/>
                <w:sz w:val="18"/>
              </w:rPr>
              <w:t>本项目为2025年西安市碑林区城西燃气管道等老化更新改造项目工程设计服务,项目地点位于碑林区辖区范围内，本次改造26个小区。</w:t>
            </w:r>
          </w:p>
        </w:tc>
      </w:tr>
      <w:tr>
        <w:tc>
          <w:tcPr>
            <w:tcW w:type="dxa" w:w="2769"/>
          </w:tcPr>
          <w:p/>
        </w:tc>
        <w:tc>
          <w:tcPr>
            <w:tcW w:type="dxa" w:w="2769"/>
          </w:tcPr>
          <w:p>
            <w:pPr>
              <w:pStyle w:val="null3"/>
            </w:pPr>
            <w:r>
              <w:rPr/>
              <w:t>2</w:t>
            </w:r>
          </w:p>
        </w:tc>
        <w:tc>
          <w:tcPr>
            <w:tcW w:type="dxa" w:w="2769"/>
          </w:tcPr>
          <w:p>
            <w:pPr>
              <w:pStyle w:val="null3"/>
              <w:ind w:firstLine="420"/>
              <w:jc w:val="both"/>
            </w:pPr>
            <w:r>
              <w:rPr>
                <w:rFonts w:ascii="verdana" w:hAnsi="verdana" w:cs="verdana" w:eastAsia="verdana"/>
                <w:sz w:val="18"/>
              </w:rPr>
              <w:t>二、服务内容</w:t>
            </w:r>
          </w:p>
          <w:p>
            <w:pPr>
              <w:pStyle w:val="null3"/>
              <w:ind w:firstLine="420"/>
              <w:jc w:val="both"/>
            </w:pPr>
            <w:r>
              <w:rPr>
                <w:rFonts w:ascii="verdana" w:hAnsi="verdana" w:cs="verdana" w:eastAsia="verdana"/>
                <w:sz w:val="18"/>
              </w:rPr>
              <w:t>1.改造内容</w:t>
            </w:r>
          </w:p>
          <w:p>
            <w:pPr>
              <w:pStyle w:val="null3"/>
              <w:ind w:firstLine="420"/>
              <w:jc w:val="both"/>
            </w:pPr>
            <w:r>
              <w:rPr>
                <w:rFonts w:ascii="verdana" w:hAnsi="verdana" w:cs="verdana" w:eastAsia="verdana"/>
                <w:sz w:val="18"/>
              </w:rPr>
              <w:t>对西安市碑林区现有的 26 个小区建筑红线内庭院燃气管道、立管及户内设施进行改造，包括老旧管道拆除、新建管道安装及附属设施安装等。其中，改造庭院管道 22.937千米，改造立管 21.585千米，改造户内设施 6539 户（包括更换镀锌管、新型自闭阀、智能物联网表、燃气具连接用不锈钢波纹软管、加装电磁切断阀及燃气泄漏报警器）。详见下表：</w:t>
            </w:r>
          </w:p>
          <w:tbl>
            <w:tblPr>
              <w:tblInd w:type="dxa" w:w="105"/>
              <w:tblBorders>
                <w:top w:val="none" w:color="000000" w:sz="4"/>
                <w:left w:val="none" w:color="000000" w:sz="4"/>
                <w:bottom w:val="none" w:color="000000" w:sz="4"/>
                <w:right w:val="none" w:color="000000" w:sz="4"/>
                <w:insideH w:val="none"/>
                <w:insideV w:val="none"/>
              </w:tblBorders>
            </w:tblPr>
            <w:tblGrid>
              <w:gridCol w:w="297"/>
              <w:gridCol w:w="1549"/>
              <w:gridCol w:w="396"/>
              <w:gridCol w:w="310"/>
            </w:tblGrid>
            <w:tr>
              <w:tc>
                <w:tcPr>
                  <w:tcW w:type="dxa" w:w="2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序号</w:t>
                  </w:r>
                </w:p>
              </w:tc>
              <w:tc>
                <w:tcPr>
                  <w:tcW w:type="dxa" w:w="15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小区名称</w:t>
                  </w:r>
                </w:p>
              </w:tc>
              <w:tc>
                <w:tcPr>
                  <w:tcW w:type="dxa" w:w="39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改造性质</w:t>
                  </w:r>
                </w:p>
              </w:tc>
              <w:tc>
                <w:tcPr>
                  <w:tcW w:type="dxa" w:w="3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备注</w:t>
                  </w: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测绘路中国机械工业供销西北公司(新华通小区)</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测绘西路碑林信用社、蝴蝶手表厂</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3</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建设西路西藏驻西安办事处1-4号楼、6号楼、新建楼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4</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建设西路西安市中级人民法院</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5</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建设西路省农业发展办</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6</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建设西路省工商行政管理局1-2#楼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7</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建设西路省中行</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8</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建设西路西安农行长安街信用社天然气气化工程</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9</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建设西路长安城堡大酒店甲楼、乙楼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10</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文艺南路陕西省测绘局(7-12#、17#、19-34#、专家楼)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11</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文艺南路公路研究所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12</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雁塔路陕西省兵工局1#、2#楼、3#楼、4#楼、5#楼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13</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雁塔路市药检所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14</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友谊东路电子综勘院8#-9#楼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15</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友谊东路石化局1#、4#楼、5#、南北楼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16</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建设东路西安建筑科技大学南院1-43#及大板楼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17</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太乙路兰州军区锅炉检验所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18</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太乙路西勘测绘院北楼、南楼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19</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太乙路陕西省劳动厅1-2#楼</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20</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雁塔路总参测绘研究所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21</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朱雀大街市国税局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22</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红樱路建行劳动路支行</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23</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环城南路纺织品公司</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24</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环城南路民政局</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25</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大学南路陕建一中</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26</w:t>
                  </w:r>
                </w:p>
              </w:tc>
              <w:tc>
                <w:tcPr>
                  <w:tcW w:type="dxa" w:w="15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友谊西路陕西省第八建筑工程公司</w:t>
                  </w:r>
                </w:p>
              </w:tc>
              <w:tc>
                <w:tcPr>
                  <w:tcW w:type="dxa" w:w="39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verdana" w:hAnsi="verdana" w:cs="verdana" w:eastAsia="verdana"/>
                      <w:sz w:val="18"/>
                    </w:rPr>
                    <w:t>老化更新</w:t>
                  </w:r>
                </w:p>
              </w:tc>
              <w:tc>
                <w:tcPr>
                  <w:tcW w:type="dxa" w:w="3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tc>
      </w:tr>
      <w:tr>
        <w:tc>
          <w:tcPr>
            <w:tcW w:type="dxa" w:w="2769"/>
          </w:tcPr>
          <w:p/>
        </w:tc>
        <w:tc>
          <w:tcPr>
            <w:tcW w:type="dxa" w:w="2769"/>
          </w:tcPr>
          <w:p>
            <w:pPr>
              <w:pStyle w:val="null3"/>
            </w:pPr>
            <w:r>
              <w:rPr/>
              <w:t>3</w:t>
            </w:r>
          </w:p>
        </w:tc>
        <w:tc>
          <w:tcPr>
            <w:tcW w:type="dxa" w:w="2769"/>
          </w:tcPr>
          <w:p>
            <w:pPr>
              <w:pStyle w:val="null3"/>
              <w:ind w:firstLine="420"/>
              <w:jc w:val="both"/>
            </w:pPr>
            <w:r>
              <w:rPr>
                <w:rFonts w:ascii="verdana" w:hAnsi="verdana" w:cs="verdana" w:eastAsia="verdana"/>
                <w:sz w:val="18"/>
              </w:rPr>
              <w:t>三、技术要求</w:t>
            </w:r>
          </w:p>
          <w:p>
            <w:pPr>
              <w:pStyle w:val="null3"/>
              <w:ind w:firstLine="420"/>
              <w:jc w:val="both"/>
            </w:pPr>
            <w:r>
              <w:rPr>
                <w:rFonts w:ascii="verdana" w:hAnsi="verdana" w:cs="verdana" w:eastAsia="verdana"/>
                <w:sz w:val="18"/>
              </w:rPr>
              <w:t>（一）改造依据</w:t>
            </w:r>
          </w:p>
          <w:p>
            <w:pPr>
              <w:pStyle w:val="null3"/>
              <w:ind w:firstLine="420"/>
              <w:jc w:val="both"/>
            </w:pPr>
            <w:r>
              <w:rPr>
                <w:rFonts w:ascii="verdana" w:hAnsi="verdana" w:cs="verdana" w:eastAsia="verdana"/>
                <w:sz w:val="18"/>
              </w:rPr>
              <w:t>（1）《西安市碑林区行政审批服务局关于2025年西安市碑林区城西燃气管道等老化更新改造项目初步设计的批复》碑审批发〔2024〕80 号；</w:t>
            </w:r>
          </w:p>
          <w:p>
            <w:pPr>
              <w:pStyle w:val="null3"/>
              <w:ind w:firstLine="420"/>
              <w:jc w:val="both"/>
            </w:pPr>
            <w:r>
              <w:rPr>
                <w:rFonts w:ascii="verdana" w:hAnsi="verdana" w:cs="verdana" w:eastAsia="verdana"/>
                <w:sz w:val="18"/>
              </w:rPr>
              <w:t>（2）《市政公用工程设计文件编制深度规定》（2013 年版）；</w:t>
            </w:r>
          </w:p>
          <w:p>
            <w:pPr>
              <w:pStyle w:val="null3"/>
              <w:ind w:firstLine="420"/>
              <w:jc w:val="both"/>
            </w:pPr>
            <w:r>
              <w:rPr>
                <w:rFonts w:ascii="verdana" w:hAnsi="verdana" w:cs="verdana" w:eastAsia="verdana"/>
                <w:sz w:val="18"/>
              </w:rPr>
              <w:t>（3）项目建设单位提供的有关本项目的技术资料等。</w:t>
            </w:r>
          </w:p>
          <w:p>
            <w:pPr>
              <w:pStyle w:val="null3"/>
              <w:ind w:firstLine="420"/>
              <w:jc w:val="both"/>
            </w:pPr>
            <w:r>
              <w:rPr>
                <w:rFonts w:ascii="verdana" w:hAnsi="verdana" w:cs="verdana" w:eastAsia="verdana"/>
                <w:sz w:val="18"/>
              </w:rPr>
              <w:t>（二）改造原则</w:t>
            </w:r>
          </w:p>
          <w:p>
            <w:pPr>
              <w:pStyle w:val="null3"/>
              <w:ind w:firstLine="420"/>
              <w:jc w:val="both"/>
            </w:pPr>
            <w:r>
              <w:rPr>
                <w:rFonts w:ascii="verdana" w:hAnsi="verdana" w:cs="verdana" w:eastAsia="verdana"/>
                <w:sz w:val="18"/>
              </w:rPr>
              <w:t>为了更好的发展城市燃气管网及燃气行业，必要的建设和改造规划方案必不可少，需要结合城市道路、市政管线、建构筑物、居住用地及人口等相关因素，因地制宜，统筹规划。改造的具体原则如下：</w:t>
            </w:r>
          </w:p>
          <w:p>
            <w:pPr>
              <w:pStyle w:val="null3"/>
              <w:ind w:firstLine="420"/>
              <w:jc w:val="both"/>
            </w:pPr>
            <w:r>
              <w:rPr>
                <w:rFonts w:ascii="verdana" w:hAnsi="verdana" w:cs="verdana" w:eastAsia="verdana"/>
                <w:sz w:val="18"/>
              </w:rPr>
              <w:t>（1）认真贯彻中、省、市关于“城市燃气管道老化更新改造”工作的方针和政策，符合国家的有关法律、法规、规范、标准及燃气行业相关规范和标准。</w:t>
            </w:r>
          </w:p>
          <w:p>
            <w:pPr>
              <w:pStyle w:val="null3"/>
              <w:ind w:firstLine="420"/>
              <w:jc w:val="both"/>
            </w:pPr>
            <w:r>
              <w:rPr>
                <w:rFonts w:ascii="verdana" w:hAnsi="verdana" w:cs="verdana" w:eastAsia="verdana"/>
                <w:sz w:val="18"/>
              </w:rPr>
              <w:t>（2）燃气管网系统的改造应该切合城市未来的发展规划，要对流通力差、管径壁</w:t>
            </w:r>
          </w:p>
          <w:p>
            <w:pPr>
              <w:pStyle w:val="null3"/>
              <w:ind w:firstLine="420"/>
              <w:jc w:val="both"/>
            </w:pPr>
            <w:r>
              <w:rPr>
                <w:rFonts w:ascii="verdana" w:hAnsi="verdana" w:cs="verdana" w:eastAsia="verdana"/>
                <w:sz w:val="18"/>
              </w:rPr>
              <w:t>厚大小不适用、流量输配能力差的燃气管道进行统一规划改造，管材、管径、壁厚的情况应该根据城市的远期规划和水力计算等因素重新确定。随着城市的发展，大规模利用天然气以后，一定程度扩大了用气量，原来的管网不能适应天然气发展的需要；又或原有人工煤气的压力级制不能再满足天然气管网输配的要求；原有人工煤气的管道技术，如管道接口形式、管材选择、防腐方法等已经不符合天然气使用的需要。燃气管网大面积改造和局部重点改造相结合，成片区域改造的同时，要对局部腐蚀、老化严重的管网进行改造。在不能够实施大面积改造的地区，应该进行统一规划，分年度对老旧管线改造进行防腐检测等检测措施，在无法改造的情况下，采取局部防腐、加强巡检等方式，做好各种应对措施，一旦有改造条件，应优先集中对情况不佳的管段和设施进行改造。</w:t>
            </w:r>
          </w:p>
          <w:p>
            <w:pPr>
              <w:pStyle w:val="null3"/>
              <w:ind w:firstLine="420"/>
              <w:jc w:val="both"/>
            </w:pPr>
            <w:r>
              <w:rPr>
                <w:rFonts w:ascii="verdana" w:hAnsi="verdana" w:cs="verdana" w:eastAsia="verdana"/>
                <w:sz w:val="18"/>
              </w:rPr>
              <w:t>（3）列入更新改造范围的燃气管道和设施可以通过维修、补强、部分更新、增设保护措施等进行局部改造，无法通过局部改造保障运行安全的应采取整体更新改造。</w:t>
            </w:r>
          </w:p>
          <w:p>
            <w:pPr>
              <w:pStyle w:val="null3"/>
              <w:ind w:firstLine="420"/>
              <w:jc w:val="both"/>
            </w:pPr>
            <w:r>
              <w:rPr>
                <w:rFonts w:ascii="verdana" w:hAnsi="verdana" w:cs="verdana" w:eastAsia="verdana"/>
                <w:sz w:val="18"/>
              </w:rPr>
              <w:t>（4）存在占压、包裹等运行风险的燃气管道及设施必须改造，不符合规范要求的室内暗厨房必须改造。</w:t>
            </w:r>
          </w:p>
          <w:p>
            <w:pPr>
              <w:pStyle w:val="null3"/>
              <w:ind w:firstLine="420"/>
              <w:jc w:val="both"/>
            </w:pPr>
            <w:r>
              <w:rPr>
                <w:rFonts w:ascii="verdana" w:hAnsi="verdana" w:cs="verdana" w:eastAsia="verdana"/>
                <w:sz w:val="18"/>
              </w:rPr>
              <w:t>（5）管道为铸铁材料的必须改造为钢质管道或聚乙烯（PE）管。中、低压埋地燃气管道尽可能采用聚乙烯（PE）管；中压架空燃气管道应采用无缝钢管；管径 DN80 及以下螺纹连接的管道推荐采用涂覆管或薄壁不锈钢管；其余低压架空燃气管道采用焊接钢管。</w:t>
            </w:r>
          </w:p>
          <w:p>
            <w:pPr>
              <w:pStyle w:val="null3"/>
              <w:ind w:firstLine="420"/>
              <w:jc w:val="both"/>
            </w:pPr>
            <w:r>
              <w:rPr>
                <w:rFonts w:ascii="verdana" w:hAnsi="verdana" w:cs="verdana" w:eastAsia="verdana"/>
                <w:sz w:val="18"/>
              </w:rPr>
              <w:t>（6）原调压设备存在安全间距不足、不符合现行国家标准、老旧无法维修的必须改造。</w:t>
            </w:r>
          </w:p>
          <w:p>
            <w:pPr>
              <w:pStyle w:val="null3"/>
              <w:ind w:firstLine="420"/>
              <w:jc w:val="both"/>
            </w:pPr>
            <w:r>
              <w:rPr>
                <w:rFonts w:ascii="verdana" w:hAnsi="verdana" w:cs="verdana" w:eastAsia="verdana"/>
                <w:sz w:val="18"/>
              </w:rPr>
              <w:t>（7）庭院内老旧失效、腐蚀严重的阀门必须改造，为便于运行管理、风险管控宜在每栋楼分支管道加装分段阀门。</w:t>
            </w:r>
          </w:p>
          <w:p>
            <w:pPr>
              <w:pStyle w:val="null3"/>
              <w:ind w:firstLine="420"/>
              <w:jc w:val="both"/>
            </w:pPr>
            <w:r>
              <w:rPr>
                <w:rFonts w:ascii="verdana" w:hAnsi="verdana" w:cs="verdana" w:eastAsia="verdana"/>
                <w:sz w:val="18"/>
              </w:rPr>
              <w:t>（8）居民用户户内立管应改造至户外安装，推荐采用涂覆管或薄壁不锈钢管。</w:t>
            </w:r>
          </w:p>
          <w:p>
            <w:pPr>
              <w:pStyle w:val="null3"/>
              <w:ind w:firstLine="420"/>
              <w:jc w:val="both"/>
            </w:pPr>
            <w:r>
              <w:rPr>
                <w:rFonts w:ascii="verdana" w:hAnsi="verdana" w:cs="verdana" w:eastAsia="verdana"/>
                <w:sz w:val="18"/>
              </w:rPr>
              <w:t>（9）居民用户燃气表具使用超过十年必须更换为智能物联网表。</w:t>
            </w:r>
          </w:p>
          <w:p>
            <w:pPr>
              <w:pStyle w:val="null3"/>
              <w:ind w:firstLine="420"/>
              <w:jc w:val="both"/>
            </w:pPr>
            <w:r>
              <w:rPr>
                <w:rFonts w:ascii="verdana" w:hAnsi="verdana" w:cs="verdana" w:eastAsia="verdana"/>
                <w:sz w:val="18"/>
              </w:rPr>
              <w:t>（10）居民用户应加装燃气自闭阀，管道与燃具之间应采用燃气用具连接用不锈钢波纹软管，执行《燃气用具连接用不锈钢波纹软管》GB/T41317-2024 的有关规定。燃具连接软管与管道、燃具应采用螺纹连接；燃具连接软管不应穿越墙体、门窗、顶棚和地面，长度不应大于 2.0m 且不应有接头。所有未连接灶具的燃气支管阀门后均应安装丝堵封闭管路系统。接热水器部分燃气管道由厂家负责安装。</w:t>
            </w:r>
          </w:p>
          <w:p>
            <w:pPr>
              <w:pStyle w:val="null3"/>
              <w:ind w:firstLine="420"/>
              <w:jc w:val="both"/>
            </w:pPr>
            <w:r>
              <w:rPr>
                <w:rFonts w:ascii="verdana" w:hAnsi="verdana" w:cs="verdana" w:eastAsia="verdana"/>
                <w:sz w:val="18"/>
              </w:rPr>
              <w:t>（11）居民用户室内应使用带熄火保护装置的灶具，项目单位应做好宣传工作。对无自动熄火保护装置的灶具及达到判废年限的燃具应由用户进行更换。</w:t>
            </w:r>
          </w:p>
          <w:p>
            <w:pPr>
              <w:pStyle w:val="null3"/>
              <w:ind w:firstLine="420"/>
              <w:jc w:val="both"/>
            </w:pPr>
            <w:r>
              <w:rPr>
                <w:rFonts w:ascii="verdana" w:hAnsi="verdana" w:cs="verdana" w:eastAsia="verdana"/>
                <w:sz w:val="18"/>
              </w:rPr>
              <w:t>（12）更新改造后原有燃气管道应安全置换后拆除，确实无法拆除的应采取有效措施确保无安全隐患。</w:t>
            </w:r>
          </w:p>
          <w:p>
            <w:pPr>
              <w:pStyle w:val="null3"/>
              <w:ind w:firstLine="420"/>
              <w:jc w:val="both"/>
            </w:pPr>
            <w:r>
              <w:rPr>
                <w:rFonts w:ascii="verdana" w:hAnsi="verdana" w:cs="verdana" w:eastAsia="verdana"/>
                <w:sz w:val="18"/>
              </w:rPr>
              <w:t>（13）更新改造后燃气管道及设施的供气规模应不小于原设计供气规模。</w:t>
            </w:r>
          </w:p>
          <w:p>
            <w:pPr>
              <w:pStyle w:val="null3"/>
              <w:ind w:firstLine="420"/>
              <w:jc w:val="both"/>
            </w:pPr>
            <w:r>
              <w:rPr>
                <w:rFonts w:ascii="verdana" w:hAnsi="verdana" w:cs="verdana" w:eastAsia="verdana"/>
                <w:sz w:val="18"/>
              </w:rPr>
              <w:t>（14）位于输配管网末端的调压箱处宜加装压力远传装置。</w:t>
            </w:r>
          </w:p>
          <w:p>
            <w:pPr>
              <w:pStyle w:val="null3"/>
              <w:ind w:firstLine="420"/>
              <w:jc w:val="both"/>
            </w:pPr>
            <w:r>
              <w:rPr>
                <w:rFonts w:ascii="verdana" w:hAnsi="verdana" w:cs="verdana" w:eastAsia="verdana"/>
                <w:sz w:val="18"/>
              </w:rPr>
              <w:t>（15）居民用户室内应加装燃气浓度检测报警器、电磁式燃气紧急切断阀，可燃气体报警器应与紧急切断阀联动。燃气浓度检测报警器应符合现行国家标准《家用和小型餐饮厨房用燃气报警器及传感器》GB/T34004 -2017，紧急切断阀应符合现行行业标准《电磁式燃气紧急切断阀》GB44016-2024。</w:t>
            </w:r>
          </w:p>
          <w:p>
            <w:pPr>
              <w:pStyle w:val="null3"/>
              <w:ind w:firstLine="420"/>
              <w:jc w:val="both"/>
            </w:pPr>
            <w:r>
              <w:rPr>
                <w:rFonts w:ascii="verdana" w:hAnsi="verdana" w:cs="verdana" w:eastAsia="verdana"/>
                <w:sz w:val="18"/>
              </w:rPr>
              <w:t>（16）现状存在的暗厨房，应与用户协商厨房迁移至具备自然通风、自然采光的房间。对暂不具备迁改条件的用户，建议与秦华集团分公司进行协商，对确实无法满足通风条件的用户建议停气，对具备一定通风条件的用户应采用燃气输送用不锈钢波纹软管以减少接头且户内安检周期缩短至每 12 个月一轮。厨房为地上暗厨房(无直通室外的门或窗)时，应选用带有自动熄火保护装置的燃气灶，并应设置燃气浓度检测报警器、自动切断阀和机械通风设施，燃气浓度检测报警器应与自动切断阀和机械通风设施连锁。</w:t>
            </w:r>
          </w:p>
          <w:p>
            <w:pPr>
              <w:pStyle w:val="null3"/>
              <w:ind w:firstLine="420"/>
              <w:jc w:val="both"/>
            </w:pPr>
            <w:r>
              <w:rPr>
                <w:rFonts w:ascii="verdana" w:hAnsi="verdana" w:cs="verdana" w:eastAsia="verdana"/>
                <w:sz w:val="18"/>
              </w:rPr>
              <w:t>（17）为保证原有燃气设施正常稳定供气，燃气管道位置原则上利用原管道管位，但是考虑到居民家中不能长时间停气，所以本工程庭院燃气管道考虑在原有燃气管道就近新建供气系统，待新的供气系统与原有燃气管道碰口、置换，新旧供气系统同时带气后，切断原室内立管供气气源，安全放散后更换室内燃气管道及设施。新的供气系统全部置换通气后，切断旧的供气系统，并用氮气对原有燃气设施进行置换。</w:t>
            </w:r>
          </w:p>
          <w:p>
            <w:pPr>
              <w:pStyle w:val="null3"/>
              <w:ind w:firstLine="420"/>
              <w:jc w:val="both"/>
            </w:pPr>
            <w:r>
              <w:rPr>
                <w:rFonts w:ascii="verdana" w:hAnsi="verdana" w:cs="verdana" w:eastAsia="verdana"/>
                <w:sz w:val="18"/>
              </w:rPr>
              <w:t>（18）燃气系统抗震设计技术要求，燃气引入管穿过建筑物基础、墙或管沟时，应设置在套管中，并应留有沉降空间，且应符合现行国家标准《城镇燃气设计规范》GB50028-2006（2020 年版）的有关规定；高层建筑的燃气立管应设置承受自重和热伸缩推力的固定支架和滑动支架。固定支架做法见陕 2021TJ 054-130~132 页，滑动支架做法见陕 2021TJ 054-133 页。</w:t>
            </w:r>
          </w:p>
          <w:p>
            <w:pPr>
              <w:pStyle w:val="null3"/>
              <w:ind w:firstLine="420"/>
              <w:jc w:val="both"/>
            </w:pPr>
            <w:r>
              <w:rPr>
                <w:rFonts w:ascii="verdana" w:hAnsi="verdana" w:cs="verdana" w:eastAsia="verdana"/>
                <w:sz w:val="18"/>
              </w:rPr>
              <w:t>（三）设计依据</w:t>
            </w:r>
          </w:p>
          <w:p>
            <w:pPr>
              <w:pStyle w:val="null3"/>
              <w:ind w:firstLine="420"/>
              <w:jc w:val="both"/>
            </w:pPr>
            <w:r>
              <w:rPr>
                <w:rFonts w:ascii="verdana" w:hAnsi="verdana" w:cs="verdana" w:eastAsia="verdana"/>
                <w:sz w:val="18"/>
              </w:rPr>
              <w:t>（1）《建筑设计防火规范》GB50016-2014（2018 年版）；</w:t>
            </w:r>
          </w:p>
          <w:p>
            <w:pPr>
              <w:pStyle w:val="null3"/>
              <w:ind w:firstLine="420"/>
              <w:jc w:val="both"/>
            </w:pPr>
            <w:r>
              <w:rPr>
                <w:rFonts w:ascii="verdana" w:hAnsi="verdana" w:cs="verdana" w:eastAsia="verdana"/>
                <w:sz w:val="18"/>
              </w:rPr>
              <w:t>（2）《城镇燃气技术规范》GB50494-2009；</w:t>
            </w:r>
          </w:p>
          <w:p>
            <w:pPr>
              <w:pStyle w:val="null3"/>
              <w:ind w:firstLine="420"/>
              <w:jc w:val="both"/>
            </w:pPr>
            <w:r>
              <w:rPr>
                <w:rFonts w:ascii="verdana" w:hAnsi="verdana" w:cs="verdana" w:eastAsia="verdana"/>
                <w:sz w:val="18"/>
              </w:rPr>
              <w:t>（3）《城镇燃气设计规范》GB50028-2006；</w:t>
            </w:r>
          </w:p>
          <w:p>
            <w:pPr>
              <w:pStyle w:val="null3"/>
              <w:ind w:firstLine="420"/>
              <w:jc w:val="both"/>
            </w:pPr>
            <w:r>
              <w:rPr>
                <w:rFonts w:ascii="verdana" w:hAnsi="verdana" w:cs="verdana" w:eastAsia="verdana"/>
                <w:sz w:val="18"/>
              </w:rPr>
              <w:t>（4）《聚乙烯燃气管道工程技术标准》CJJ63-2018；</w:t>
            </w:r>
          </w:p>
          <w:p>
            <w:pPr>
              <w:pStyle w:val="null3"/>
              <w:ind w:firstLine="420"/>
              <w:jc w:val="both"/>
            </w:pPr>
            <w:r>
              <w:rPr>
                <w:rFonts w:ascii="verdana" w:hAnsi="verdana" w:cs="verdana" w:eastAsia="verdana"/>
                <w:sz w:val="18"/>
              </w:rPr>
              <w:t>（5）《城镇燃气输配工程施工及验收规范》CJJ33-2005；</w:t>
            </w:r>
          </w:p>
          <w:p>
            <w:pPr>
              <w:pStyle w:val="null3"/>
              <w:ind w:firstLine="420"/>
              <w:jc w:val="both"/>
            </w:pPr>
            <w:r>
              <w:rPr>
                <w:rFonts w:ascii="verdana" w:hAnsi="verdana" w:cs="verdana" w:eastAsia="verdana"/>
                <w:sz w:val="18"/>
              </w:rPr>
              <w:t>（6）《城镇燃气室内工程施工与验收规范》CJJ94-2009；</w:t>
            </w:r>
          </w:p>
          <w:p>
            <w:pPr>
              <w:pStyle w:val="null3"/>
              <w:ind w:firstLine="420"/>
              <w:jc w:val="both"/>
            </w:pPr>
            <w:r>
              <w:rPr>
                <w:rFonts w:ascii="verdana" w:hAnsi="verdana" w:cs="verdana" w:eastAsia="verdana"/>
                <w:sz w:val="18"/>
              </w:rPr>
              <w:t>（7）《钢制管道管体腐蚀损伤评价方法》SY/T6151-2009；</w:t>
            </w:r>
          </w:p>
          <w:p>
            <w:pPr>
              <w:pStyle w:val="null3"/>
              <w:ind w:firstLine="420"/>
              <w:jc w:val="both"/>
            </w:pPr>
            <w:r>
              <w:rPr>
                <w:rFonts w:ascii="verdana" w:hAnsi="verdana" w:cs="verdana" w:eastAsia="verdana"/>
                <w:sz w:val="18"/>
              </w:rPr>
              <w:t>（8）《宽边管件连接涂覆燃气管道技术规程》CGAS001-2016；</w:t>
            </w:r>
          </w:p>
          <w:p>
            <w:pPr>
              <w:pStyle w:val="null3"/>
              <w:ind w:firstLine="420"/>
              <w:jc w:val="both"/>
            </w:pPr>
            <w:r>
              <w:rPr>
                <w:rFonts w:ascii="verdana" w:hAnsi="verdana" w:cs="verdana" w:eastAsia="verdana"/>
                <w:sz w:val="18"/>
              </w:rPr>
              <w:t>（9）本项目前期可行性研究报告、及相关批复文件。</w:t>
            </w:r>
          </w:p>
        </w:tc>
      </w:tr>
      <w:tr>
        <w:tc>
          <w:tcPr>
            <w:tcW w:type="dxa" w:w="2769"/>
          </w:tcPr>
          <w:p/>
        </w:tc>
        <w:tc>
          <w:tcPr>
            <w:tcW w:type="dxa" w:w="2769"/>
          </w:tcPr>
          <w:p>
            <w:pPr>
              <w:pStyle w:val="null3"/>
            </w:pPr>
            <w:r>
              <w:rPr/>
              <w:t>4</w:t>
            </w:r>
          </w:p>
        </w:tc>
        <w:tc>
          <w:tcPr>
            <w:tcW w:type="dxa" w:w="2769"/>
          </w:tcPr>
          <w:p>
            <w:pPr>
              <w:pStyle w:val="null3"/>
              <w:ind w:firstLine="420"/>
              <w:jc w:val="both"/>
            </w:pPr>
            <w:r>
              <w:rPr>
                <w:rFonts w:ascii="verdana" w:hAnsi="verdana" w:cs="verdana" w:eastAsia="verdana"/>
                <w:sz w:val="18"/>
              </w:rPr>
              <w:t>四、服务要求</w:t>
            </w:r>
          </w:p>
          <w:p>
            <w:pPr>
              <w:pStyle w:val="null3"/>
              <w:ind w:firstLine="420"/>
              <w:jc w:val="both"/>
            </w:pPr>
            <w:r>
              <w:rPr>
                <w:rFonts w:ascii="verdana" w:hAnsi="verdana" w:cs="verdana" w:eastAsia="verdana"/>
                <w:sz w:val="18"/>
              </w:rPr>
              <w:t>1.改造设计服务内容</w:t>
            </w:r>
          </w:p>
          <w:p>
            <w:pPr>
              <w:pStyle w:val="null3"/>
              <w:ind w:firstLine="420"/>
              <w:jc w:val="both"/>
            </w:pPr>
            <w:r>
              <w:rPr>
                <w:rFonts w:ascii="verdana" w:hAnsi="verdana" w:cs="verdana" w:eastAsia="verdana"/>
                <w:sz w:val="18"/>
              </w:rPr>
              <w:t>根据改造原则，本项目改造内容为西安市碑林区现有的 26 个小区，具体内容包括：</w:t>
            </w:r>
          </w:p>
          <w:p>
            <w:pPr>
              <w:pStyle w:val="null3"/>
              <w:ind w:firstLine="420"/>
              <w:jc w:val="both"/>
            </w:pPr>
            <w:r>
              <w:rPr>
                <w:rFonts w:ascii="verdana" w:hAnsi="verdana" w:cs="verdana" w:eastAsia="verdana"/>
                <w:sz w:val="18"/>
              </w:rPr>
              <w:t>(1)更新改造庭院燃气管道约 22.937km，原有调压箱及阀门全部更新；</w:t>
            </w:r>
          </w:p>
          <w:p>
            <w:pPr>
              <w:pStyle w:val="null3"/>
              <w:ind w:firstLine="420"/>
              <w:jc w:val="both"/>
            </w:pPr>
            <w:r>
              <w:rPr>
                <w:rFonts w:ascii="verdana" w:hAnsi="verdana" w:cs="verdana" w:eastAsia="verdana"/>
                <w:sz w:val="18"/>
              </w:rPr>
              <w:t>(2)更新改造立管 21.585km，室内立管更换为室外立管（涂覆管）；</w:t>
            </w:r>
          </w:p>
          <w:p>
            <w:pPr>
              <w:pStyle w:val="null3"/>
              <w:ind w:firstLine="420"/>
              <w:jc w:val="both"/>
            </w:pPr>
            <w:r>
              <w:rPr>
                <w:rFonts w:ascii="verdana" w:hAnsi="verdana" w:cs="verdana" w:eastAsia="verdana"/>
                <w:sz w:val="18"/>
              </w:rPr>
              <w:t>(3)更新改造户内设施 6539 户，包括：</w:t>
            </w:r>
          </w:p>
          <w:p>
            <w:pPr>
              <w:pStyle w:val="null3"/>
              <w:ind w:firstLine="420"/>
              <w:jc w:val="both"/>
            </w:pPr>
            <w:r>
              <w:rPr>
                <w:rFonts w:ascii="verdana" w:hAnsi="verdana" w:cs="verdana" w:eastAsia="verdana"/>
                <w:sz w:val="18"/>
              </w:rPr>
              <w:t>①原有燃气表更换为智能物联网燃气表；</w:t>
            </w:r>
          </w:p>
          <w:p>
            <w:pPr>
              <w:pStyle w:val="null3"/>
              <w:ind w:firstLine="420"/>
              <w:jc w:val="both"/>
            </w:pPr>
            <w:r>
              <w:rPr>
                <w:rFonts w:ascii="verdana" w:hAnsi="verdana" w:cs="verdana" w:eastAsia="verdana"/>
                <w:sz w:val="18"/>
              </w:rPr>
              <w:t>②老式自闭阀更换为新型燃气自闭阀；</w:t>
            </w:r>
          </w:p>
          <w:p>
            <w:pPr>
              <w:pStyle w:val="null3"/>
              <w:ind w:firstLine="420"/>
              <w:jc w:val="both"/>
            </w:pPr>
            <w:r>
              <w:rPr>
                <w:rFonts w:ascii="verdana" w:hAnsi="verdana" w:cs="verdana" w:eastAsia="verdana"/>
                <w:sz w:val="18"/>
              </w:rPr>
              <w:t>③加装燃气泄漏报警器及电磁阀；</w:t>
            </w:r>
          </w:p>
          <w:p>
            <w:pPr>
              <w:pStyle w:val="null3"/>
              <w:ind w:firstLine="420"/>
              <w:jc w:val="both"/>
            </w:pPr>
            <w:r>
              <w:rPr>
                <w:rFonts w:ascii="verdana" w:hAnsi="verdana" w:cs="verdana" w:eastAsia="verdana"/>
                <w:sz w:val="18"/>
              </w:rPr>
              <w:t>④接灶具的橡胶软管更换为燃气用具连接用不锈钢金属软管；</w:t>
            </w:r>
          </w:p>
          <w:p>
            <w:pPr>
              <w:pStyle w:val="null3"/>
              <w:ind w:firstLine="420"/>
              <w:jc w:val="both"/>
            </w:pPr>
            <w:r>
              <w:rPr>
                <w:rFonts w:ascii="verdana" w:hAnsi="verdana" w:cs="verdana" w:eastAsia="verdana"/>
                <w:sz w:val="18"/>
              </w:rPr>
              <w:t>(4)更新改造后废弃燃气管道及设施的拆除。</w:t>
            </w:r>
          </w:p>
          <w:p>
            <w:pPr>
              <w:pStyle w:val="null3"/>
              <w:ind w:firstLine="420"/>
              <w:jc w:val="both"/>
            </w:pPr>
            <w:r>
              <w:rPr>
                <w:rFonts w:ascii="verdana" w:hAnsi="verdana" w:cs="verdana" w:eastAsia="verdana"/>
                <w:sz w:val="18"/>
              </w:rPr>
              <w:t>2.人员配置</w:t>
            </w:r>
          </w:p>
          <w:p>
            <w:pPr>
              <w:pStyle w:val="null3"/>
              <w:ind w:firstLine="420"/>
              <w:jc w:val="both"/>
            </w:pPr>
            <w:r>
              <w:rPr>
                <w:rFonts w:ascii="verdana" w:hAnsi="verdana" w:cs="verdana" w:eastAsia="verdana"/>
                <w:sz w:val="18"/>
              </w:rPr>
              <w:t>须配备符合本项目要求的项目负责人及技术人员。</w:t>
            </w:r>
          </w:p>
        </w:tc>
      </w:tr>
      <w:tr>
        <w:tc>
          <w:tcPr>
            <w:tcW w:type="dxa" w:w="2769"/>
          </w:tcPr>
          <w:p>
            <w:pPr>
              <w:pStyle w:val="null3"/>
            </w:pPr>
            <w:r>
              <w:rPr/>
              <w:t>★</w:t>
            </w:r>
          </w:p>
        </w:tc>
        <w:tc>
          <w:tcPr>
            <w:tcW w:type="dxa" w:w="2769"/>
          </w:tcPr>
          <w:p>
            <w:pPr>
              <w:pStyle w:val="null3"/>
            </w:pPr>
            <w:r>
              <w:rPr/>
              <w:t>5</w:t>
            </w:r>
          </w:p>
        </w:tc>
        <w:tc>
          <w:tcPr>
            <w:tcW w:type="dxa" w:w="2769"/>
          </w:tcPr>
          <w:p>
            <w:pPr>
              <w:pStyle w:val="null3"/>
              <w:ind w:firstLine="420"/>
              <w:jc w:val="both"/>
            </w:pPr>
            <w:r>
              <w:rPr>
                <w:rFonts w:ascii="verdana" w:hAnsi="verdana" w:cs="verdana" w:eastAsia="verdana"/>
                <w:sz w:val="18"/>
              </w:rPr>
              <w:t>五、商务要求</w:t>
            </w:r>
          </w:p>
          <w:p>
            <w:pPr>
              <w:pStyle w:val="null3"/>
              <w:ind w:firstLine="420"/>
              <w:jc w:val="both"/>
            </w:pPr>
            <w:r>
              <w:rPr>
                <w:rFonts w:ascii="verdana" w:hAnsi="verdana" w:cs="verdana" w:eastAsia="verdana"/>
                <w:sz w:val="18"/>
              </w:rPr>
              <w:t>（一）服务期限：15日历天内提交成果文件，实际以采购人委托单为准。</w:t>
            </w:r>
          </w:p>
          <w:p>
            <w:pPr>
              <w:pStyle w:val="null3"/>
              <w:ind w:firstLine="420"/>
              <w:jc w:val="both"/>
            </w:pPr>
            <w:r>
              <w:rPr>
                <w:rFonts w:ascii="verdana" w:hAnsi="verdana" w:cs="verdana" w:eastAsia="verdana"/>
                <w:sz w:val="18"/>
              </w:rPr>
              <w:t>（二）服务地点：采购人指定地点</w:t>
            </w:r>
          </w:p>
          <w:p>
            <w:pPr>
              <w:pStyle w:val="null3"/>
              <w:ind w:firstLine="420"/>
              <w:jc w:val="both"/>
            </w:pPr>
            <w:r>
              <w:rPr>
                <w:rFonts w:ascii="verdana" w:hAnsi="verdana" w:cs="verdana" w:eastAsia="verdana"/>
                <w:sz w:val="18"/>
              </w:rPr>
              <w:t>（三）款项结算：项目完成，并经甲方验收合格后无任何问题，甲方支付合同总价款的100%。付款前成交单位须提供全额正规发票。</w:t>
            </w:r>
          </w:p>
        </w:tc>
      </w:tr>
      <w:tr>
        <w:tc>
          <w:tcPr>
            <w:tcW w:type="dxa" w:w="2769"/>
          </w:tcPr>
          <w:p/>
        </w:tc>
        <w:tc>
          <w:tcPr>
            <w:tcW w:type="dxa" w:w="2769"/>
          </w:tcPr>
          <w:p>
            <w:pPr>
              <w:pStyle w:val="null3"/>
            </w:pPr>
            <w:r>
              <w:rPr/>
              <w:t>6</w:t>
            </w:r>
          </w:p>
        </w:tc>
        <w:tc>
          <w:tcPr>
            <w:tcW w:type="dxa" w:w="2769"/>
          </w:tcPr>
          <w:p>
            <w:pPr>
              <w:pStyle w:val="null3"/>
              <w:ind w:firstLine="420"/>
              <w:jc w:val="both"/>
            </w:pPr>
            <w:r>
              <w:rPr>
                <w:rFonts w:ascii="verdana" w:hAnsi="verdana" w:cs="verdana" w:eastAsia="verdana"/>
                <w:sz w:val="18"/>
              </w:rPr>
              <w:t>六、其他</w:t>
            </w:r>
          </w:p>
          <w:p>
            <w:pPr>
              <w:pStyle w:val="null3"/>
              <w:ind w:firstLine="420"/>
              <w:jc w:val="both"/>
            </w:pPr>
            <w:r>
              <w:rPr>
                <w:rFonts w:ascii="verdana" w:hAnsi="verdana" w:cs="verdana" w:eastAsia="verdana"/>
                <w:sz w:val="18"/>
              </w:rPr>
              <w:t>（一）成果交付要求</w:t>
            </w:r>
          </w:p>
          <w:p>
            <w:pPr>
              <w:pStyle w:val="null3"/>
              <w:ind w:firstLine="420"/>
              <w:jc w:val="both"/>
            </w:pPr>
            <w:r>
              <w:rPr>
                <w:rFonts w:ascii="verdana" w:hAnsi="verdana" w:cs="verdana" w:eastAsia="verdana"/>
                <w:sz w:val="18"/>
              </w:rPr>
              <w:t>1. 成果文件：设计图纸</w:t>
            </w:r>
          </w:p>
          <w:p>
            <w:pPr>
              <w:pStyle w:val="null3"/>
              <w:ind w:firstLine="420"/>
              <w:jc w:val="both"/>
            </w:pPr>
            <w:r>
              <w:rPr>
                <w:rFonts w:ascii="verdana" w:hAnsi="verdana" w:cs="verdana" w:eastAsia="verdana"/>
                <w:sz w:val="18"/>
              </w:rPr>
              <w:t>2. 成果提交方式：</w:t>
            </w:r>
          </w:p>
          <w:p>
            <w:pPr>
              <w:pStyle w:val="null3"/>
              <w:ind w:firstLine="420"/>
              <w:jc w:val="both"/>
            </w:pPr>
            <w:r>
              <w:rPr>
                <w:rFonts w:ascii="verdana" w:hAnsi="verdana" w:cs="verdana" w:eastAsia="verdana"/>
                <w:sz w:val="18"/>
              </w:rPr>
              <w:t>电子版1份（整套文本及图纸，图纸采用JPG或者PDF格式），文本成册8份。</w:t>
            </w:r>
          </w:p>
          <w:p>
            <w:pPr>
              <w:pStyle w:val="null3"/>
              <w:ind w:firstLine="420"/>
              <w:jc w:val="both"/>
            </w:pPr>
            <w:r>
              <w:rPr>
                <w:rFonts w:ascii="verdana" w:hAnsi="verdana" w:cs="verdana" w:eastAsia="verdana"/>
                <w:sz w:val="18"/>
              </w:rPr>
              <w:t>（二）质量验收标准或规范</w:t>
            </w:r>
          </w:p>
          <w:p>
            <w:pPr>
              <w:pStyle w:val="null3"/>
              <w:ind w:firstLine="420"/>
              <w:jc w:val="both"/>
            </w:pPr>
            <w:r>
              <w:rPr>
                <w:rFonts w:ascii="verdana" w:hAnsi="verdana" w:cs="verdana" w:eastAsia="verdana"/>
                <w:sz w:val="18"/>
              </w:rPr>
              <w:t>现行的国家标准或国家行政部门颁布的法律法规、规章制度等，没有国家标准的，参考行业标准。</w:t>
            </w:r>
          </w:p>
          <w:p>
            <w:pPr>
              <w:pStyle w:val="null3"/>
              <w:ind w:firstLine="420"/>
              <w:jc w:val="both"/>
            </w:pPr>
            <w:r>
              <w:rPr>
                <w:rFonts w:ascii="verdana" w:hAnsi="verdana" w:cs="verdana" w:eastAsia="verdana"/>
                <w:sz w:val="18"/>
              </w:rPr>
              <w:t>（三）违约责任</w:t>
            </w:r>
          </w:p>
          <w:p>
            <w:pPr>
              <w:pStyle w:val="null3"/>
              <w:ind w:firstLine="420"/>
              <w:jc w:val="both"/>
            </w:pPr>
            <w:r>
              <w:rPr>
                <w:rFonts w:ascii="verdana" w:hAnsi="verdana" w:cs="verdana" w:eastAsia="verdana"/>
                <w:sz w:val="18"/>
              </w:rPr>
              <w:t>1.按《中华人民共和国民法典》、《中华人民共和国政府采购法》中的相关条款执行。</w:t>
            </w:r>
          </w:p>
          <w:p>
            <w:pPr>
              <w:pStyle w:val="null3"/>
              <w:ind w:firstLine="420"/>
              <w:jc w:val="both"/>
            </w:pPr>
            <w:r>
              <w:rPr>
                <w:rFonts w:ascii="verdana" w:hAnsi="verdana" w:cs="verdana" w:eastAsia="verdana"/>
                <w:sz w:val="18"/>
              </w:rPr>
              <w:t>2.未按合同或采购文件要求执行，或质量不能满足甲方要求的，甲方有权终止合同，甚至对乙方违约行为进行追究。</w:t>
            </w:r>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15日历天内提交成果文件，实际以采购人委托单为准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项目完成，并经甲方验收合格后无任何问题，付款前供应商提供全额正规发票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①违约责任：（一）按《中华人民共和国民法典》、《中华人民共和国政府采购法》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sz w:val="28"/>
          <w:b/>
        </w:rPr>
        <w:t>3.4其他要求</w:t>
      </w:r>
    </w:p>
    <w:p>
      <w:pPr>
        <w:pStyle w:val="null3"/>
      </w:pPr>
      <w:r>
        <w:rPr/>
        <w:t>成交供应商在结果公告发布后需提供纸质版响应文件贰份、电子版U盘壹份。纸质版响应文件应与政府采购电子化交易平台中上传的内容保持一致。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供应商需在项目电子化交易系统中按要求填写《响应函》完成承诺并进行电子签章（须包含以下要求内容）： a.具有独立承担民事责任的能力； b.具有良好的商业信誉和健全的财务会计制度； c.具有履行合同所必需的设备和专业技术能力； d.有依法缴纳税收和社会保障资金的良好记录； e.参加政府采购活动前三年内，在经营活动中没有重大违法记录； f.法律、行政法规规定的其他条件。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 1）供应商是法人的，提供2022年经审计的财务会计报告（包括审计报告、资产负债表、利润表、现金流量表、所有者权益变动表及其附注）；或其谈判截止时间前3个月内其基本账户开户银行出具的资信证明（附件1基本存款账户信息）； 2）供应商成立不到1年的，可提供企业任意时段财务报表或基本账户开户银行出具的资信证明； 3）供应商是自然人的，提供谈判截止时间前3个月内其银行出具的资信证明； 4）供应商为公益类事业单位的无需提供。</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供应商须具备工程设计综合资质甲级，或市政行业工程设计乙级及以上资质，或市政行业（城镇燃气工程）专业丙级及以上资质；并具有特种设备压力管道GB1级设计许可证；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项目负责人资质</w:t>
            </w:r>
          </w:p>
        </w:tc>
        <w:tc>
          <w:tcPr>
            <w:tcW w:type="dxa" w:w="3322"/>
          </w:tcPr>
          <w:p>
            <w:pPr>
              <w:pStyle w:val="null3"/>
            </w:pPr>
            <w:r>
              <w:rPr/>
              <w:t>拟派项目负责人须具备（市政工程相关专业）高级工程师及以上职称，或注册公用设备工程师（动力或暖通空调）执业资格（在本单位注册）；</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网页查询截图</w:t>
            </w:r>
          </w:p>
        </w:tc>
        <w:tc>
          <w:tcPr>
            <w:tcW w:type="dxa" w:w="3322"/>
          </w:tcPr>
          <w:p>
            <w:pPr>
              <w:pStyle w:val="null3"/>
            </w:pPr>
            <w:r>
              <w:rPr/>
              <w:t>供应商基本信息及项目负责人的基本信息在“陕西省住房和城乡建设厅（http://js.shaanxi.gov.cn/）”或陕西政务服务网https://zwfw.shaanxi.gov.cn/sx/public/index可查询，提供官网截图并加盖供应商公章；</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法定代表人授权书</w:t>
            </w:r>
          </w:p>
        </w:tc>
        <w:tc>
          <w:tcPr>
            <w:tcW w:type="dxa" w:w="3322"/>
          </w:tcPr>
          <w:p>
            <w:pPr>
              <w:pStyle w:val="null3"/>
            </w:pPr>
            <w:r>
              <w:rPr/>
              <w:t>被授权人参加投标，须提供法定代表人授权书（附法定代表人、被授权人身份证复印件）；法定代表人直接参加投标，须提供法定代表人身份证明；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资格证明文件 磋商报价表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标的清单 报价表 磋商报价表</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资格证明文件 其它资料 磋商方案说明书</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标的清单 报价表 磋商报价表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应满足磋商文件中要求的服务地点</w:t>
            </w:r>
          </w:p>
        </w:tc>
        <w:tc>
          <w:tcPr>
            <w:tcW w:type="dxa" w:w="1661"/>
          </w:tcPr>
          <w:p>
            <w:pPr>
              <w:pStyle w:val="null3"/>
            </w:pPr>
            <w:r>
              <w:rPr/>
              <w:t>标的清单 报价表 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其它资料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项目理解及针对本项目的任务分析</w:t>
            </w:r>
          </w:p>
        </w:tc>
        <w:tc>
          <w:tcPr>
            <w:tcW w:type="dxa" w:w="2492"/>
          </w:tcPr>
          <w:p>
            <w:pPr>
              <w:pStyle w:val="null3"/>
            </w:pPr>
            <w:r>
              <w:rPr/>
              <w:t>项目理解到位、分析准确，掌握项目各项工作要求，任务分析全面完善，计10分； 项目理解基本准确，了解项目相关情况，基本掌握项目各项工作要求，任务分析基本全面，计7分； 项目理解有欠缺，相关情况了解有欠缺，掌握项目基础工作要求，任务分析片面，计4分； 项目理解不准确，任务分析有欠缺，计1分；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重难点分析</w:t>
            </w:r>
          </w:p>
        </w:tc>
        <w:tc>
          <w:tcPr>
            <w:tcW w:type="dxa" w:w="2492"/>
          </w:tcPr>
          <w:p>
            <w:pPr>
              <w:pStyle w:val="null3"/>
            </w:pPr>
            <w:r>
              <w:rPr/>
              <w:t>对项目重难点、关键性技术问题的认识及其对策措施： A.对项目重难点、关键性技术问题的把握准确、分析到位，所提供的对策措施完善，有较强的针对性，得9分； B.对项目重难点、关键性技术问题的把握基本准确、分析简单，所提供的对策措施合理，有一定的针对性，得6分； C.对项目重难点、关键性技术问题的把握有偏差、分析欠缺，所提供的对策措施简单普遍，对本项目没有针对性，得3分。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设计思路及方案</w:t>
            </w:r>
          </w:p>
        </w:tc>
        <w:tc>
          <w:tcPr>
            <w:tcW w:type="dxa" w:w="2492"/>
          </w:tcPr>
          <w:p>
            <w:pPr>
              <w:pStyle w:val="null3"/>
            </w:pPr>
            <w:r>
              <w:rPr/>
              <w:t>设计思路合理、严谨、清晰，设计方案完整，描述详尽，针对性、可行性强，得10分； 设计思路较合理、清晰，设计方案较完整，描述清晰，针对性、可行性一般，得7分； 设计思路基本明确、合理，设计方案普遍通用，描述简单，针对性、可行性一般，得4分； 设计思路需进一步梳理，设计方案不完整，描述模糊，针对性、可行性欠缺，得1分； 其他或未提供不得分。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人员配备方案</w:t>
            </w:r>
          </w:p>
        </w:tc>
        <w:tc>
          <w:tcPr>
            <w:tcW w:type="dxa" w:w="2492"/>
          </w:tcPr>
          <w:p>
            <w:pPr>
              <w:pStyle w:val="null3"/>
            </w:pPr>
            <w:r>
              <w:rPr/>
              <w:t>A.人员组织架构完整，岗位设置合理、明确，技术人员专业性、经验性强，且对本项目有针对性，得9分； B.人员组织架构有待优化，技术人员岗位设置基本合理，人员专业性、经验性一般，得6分； C.人员组织架构不完整，人员岗位设置紧张，技术人员专业性、经验性欠缺，得3分；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进度计划及保障措施</w:t>
            </w:r>
          </w:p>
        </w:tc>
        <w:tc>
          <w:tcPr>
            <w:tcW w:type="dxa" w:w="2492"/>
          </w:tcPr>
          <w:p>
            <w:pPr>
              <w:pStyle w:val="null3"/>
            </w:pPr>
            <w:r>
              <w:rPr/>
              <w:t>根据设计工作进度计划安排的合理性、与本项目实际情况的符合性，进度保证措施的可靠性、可实施性进行评分： A.进度安排合理可行，进度保证措施详细、工作节点清晰，得9分； B.进度安排基本合理，进度保证措施不明确，需进一步协调，得6分； C.进度安排不合理，进度保证措施简单，得3分； D.其他或未提供得0分。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质量保障措施</w:t>
            </w:r>
          </w:p>
        </w:tc>
        <w:tc>
          <w:tcPr>
            <w:tcW w:type="dxa" w:w="2492"/>
          </w:tcPr>
          <w:p>
            <w:pPr>
              <w:pStyle w:val="null3"/>
            </w:pPr>
            <w:r>
              <w:rPr/>
              <w:t>A.设计质量保障措施描述严谨、完整合理、切实可行，针对性、可行性强，得10分； B.设计质量保障措施描述清晰但不够完整，基本合理性，针对性、可行性一般，得7分； C.设计质量保障措施描述简单，合理性、严谨度一般，针对性、可行性一般，得4分； D.设计质量保障措施描述不够清晰，合理性一般，针对性、可行性欠缺，得1分；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设计阶段工程造价控制措施</w:t>
            </w:r>
          </w:p>
        </w:tc>
        <w:tc>
          <w:tcPr>
            <w:tcW w:type="dxa" w:w="2492"/>
          </w:tcPr>
          <w:p>
            <w:pPr>
              <w:pStyle w:val="null3"/>
            </w:pPr>
            <w:r>
              <w:rPr/>
              <w:t>A.控制措施内容完整，描述详尽，针对性、可行性强得10分； B.控制措施描述清晰但不够完整，基本合理，针对性、可行性一般得7分； C.控制措施描述简单，合理性、严谨度一般，针对性、可行性一般，得4分； D.控制措施描述不够清晰，合理性一般，针对性、可行性欠缺，得1分； E.其他或未提供得0分。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服务承诺</w:t>
            </w:r>
          </w:p>
        </w:tc>
        <w:tc>
          <w:tcPr>
            <w:tcW w:type="dxa" w:w="2492"/>
          </w:tcPr>
          <w:p>
            <w:pPr>
              <w:pStyle w:val="null3"/>
            </w:pPr>
            <w:r>
              <w:rPr/>
              <w:t>A.承诺内容全面，描述详尽，针对性、可行性强，得8分； B.承诺内容较全面，描述较详尽，针对性、可行性一般，得6分； C.承诺内容简单，描述粗略，针对性、可行性一般得4分； D.承诺内容简单笼统，针对性、可行性欠缺，得2分； E.其他或未提供得0分。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合理化建议</w:t>
            </w:r>
          </w:p>
        </w:tc>
        <w:tc>
          <w:tcPr>
            <w:tcW w:type="dxa" w:w="2492"/>
          </w:tcPr>
          <w:p>
            <w:pPr>
              <w:pStyle w:val="null3"/>
            </w:pPr>
            <w:r>
              <w:rPr/>
              <w:t>针对本项目服务内容及特点，提出合理化建议： A.内容详细，见解独到，具有较强针对性，得5分； B.内容较简单，提出的建议常规通用，缺乏针对性，得3分； C.内容笼统，没有对其观点展开论述，得1分； D.无或其它不得分。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供应商2021年11月1日（以合同签订时间为准）至本项目磋商响应文件递交截止时间止完成过的类似项目业绩，每提供一个得2分，最高得10分。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详见附件：磋商方案说明书</w:t>
      </w:r>
    </w:p>
    <w:p>
      <w:pPr>
        <w:pStyle w:val="null3"/>
        <w:ind w:firstLine="960"/>
      </w:pPr>
      <w:r>
        <w:rPr/>
        <w:t>详见附件：资格证明文件</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