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81F8AF">
      <w:pPr>
        <w:rPr>
          <w:rFonts w:hint="default" w:ascii="宋体" w:hAnsi="宋体" w:eastAsia="宋体" w:cs="宋体"/>
          <w:lang w:val="en-US" w:eastAsia="zh-CN"/>
        </w:rPr>
      </w:pPr>
      <w:r>
        <w:rPr>
          <w:rFonts w:hint="eastAsia" w:ascii="宋体" w:hAnsi="宋体" w:eastAsia="宋体" w:cs="宋体"/>
          <w:sz w:val="31"/>
        </w:rPr>
        <w:t>ＧＦ－20</w:t>
      </w:r>
      <w:r>
        <w:rPr>
          <w:rFonts w:hint="eastAsia" w:ascii="宋体" w:hAnsi="宋体" w:eastAsia="宋体" w:cs="宋体"/>
          <w:sz w:val="31"/>
          <w:lang w:val="en-US" w:eastAsia="zh-CN"/>
        </w:rPr>
        <w:t>24</w:t>
      </w:r>
      <w:r>
        <w:rPr>
          <w:rFonts w:hint="eastAsia" w:ascii="宋体" w:hAnsi="宋体" w:eastAsia="宋体" w:cs="宋体"/>
          <w:sz w:val="31"/>
        </w:rPr>
        <w:t>－</w:t>
      </w:r>
      <w:r>
        <w:rPr>
          <w:rFonts w:hint="eastAsia" w:ascii="宋体" w:hAnsi="宋体" w:eastAsia="宋体" w:cs="宋体"/>
          <w:sz w:val="31"/>
          <w:lang w:val="en-US" w:eastAsia="zh-CN"/>
        </w:rPr>
        <w:t>0000</w:t>
      </w:r>
    </w:p>
    <w:p w14:paraId="240EEFF9">
      <w:pPr>
        <w:jc w:val="center"/>
        <w:rPr>
          <w:rFonts w:hint="eastAsia" w:ascii="宋体" w:hAnsi="宋体" w:eastAsia="宋体" w:cs="宋体"/>
          <w:b/>
          <w:sz w:val="72"/>
          <w:szCs w:val="72"/>
        </w:rPr>
      </w:pPr>
    </w:p>
    <w:p w14:paraId="1D2468B8">
      <w:pPr>
        <w:jc w:val="center"/>
        <w:rPr>
          <w:rFonts w:hint="eastAsia" w:ascii="宋体" w:hAnsi="宋体" w:eastAsia="宋体" w:cs="宋体"/>
          <w:b/>
          <w:sz w:val="72"/>
          <w:szCs w:val="72"/>
        </w:rPr>
      </w:pPr>
    </w:p>
    <w:p w14:paraId="273471D2">
      <w:pPr>
        <w:ind w:left="0" w:leftChars="0" w:firstLine="0" w:firstLineChars="0"/>
        <w:jc w:val="center"/>
        <w:rPr>
          <w:rFonts w:hint="eastAsia" w:ascii="宋体" w:hAnsi="宋体" w:eastAsia="宋体" w:cs="宋体"/>
          <w:b/>
          <w:sz w:val="72"/>
          <w:szCs w:val="72"/>
        </w:rPr>
      </w:pPr>
      <w:r>
        <w:rPr>
          <w:rFonts w:hint="eastAsia" w:ascii="宋体" w:hAnsi="宋体" w:eastAsia="宋体" w:cs="宋体"/>
          <w:b/>
          <w:sz w:val="72"/>
          <w:szCs w:val="72"/>
        </w:rPr>
        <w:t>建设工程委托监理合同</w:t>
      </w:r>
    </w:p>
    <w:p w14:paraId="136F6C26">
      <w:pPr>
        <w:rPr>
          <w:rFonts w:hint="eastAsia" w:ascii="宋体" w:hAnsi="宋体" w:eastAsia="宋体" w:cs="宋体"/>
        </w:rPr>
      </w:pPr>
    </w:p>
    <w:p w14:paraId="31FAF9E9">
      <w:pPr>
        <w:rPr>
          <w:rFonts w:hint="eastAsia" w:ascii="宋体" w:hAnsi="宋体" w:eastAsia="宋体" w:cs="宋体"/>
        </w:rPr>
      </w:pPr>
    </w:p>
    <w:p w14:paraId="4A2E936B">
      <w:pPr>
        <w:rPr>
          <w:rFonts w:hint="eastAsia" w:ascii="宋体" w:hAnsi="宋体" w:eastAsia="宋体" w:cs="宋体"/>
        </w:rPr>
      </w:pPr>
    </w:p>
    <w:p w14:paraId="10C1274D">
      <w:pPr>
        <w:rPr>
          <w:rFonts w:hint="eastAsia" w:ascii="宋体" w:hAnsi="宋体" w:eastAsia="宋体" w:cs="宋体"/>
        </w:rPr>
      </w:pPr>
    </w:p>
    <w:p w14:paraId="4E4FCF8E">
      <w:pPr>
        <w:rPr>
          <w:rFonts w:hint="eastAsia" w:ascii="宋体" w:hAnsi="宋体" w:eastAsia="宋体" w:cs="宋体"/>
        </w:rPr>
      </w:pPr>
    </w:p>
    <w:p w14:paraId="3C145CBF">
      <w:pPr>
        <w:rPr>
          <w:rFonts w:hint="eastAsia" w:ascii="宋体" w:hAnsi="宋体" w:eastAsia="宋体" w:cs="宋体"/>
        </w:rPr>
      </w:pPr>
    </w:p>
    <w:p w14:paraId="3D132C73">
      <w:pPr>
        <w:pStyle w:val="3"/>
        <w:rPr>
          <w:rFonts w:hint="eastAsia" w:ascii="宋体" w:hAnsi="宋体" w:eastAsia="宋体" w:cs="宋体"/>
        </w:rPr>
      </w:pPr>
    </w:p>
    <w:p w14:paraId="34EE5AEA">
      <w:pPr>
        <w:rPr>
          <w:rFonts w:hint="eastAsia" w:ascii="宋体" w:hAnsi="宋体" w:eastAsia="宋体" w:cs="宋体"/>
        </w:rPr>
      </w:pPr>
    </w:p>
    <w:p w14:paraId="5177C307">
      <w:pPr>
        <w:pStyle w:val="3"/>
        <w:rPr>
          <w:rFonts w:hint="eastAsia" w:ascii="宋体" w:hAnsi="宋体" w:eastAsia="宋体" w:cs="宋体"/>
        </w:rPr>
      </w:pPr>
    </w:p>
    <w:p w14:paraId="2512398F">
      <w:pPr>
        <w:pStyle w:val="4"/>
        <w:rPr>
          <w:rFonts w:hint="eastAsia" w:ascii="宋体" w:hAnsi="宋体" w:eastAsia="宋体" w:cs="宋体"/>
        </w:rPr>
      </w:pPr>
    </w:p>
    <w:p w14:paraId="75789E70">
      <w:pPr>
        <w:pStyle w:val="4"/>
        <w:rPr>
          <w:rFonts w:hint="eastAsia" w:ascii="宋体" w:hAnsi="宋体" w:eastAsia="宋体" w:cs="宋体"/>
        </w:rPr>
      </w:pPr>
    </w:p>
    <w:p w14:paraId="553E53FC">
      <w:pPr>
        <w:pStyle w:val="4"/>
        <w:rPr>
          <w:rFonts w:hint="eastAsia" w:ascii="宋体" w:hAnsi="宋体" w:eastAsia="宋体" w:cs="宋体"/>
        </w:rPr>
      </w:pPr>
    </w:p>
    <w:p w14:paraId="61941E12">
      <w:pPr>
        <w:spacing w:line="360" w:lineRule="auto"/>
        <w:ind w:left="0" w:leftChars="0" w:firstLine="0" w:firstLineChars="0"/>
        <w:rPr>
          <w:rFonts w:hint="eastAsia" w:ascii="宋体" w:hAnsi="宋体" w:eastAsia="宋体" w:cs="宋体"/>
          <w:b/>
          <w:sz w:val="24"/>
        </w:rPr>
      </w:pPr>
    </w:p>
    <w:p w14:paraId="770085CA">
      <w:pPr>
        <w:spacing w:line="360" w:lineRule="auto"/>
        <w:ind w:left="1635" w:leftChars="268" w:hanging="992" w:hangingChars="353"/>
        <w:rPr>
          <w:rFonts w:hint="eastAsia" w:ascii="宋体" w:hAnsi="宋体" w:eastAsia="宋体" w:cs="宋体"/>
          <w:b/>
          <w:sz w:val="28"/>
          <w:szCs w:val="18"/>
          <w:u w:val="single"/>
          <w:lang w:eastAsia="zh-CN"/>
        </w:rPr>
      </w:pPr>
      <w:r>
        <w:rPr>
          <w:rFonts w:hint="eastAsia" w:ascii="宋体" w:hAnsi="宋体" w:eastAsia="宋体" w:cs="宋体"/>
          <w:b/>
          <w:sz w:val="28"/>
        </w:rPr>
        <w:t>工程名称：</w:t>
      </w:r>
      <w:r>
        <w:rPr>
          <w:rFonts w:hint="eastAsia" w:ascii="宋体" w:hAnsi="宋体" w:eastAsia="宋体" w:cs="宋体"/>
          <w:b/>
          <w:sz w:val="28"/>
          <w:szCs w:val="18"/>
          <w:u w:val="single"/>
          <w:lang w:eastAsia="zh-CN"/>
        </w:rPr>
        <w:t>2025年西安市碑林区城西北燃气管道等老化更新改造项目监理服务</w:t>
      </w:r>
    </w:p>
    <w:p w14:paraId="7E22FCB0">
      <w:pPr>
        <w:spacing w:line="360" w:lineRule="auto"/>
        <w:ind w:firstLine="562" w:firstLineChars="200"/>
        <w:rPr>
          <w:rFonts w:hint="eastAsia" w:ascii="宋体" w:hAnsi="宋体" w:eastAsia="宋体" w:cs="宋体"/>
          <w:b/>
          <w:sz w:val="28"/>
          <w:szCs w:val="18"/>
          <w:u w:val="single"/>
        </w:rPr>
      </w:pPr>
      <w:r>
        <w:rPr>
          <w:rFonts w:hint="eastAsia" w:ascii="宋体" w:hAnsi="宋体" w:eastAsia="宋体" w:cs="宋体"/>
          <w:b/>
          <w:sz w:val="28"/>
        </w:rPr>
        <w:t xml:space="preserve">委 托 人： </w:t>
      </w:r>
      <w:r>
        <w:rPr>
          <w:rFonts w:hint="eastAsia" w:ascii="宋体" w:hAnsi="宋体" w:eastAsia="宋体" w:cs="宋体"/>
          <w:b/>
          <w:sz w:val="28"/>
          <w:szCs w:val="18"/>
          <w:u w:val="single"/>
        </w:rPr>
        <w:t>西安市</w:t>
      </w:r>
      <w:r>
        <w:rPr>
          <w:rFonts w:hint="eastAsia" w:ascii="宋体" w:hAnsi="宋体" w:eastAsia="宋体" w:cs="宋体"/>
          <w:b/>
          <w:sz w:val="28"/>
          <w:szCs w:val="18"/>
          <w:u w:val="single"/>
          <w:lang w:val="en-US" w:eastAsia="zh-CN"/>
        </w:rPr>
        <w:t>碑林区城市管理和综合执法局</w:t>
      </w:r>
      <w:r>
        <w:rPr>
          <w:rFonts w:hint="eastAsia" w:ascii="宋体" w:hAnsi="宋体" w:eastAsia="宋体" w:cs="宋体"/>
          <w:b/>
          <w:sz w:val="28"/>
          <w:szCs w:val="18"/>
          <w:u w:val="single"/>
        </w:rPr>
        <w:t xml:space="preserve"> </w:t>
      </w:r>
      <w:r>
        <w:rPr>
          <w:rFonts w:hint="eastAsia" w:ascii="宋体" w:hAnsi="宋体" w:eastAsia="宋体" w:cs="宋体"/>
          <w:b/>
          <w:sz w:val="28"/>
          <w:szCs w:val="18"/>
          <w:u w:val="single"/>
          <w:lang w:val="en-US" w:eastAsia="zh-CN"/>
        </w:rPr>
        <w:t xml:space="preserve">    </w:t>
      </w:r>
      <w:r>
        <w:rPr>
          <w:rFonts w:hint="eastAsia" w:ascii="宋体" w:hAnsi="宋体" w:cs="宋体"/>
          <w:b/>
          <w:sz w:val="28"/>
          <w:szCs w:val="18"/>
          <w:u w:val="single"/>
          <w:lang w:val="en-US" w:eastAsia="zh-CN"/>
        </w:rPr>
        <w:t xml:space="preserve">     </w:t>
      </w:r>
      <w:r>
        <w:rPr>
          <w:rFonts w:hint="eastAsia" w:ascii="宋体" w:hAnsi="宋体" w:eastAsia="宋体" w:cs="宋体"/>
          <w:b/>
          <w:sz w:val="28"/>
          <w:szCs w:val="18"/>
          <w:u w:val="single"/>
          <w:lang w:val="en-US" w:eastAsia="zh-CN"/>
        </w:rPr>
        <w:t xml:space="preserve"> </w:t>
      </w:r>
      <w:r>
        <w:rPr>
          <w:rFonts w:hint="eastAsia" w:ascii="宋体" w:hAnsi="宋体" w:eastAsia="宋体" w:cs="宋体"/>
          <w:b/>
          <w:sz w:val="28"/>
          <w:szCs w:val="18"/>
          <w:u w:val="single"/>
        </w:rPr>
        <w:t xml:space="preserve"> </w:t>
      </w:r>
    </w:p>
    <w:p w14:paraId="641C0593">
      <w:pPr>
        <w:spacing w:line="360" w:lineRule="auto"/>
        <w:ind w:firstLine="562" w:firstLineChars="200"/>
        <w:rPr>
          <w:rFonts w:hint="eastAsia" w:ascii="宋体" w:hAnsi="宋体" w:eastAsia="宋体" w:cs="宋体"/>
          <w:b/>
          <w:sz w:val="28"/>
          <w:szCs w:val="18"/>
          <w:u w:val="single"/>
        </w:rPr>
      </w:pPr>
      <w:r>
        <w:rPr>
          <w:rFonts w:hint="eastAsia" w:ascii="宋体" w:hAnsi="宋体" w:eastAsia="宋体" w:cs="宋体"/>
          <w:b/>
          <w:sz w:val="28"/>
        </w:rPr>
        <w:t xml:space="preserve">监 理 人： </w:t>
      </w:r>
      <w:r>
        <w:rPr>
          <w:rFonts w:hint="eastAsia" w:ascii="宋体" w:hAnsi="宋体" w:eastAsia="宋体" w:cs="宋体"/>
          <w:b/>
          <w:sz w:val="28"/>
          <w:szCs w:val="18"/>
          <w:u w:val="single"/>
        </w:rPr>
        <w:t xml:space="preserve">*****         </w:t>
      </w:r>
      <w:r>
        <w:rPr>
          <w:rFonts w:hint="eastAsia" w:ascii="宋体" w:hAnsi="宋体" w:eastAsia="宋体" w:cs="宋体"/>
          <w:b/>
          <w:sz w:val="28"/>
          <w:szCs w:val="18"/>
          <w:u w:val="single"/>
          <w:lang w:val="en-US" w:eastAsia="zh-CN"/>
        </w:rPr>
        <w:t xml:space="preserve">         </w:t>
      </w:r>
      <w:r>
        <w:rPr>
          <w:rFonts w:hint="eastAsia" w:ascii="宋体" w:hAnsi="宋体" w:eastAsia="宋体" w:cs="宋体"/>
          <w:b/>
          <w:sz w:val="28"/>
          <w:szCs w:val="18"/>
          <w:u w:val="single"/>
        </w:rPr>
        <w:t xml:space="preserve">  </w:t>
      </w:r>
      <w:r>
        <w:rPr>
          <w:rFonts w:hint="eastAsia" w:ascii="宋体" w:hAnsi="宋体" w:cs="宋体"/>
          <w:b/>
          <w:sz w:val="28"/>
          <w:szCs w:val="18"/>
          <w:u w:val="single"/>
          <w:lang w:val="en-US" w:eastAsia="zh-CN"/>
        </w:rPr>
        <w:t xml:space="preserve">       </w:t>
      </w:r>
      <w:r>
        <w:rPr>
          <w:rFonts w:hint="eastAsia" w:ascii="宋体" w:hAnsi="宋体" w:eastAsia="宋体" w:cs="宋体"/>
          <w:b/>
          <w:sz w:val="28"/>
          <w:szCs w:val="18"/>
          <w:u w:val="single"/>
        </w:rPr>
        <w:t xml:space="preserve">            </w:t>
      </w:r>
    </w:p>
    <w:p w14:paraId="5BBFAD85">
      <w:pPr>
        <w:spacing w:line="360" w:lineRule="auto"/>
        <w:ind w:firstLine="562" w:firstLineChars="200"/>
        <w:jc w:val="center"/>
        <w:rPr>
          <w:rFonts w:hint="eastAsia" w:ascii="宋体" w:hAnsi="宋体" w:eastAsia="宋体" w:cs="宋体"/>
          <w:b/>
          <w:sz w:val="28"/>
          <w:szCs w:val="18"/>
          <w:u w:val="none"/>
          <w:lang w:val="en-US" w:eastAsia="zh-CN"/>
        </w:rPr>
      </w:pPr>
      <w:r>
        <w:rPr>
          <w:rFonts w:hint="eastAsia" w:ascii="宋体" w:hAnsi="宋体" w:eastAsia="宋体" w:cs="宋体"/>
          <w:b/>
          <w:sz w:val="28"/>
          <w:szCs w:val="18"/>
          <w:u w:val="none"/>
          <w:lang w:val="en-US" w:eastAsia="zh-CN"/>
        </w:rPr>
        <w:t>二〇二四年十一月</w:t>
      </w:r>
    </w:p>
    <w:p w14:paraId="09603DD7">
      <w:pPr>
        <w:pStyle w:val="3"/>
        <w:rPr>
          <w:rFonts w:hint="eastAsia"/>
        </w:rPr>
      </w:pPr>
    </w:p>
    <w:p w14:paraId="672FD885">
      <w:pPr>
        <w:tabs>
          <w:tab w:val="left" w:pos="3120"/>
        </w:tabs>
        <w:spacing w:line="360" w:lineRule="auto"/>
        <w:ind w:firstLine="482" w:firstLineChars="200"/>
        <w:jc w:val="center"/>
        <w:rPr>
          <w:rFonts w:hint="eastAsia" w:ascii="楷体" w:hAnsi="楷体" w:eastAsia="楷体" w:cs="楷体"/>
          <w:b/>
          <w:bCs/>
          <w:color w:val="000000"/>
          <w:sz w:val="24"/>
          <w:szCs w:val="24"/>
        </w:rPr>
      </w:pPr>
      <w:r>
        <w:rPr>
          <w:rFonts w:hint="eastAsia" w:ascii="楷体" w:hAnsi="楷体" w:eastAsia="楷体" w:cs="楷体"/>
          <w:b/>
          <w:bCs/>
          <w:color w:val="000000"/>
          <w:sz w:val="24"/>
          <w:szCs w:val="24"/>
        </w:rPr>
        <w:t>第一部分  协议书</w:t>
      </w:r>
    </w:p>
    <w:p w14:paraId="336F4FB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委托人（全称）：</w:t>
      </w:r>
      <w:r>
        <w:rPr>
          <w:rFonts w:hint="eastAsia" w:ascii="楷体" w:hAnsi="楷体" w:eastAsia="楷体" w:cs="楷体"/>
          <w:color w:val="000000"/>
          <w:sz w:val="24"/>
          <w:szCs w:val="24"/>
          <w:u w:val="single"/>
        </w:rPr>
        <w:t>西安市</w:t>
      </w:r>
      <w:r>
        <w:rPr>
          <w:rFonts w:hint="eastAsia" w:ascii="楷体" w:hAnsi="楷体" w:eastAsia="楷体" w:cs="楷体"/>
          <w:color w:val="000000"/>
          <w:sz w:val="24"/>
          <w:szCs w:val="24"/>
          <w:u w:val="single"/>
          <w:lang w:val="en-US" w:eastAsia="zh-CN"/>
        </w:rPr>
        <w:t>碑林区城市管理和综合执法局</w:t>
      </w:r>
    </w:p>
    <w:p w14:paraId="20700FF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监理人（全称）：</w:t>
      </w:r>
      <w:r>
        <w:rPr>
          <w:rFonts w:hint="eastAsia" w:ascii="楷体" w:hAnsi="楷体" w:eastAsia="楷体" w:cs="楷体"/>
          <w:color w:val="000000"/>
          <w:sz w:val="24"/>
          <w:szCs w:val="24"/>
          <w:u w:val="single"/>
          <w:lang w:val="en-US" w:eastAsia="zh-CN"/>
        </w:rPr>
        <w:t xml:space="preserve">                            </w:t>
      </w:r>
      <w:r>
        <w:rPr>
          <w:rFonts w:hint="eastAsia" w:ascii="楷体" w:hAnsi="楷体" w:eastAsia="楷体" w:cs="楷体"/>
          <w:color w:val="000000"/>
          <w:sz w:val="24"/>
          <w:szCs w:val="24"/>
        </w:rPr>
        <w:t xml:space="preserve">       </w:t>
      </w:r>
    </w:p>
    <w:p w14:paraId="25E4935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根据《</w:t>
      </w:r>
      <w:r>
        <w:rPr>
          <w:rFonts w:hint="eastAsia" w:ascii="楷体" w:hAnsi="楷体" w:eastAsia="楷体" w:cs="楷体"/>
          <w:color w:val="000000"/>
          <w:sz w:val="24"/>
          <w:szCs w:val="24"/>
          <w:lang w:eastAsia="zh-CN"/>
        </w:rPr>
        <w:t>中华人民共和国民法典</w:t>
      </w:r>
      <w:r>
        <w:rPr>
          <w:rFonts w:hint="eastAsia" w:ascii="楷体" w:hAnsi="楷体" w:eastAsia="楷体" w:cs="楷体"/>
          <w:color w:val="000000"/>
          <w:sz w:val="24"/>
          <w:szCs w:val="24"/>
        </w:rPr>
        <w:t>》、《中华人民共和国建筑法》及其他有关法律、法规之规定，遵循平等、自愿、公平和诚实信用的原则，</w:t>
      </w:r>
      <w:r>
        <w:rPr>
          <w:rFonts w:hint="eastAsia" w:ascii="楷体" w:hAnsi="楷体" w:eastAsia="楷体" w:cs="楷体"/>
          <w:color w:val="000000"/>
          <w:sz w:val="24"/>
          <w:szCs w:val="24"/>
          <w:u w:val="none"/>
        </w:rPr>
        <w:t>西安市</w:t>
      </w:r>
      <w:r>
        <w:rPr>
          <w:rFonts w:hint="eastAsia" w:ascii="楷体" w:hAnsi="楷体" w:eastAsia="楷体" w:cs="楷体"/>
          <w:color w:val="000000"/>
          <w:sz w:val="24"/>
          <w:szCs w:val="24"/>
          <w:u w:val="none"/>
          <w:lang w:val="en-US" w:eastAsia="zh-CN"/>
        </w:rPr>
        <w:t>碑林区城市管理和综合执法局</w:t>
      </w:r>
      <w:r>
        <w:rPr>
          <w:rFonts w:hint="eastAsia" w:ascii="楷体" w:hAnsi="楷体" w:eastAsia="楷体" w:cs="楷体"/>
          <w:color w:val="000000"/>
          <w:sz w:val="24"/>
          <w:szCs w:val="24"/>
        </w:rPr>
        <w:t>接受*****为监理单位。双方就“2025年西安市碑林区城西北燃气管道等老化更新改造项目监理服务</w:t>
      </w:r>
      <w:bookmarkStart w:id="0" w:name="_GoBack"/>
      <w:bookmarkEnd w:id="0"/>
      <w:r>
        <w:rPr>
          <w:rFonts w:hint="eastAsia" w:ascii="楷体" w:hAnsi="楷体" w:eastAsia="楷体" w:cs="楷体"/>
          <w:color w:val="000000"/>
          <w:sz w:val="24"/>
          <w:szCs w:val="24"/>
        </w:rPr>
        <w:t>”监理事宜，经协商一致，签订本合同，以兹双方共同遵守。</w:t>
      </w:r>
    </w:p>
    <w:p w14:paraId="0D3845F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一、工程概况</w:t>
      </w:r>
    </w:p>
    <w:p w14:paraId="0FEE254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 工程名称：</w:t>
      </w:r>
      <w:r>
        <w:rPr>
          <w:rFonts w:hint="eastAsia" w:ascii="楷体" w:hAnsi="楷体" w:cs="楷体"/>
          <w:color w:val="000000"/>
          <w:sz w:val="24"/>
          <w:szCs w:val="24"/>
          <w:lang w:eastAsia="zh-CN"/>
        </w:rPr>
        <w:t>2025年西安市碑林区城西北燃气管道等老化更新改造项目监理服务</w:t>
      </w:r>
      <w:r>
        <w:rPr>
          <w:rFonts w:hint="eastAsia" w:ascii="楷体" w:hAnsi="楷体" w:eastAsia="楷体" w:cs="楷体"/>
          <w:color w:val="000000"/>
          <w:kern w:val="2"/>
          <w:sz w:val="24"/>
          <w:szCs w:val="24"/>
          <w:lang w:val="en-US" w:eastAsia="zh-CN" w:bidi="ar-SA"/>
        </w:rPr>
        <w:t>；</w:t>
      </w:r>
    </w:p>
    <w:p w14:paraId="6ECF893E">
      <w:pPr>
        <w:pStyle w:val="8"/>
        <w:numPr>
          <w:ilvl w:val="0"/>
          <w:numId w:val="0"/>
        </w:numPr>
        <w:spacing w:line="360" w:lineRule="auto"/>
        <w:ind w:left="6" w:leftChars="0" w:firstLine="559" w:firstLineChars="233"/>
        <w:rPr>
          <w:rFonts w:hint="eastAsia" w:ascii="楷体" w:hAnsi="楷体" w:eastAsia="楷体" w:cs="楷体"/>
          <w:color w:val="000000"/>
          <w:sz w:val="24"/>
          <w:szCs w:val="24"/>
        </w:rPr>
      </w:pPr>
      <w:r>
        <w:rPr>
          <w:rFonts w:hint="eastAsia" w:ascii="楷体" w:hAnsi="楷体" w:eastAsia="楷体" w:cs="楷体"/>
          <w:color w:val="000000"/>
          <w:sz w:val="24"/>
          <w:szCs w:val="24"/>
        </w:rPr>
        <w:t>2. 工程地点及规模：本次采购为2025年西安市碑林区城西北燃气管道等老化更新改造项目的工程监理服务，项目地点位于碑林区辖区范围内，工程改造范围为部分老旧小区改造，包括燃气工程改造小区42个，供水工程改造小区7个</w:t>
      </w:r>
      <w:r>
        <w:rPr>
          <w:rFonts w:hint="eastAsia" w:ascii="楷体" w:hAnsi="楷体" w:eastAsia="楷体" w:cs="楷体"/>
          <w:sz w:val="24"/>
          <w:szCs w:val="24"/>
          <w:highlight w:val="none"/>
          <w:lang w:val="en-US" w:eastAsia="zh-CN"/>
        </w:rPr>
        <w:t>；</w:t>
      </w:r>
    </w:p>
    <w:p w14:paraId="2DA2E7D3">
      <w:pPr>
        <w:spacing w:line="360" w:lineRule="auto"/>
        <w:ind w:firstLine="480" w:firstLineChars="200"/>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3.工程内容：本次招标为施工和保修阶段内全部监理工作。监理内容：包含但不限于本项目施工的全过程监理服务（含保修期）。</w:t>
      </w:r>
    </w:p>
    <w:p w14:paraId="77F635AA">
      <w:pPr>
        <w:spacing w:line="360" w:lineRule="auto"/>
        <w:ind w:firstLine="480" w:firstLineChars="200"/>
        <w:rPr>
          <w:rFonts w:hint="eastAsia" w:ascii="楷体" w:hAnsi="楷体" w:eastAsia="楷体" w:cs="楷体"/>
          <w:color w:val="000000"/>
          <w:kern w:val="2"/>
          <w:sz w:val="24"/>
          <w:szCs w:val="24"/>
          <w:lang w:val="en-US" w:eastAsia="zh-CN" w:bidi="ar-SA"/>
        </w:rPr>
      </w:pPr>
      <w:r>
        <w:rPr>
          <w:rFonts w:hint="eastAsia" w:ascii="楷体" w:hAnsi="楷体" w:eastAsia="楷体" w:cs="楷体"/>
          <w:color w:val="000000"/>
          <w:kern w:val="2"/>
          <w:sz w:val="24"/>
          <w:szCs w:val="24"/>
          <w:lang w:val="en-US" w:eastAsia="zh-CN" w:bidi="ar-SA"/>
        </w:rPr>
        <w:t>4.2025年西安市碑林区城西北燃气管道等老化更新改造项目监理服务费用：约</w:t>
      </w:r>
      <w:r>
        <w:rPr>
          <w:rFonts w:hint="eastAsia" w:ascii="楷体" w:hAnsi="楷体" w:cs="楷体"/>
          <w:color w:val="000000"/>
          <w:kern w:val="2"/>
          <w:sz w:val="24"/>
          <w:szCs w:val="24"/>
          <w:lang w:val="en-US" w:eastAsia="zh-CN" w:bidi="ar-SA"/>
        </w:rPr>
        <w:t xml:space="preserve">   </w:t>
      </w:r>
      <w:r>
        <w:rPr>
          <w:rFonts w:hint="eastAsia" w:ascii="楷体" w:hAnsi="楷体" w:eastAsia="楷体" w:cs="楷体"/>
          <w:color w:val="000000"/>
          <w:kern w:val="2"/>
          <w:sz w:val="24"/>
          <w:szCs w:val="24"/>
          <w:lang w:val="en-US" w:eastAsia="zh-CN" w:bidi="ar-SA"/>
        </w:rPr>
        <w:t xml:space="preserve"> 万元；</w:t>
      </w:r>
    </w:p>
    <w:p w14:paraId="61E20950">
      <w:pPr>
        <w:spacing w:line="360" w:lineRule="auto"/>
        <w:ind w:firstLine="477" w:firstLineChars="198"/>
        <w:rPr>
          <w:rFonts w:hint="eastAsia" w:ascii="楷体" w:hAnsi="楷体" w:eastAsia="楷体" w:cs="楷体"/>
          <w:b/>
          <w:sz w:val="24"/>
          <w:szCs w:val="24"/>
          <w:highlight w:val="none"/>
        </w:rPr>
      </w:pPr>
      <w:r>
        <w:rPr>
          <w:rFonts w:hint="eastAsia" w:ascii="楷体" w:hAnsi="楷体" w:eastAsia="楷体" w:cs="楷体"/>
          <w:b/>
          <w:sz w:val="24"/>
          <w:szCs w:val="24"/>
          <w:highlight w:val="none"/>
        </w:rPr>
        <w:t>二、词语限定</w:t>
      </w:r>
    </w:p>
    <w:p w14:paraId="621C93A9">
      <w:pPr>
        <w:adjustRightInd w:val="0"/>
        <w:snapToGrid w:val="0"/>
        <w:spacing w:line="360" w:lineRule="auto"/>
        <w:ind w:firstLine="475" w:firstLineChars="198"/>
        <w:rPr>
          <w:rFonts w:hint="eastAsia" w:ascii="楷体" w:hAnsi="楷体" w:eastAsia="楷体" w:cs="楷体"/>
          <w:sz w:val="24"/>
          <w:szCs w:val="24"/>
          <w:highlight w:val="none"/>
        </w:rPr>
      </w:pPr>
      <w:r>
        <w:rPr>
          <w:rFonts w:hint="eastAsia" w:ascii="楷体" w:hAnsi="楷体" w:eastAsia="楷体" w:cs="楷体"/>
          <w:sz w:val="24"/>
          <w:szCs w:val="24"/>
          <w:highlight w:val="none"/>
        </w:rPr>
        <w:t>协议书中相关词语的含义与通用条件中的定义与解释相同。</w:t>
      </w:r>
    </w:p>
    <w:p w14:paraId="3F73D909">
      <w:pPr>
        <w:spacing w:line="360" w:lineRule="auto"/>
        <w:ind w:firstLine="477" w:firstLineChars="198"/>
        <w:rPr>
          <w:rFonts w:hint="eastAsia" w:ascii="楷体" w:hAnsi="楷体" w:eastAsia="楷体" w:cs="楷体"/>
          <w:b/>
          <w:sz w:val="24"/>
          <w:szCs w:val="24"/>
          <w:highlight w:val="none"/>
        </w:rPr>
      </w:pPr>
      <w:r>
        <w:rPr>
          <w:rFonts w:hint="eastAsia" w:ascii="楷体" w:hAnsi="楷体" w:eastAsia="楷体" w:cs="楷体"/>
          <w:b/>
          <w:sz w:val="24"/>
          <w:szCs w:val="24"/>
          <w:highlight w:val="none"/>
        </w:rPr>
        <w:t>三、组成本合同的文件</w:t>
      </w:r>
    </w:p>
    <w:p w14:paraId="40B6FECB">
      <w:pPr>
        <w:adjustRightInd w:val="0"/>
        <w:snapToGrid w:val="0"/>
        <w:spacing w:line="360" w:lineRule="auto"/>
        <w:ind w:firstLine="475" w:firstLineChars="198"/>
        <w:rPr>
          <w:rFonts w:hint="eastAsia" w:ascii="楷体" w:hAnsi="楷体" w:eastAsia="楷体" w:cs="楷体"/>
          <w:sz w:val="24"/>
          <w:szCs w:val="24"/>
          <w:highlight w:val="none"/>
        </w:rPr>
      </w:pPr>
      <w:r>
        <w:rPr>
          <w:rFonts w:hint="eastAsia" w:ascii="楷体" w:hAnsi="楷体" w:eastAsia="楷体" w:cs="楷体"/>
          <w:sz w:val="24"/>
          <w:szCs w:val="24"/>
          <w:highlight w:val="none"/>
        </w:rPr>
        <w:t>1. 协议书；</w:t>
      </w:r>
    </w:p>
    <w:p w14:paraId="6943D5F9">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2. 中标通知书（适用于招标工程）或委托书（适用于非招标工程）；</w:t>
      </w:r>
    </w:p>
    <w:p w14:paraId="7BC7BC85">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3. 投标文件（适用于招标工程）或监理与相关服务建议书（适用于非招标工程）；</w:t>
      </w:r>
    </w:p>
    <w:p w14:paraId="4DA90187">
      <w:pPr>
        <w:adjustRightInd w:val="0"/>
        <w:snapToGrid w:val="0"/>
        <w:spacing w:line="360" w:lineRule="auto"/>
        <w:ind w:left="0" w:leftChars="0" w:firstLine="480" w:firstLineChars="200"/>
        <w:rPr>
          <w:rFonts w:hint="eastAsia" w:ascii="楷体" w:hAnsi="楷体" w:eastAsia="楷体" w:cs="楷体"/>
          <w:sz w:val="24"/>
          <w:szCs w:val="24"/>
        </w:rPr>
      </w:pPr>
      <w:r>
        <w:rPr>
          <w:rFonts w:hint="eastAsia" w:ascii="楷体" w:hAnsi="楷体" w:eastAsia="楷体" w:cs="楷体"/>
          <w:sz w:val="24"/>
          <w:szCs w:val="24"/>
        </w:rPr>
        <w:t>4. 专用条件；</w:t>
      </w:r>
    </w:p>
    <w:p w14:paraId="4F19B706">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5. 通用条件；</w:t>
      </w:r>
    </w:p>
    <w:p w14:paraId="273CE701">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6. 附录，即：</w:t>
      </w:r>
    </w:p>
    <w:p w14:paraId="2C5214A4">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附录  委托人派遣的人员和提供的</w:t>
      </w:r>
      <w:r>
        <w:rPr>
          <w:rFonts w:hint="eastAsia" w:ascii="楷体" w:hAnsi="楷体" w:eastAsia="楷体" w:cs="楷体"/>
          <w:bCs/>
          <w:sz w:val="24"/>
          <w:szCs w:val="24"/>
        </w:rPr>
        <w:t>房屋、资料</w:t>
      </w:r>
      <w:r>
        <w:rPr>
          <w:rFonts w:hint="eastAsia" w:ascii="楷体" w:hAnsi="楷体" w:eastAsia="楷体" w:cs="楷体"/>
          <w:sz w:val="24"/>
          <w:szCs w:val="24"/>
        </w:rPr>
        <w:t>、设备。</w:t>
      </w:r>
    </w:p>
    <w:p w14:paraId="12ACB2B2">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本合同签订后，双方依法签订的补充协议也是本合同文件的组成部分。</w:t>
      </w:r>
    </w:p>
    <w:p w14:paraId="05141227">
      <w:pPr>
        <w:spacing w:line="360" w:lineRule="auto"/>
        <w:ind w:firstLine="477" w:firstLineChars="198"/>
        <w:rPr>
          <w:rFonts w:hint="eastAsia" w:ascii="楷体" w:hAnsi="楷体" w:eastAsia="楷体" w:cs="楷体"/>
          <w:b/>
          <w:sz w:val="24"/>
          <w:szCs w:val="24"/>
        </w:rPr>
      </w:pPr>
      <w:r>
        <w:rPr>
          <w:rFonts w:hint="eastAsia" w:ascii="楷体" w:hAnsi="楷体" w:eastAsia="楷体" w:cs="楷体"/>
          <w:b/>
          <w:sz w:val="24"/>
          <w:szCs w:val="24"/>
        </w:rPr>
        <w:t>四、总监理工程师</w:t>
      </w:r>
    </w:p>
    <w:p w14:paraId="05357E88">
      <w:pPr>
        <w:adjustRightInd w:val="0"/>
        <w:snapToGrid w:val="0"/>
        <w:spacing w:line="360" w:lineRule="auto"/>
        <w:ind w:firstLine="475" w:firstLineChars="198"/>
        <w:rPr>
          <w:rFonts w:hint="eastAsia" w:ascii="楷体" w:hAnsi="楷体" w:eastAsia="楷体" w:cs="楷体"/>
          <w:kern w:val="0"/>
          <w:sz w:val="24"/>
          <w:szCs w:val="24"/>
        </w:rPr>
      </w:pPr>
      <w:r>
        <w:rPr>
          <w:rFonts w:hint="eastAsia" w:ascii="楷体" w:hAnsi="楷体" w:eastAsia="楷体" w:cs="楷体"/>
          <w:sz w:val="24"/>
          <w:szCs w:val="24"/>
        </w:rPr>
        <w:t>总监理工程师姓名</w:t>
      </w:r>
      <w:r>
        <w:rPr>
          <w:rFonts w:hint="eastAsia" w:ascii="楷体" w:hAnsi="楷体" w:eastAsia="楷体" w:cs="楷体"/>
          <w:kern w:val="0"/>
          <w:sz w:val="24"/>
          <w:szCs w:val="24"/>
        </w:rPr>
        <w:t>：</w:t>
      </w:r>
      <w:r>
        <w:rPr>
          <w:rFonts w:hint="eastAsia" w:ascii="楷体" w:hAnsi="楷体" w:eastAsia="楷体" w:cs="楷体"/>
          <w:kern w:val="0"/>
          <w:sz w:val="24"/>
          <w:szCs w:val="24"/>
          <w:u w:val="single"/>
        </w:rPr>
        <w:t xml:space="preserve">           </w:t>
      </w:r>
      <w:r>
        <w:rPr>
          <w:rFonts w:hint="eastAsia" w:ascii="楷体" w:hAnsi="楷体" w:eastAsia="楷体" w:cs="楷体"/>
          <w:kern w:val="0"/>
          <w:sz w:val="24"/>
          <w:szCs w:val="24"/>
        </w:rPr>
        <w:t>，身份证号码：</w:t>
      </w:r>
      <w:r>
        <w:rPr>
          <w:rFonts w:hint="eastAsia" w:ascii="楷体" w:hAnsi="楷体" w:eastAsia="楷体" w:cs="楷体"/>
          <w:kern w:val="0"/>
          <w:sz w:val="24"/>
          <w:szCs w:val="24"/>
          <w:u w:val="single"/>
        </w:rPr>
        <w:t xml:space="preserve">            </w:t>
      </w:r>
      <w:r>
        <w:rPr>
          <w:rFonts w:hint="eastAsia" w:ascii="楷体" w:hAnsi="楷体" w:eastAsia="楷体" w:cs="楷体"/>
          <w:kern w:val="0"/>
          <w:sz w:val="24"/>
          <w:szCs w:val="24"/>
        </w:rPr>
        <w:t>，注册号：</w:t>
      </w:r>
      <w:r>
        <w:rPr>
          <w:rFonts w:hint="eastAsia" w:ascii="楷体" w:hAnsi="楷体" w:eastAsia="楷体" w:cs="楷体"/>
          <w:kern w:val="0"/>
          <w:sz w:val="24"/>
          <w:szCs w:val="24"/>
          <w:u w:val="single"/>
        </w:rPr>
        <w:t xml:space="preserve">                 </w:t>
      </w:r>
      <w:r>
        <w:rPr>
          <w:rFonts w:hint="eastAsia" w:ascii="楷体" w:hAnsi="楷体" w:eastAsia="楷体" w:cs="楷体"/>
          <w:kern w:val="0"/>
          <w:sz w:val="24"/>
          <w:szCs w:val="24"/>
        </w:rPr>
        <w:t>。</w:t>
      </w:r>
    </w:p>
    <w:p w14:paraId="07F93710">
      <w:pPr>
        <w:spacing w:line="360" w:lineRule="auto"/>
        <w:ind w:firstLine="477" w:firstLineChars="198"/>
        <w:rPr>
          <w:rFonts w:hint="eastAsia" w:ascii="楷体" w:hAnsi="楷体" w:eastAsia="楷体" w:cs="楷体"/>
          <w:b/>
          <w:sz w:val="24"/>
          <w:szCs w:val="24"/>
        </w:rPr>
      </w:pPr>
      <w:r>
        <w:rPr>
          <w:rFonts w:hint="eastAsia" w:ascii="楷体" w:hAnsi="楷体" w:eastAsia="楷体" w:cs="楷体"/>
          <w:b/>
          <w:sz w:val="24"/>
          <w:szCs w:val="24"/>
        </w:rPr>
        <w:t>五、签约酬金</w:t>
      </w:r>
    </w:p>
    <w:p w14:paraId="1EB92078">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签约酬金（大写）：</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14:paraId="54D0E920">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包括：</w:t>
      </w:r>
    </w:p>
    <w:p w14:paraId="617345BA">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1. 监理酬金：</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14:paraId="1B755A5E">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2. 相关服务酬金：</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14:paraId="072BDD2F">
      <w:pPr>
        <w:spacing w:line="360" w:lineRule="auto"/>
        <w:ind w:firstLine="477" w:firstLineChars="198"/>
        <w:rPr>
          <w:rFonts w:hint="eastAsia" w:ascii="楷体" w:hAnsi="楷体" w:eastAsia="楷体" w:cs="楷体"/>
          <w:b/>
          <w:sz w:val="24"/>
          <w:szCs w:val="24"/>
        </w:rPr>
      </w:pPr>
      <w:r>
        <w:rPr>
          <w:rFonts w:hint="eastAsia" w:ascii="楷体" w:hAnsi="楷体" w:eastAsia="楷体" w:cs="楷体"/>
          <w:b/>
          <w:sz w:val="24"/>
          <w:szCs w:val="24"/>
        </w:rPr>
        <w:t>六、期限</w:t>
      </w:r>
    </w:p>
    <w:p w14:paraId="3438BBC1">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监理期限：</w:t>
      </w:r>
      <w:r>
        <w:rPr>
          <w:rFonts w:hint="eastAsia" w:ascii="楷体" w:hAnsi="楷体" w:eastAsia="楷体" w:cs="楷体"/>
          <w:sz w:val="24"/>
          <w:szCs w:val="24"/>
          <w:u w:val="single"/>
        </w:rPr>
        <w:t xml:space="preserve">        </w:t>
      </w:r>
      <w:r>
        <w:rPr>
          <w:rFonts w:hint="eastAsia" w:ascii="楷体" w:hAnsi="楷体" w:eastAsia="楷体" w:cs="楷体"/>
          <w:sz w:val="24"/>
          <w:szCs w:val="24"/>
        </w:rPr>
        <w:t>日历天</w:t>
      </w:r>
    </w:p>
    <w:p w14:paraId="057554B9">
      <w:pPr>
        <w:spacing w:line="360" w:lineRule="auto"/>
        <w:ind w:firstLine="477" w:firstLineChars="198"/>
        <w:rPr>
          <w:rFonts w:hint="eastAsia" w:ascii="楷体" w:hAnsi="楷体" w:eastAsia="楷体" w:cs="楷体"/>
          <w:b/>
          <w:sz w:val="24"/>
          <w:szCs w:val="24"/>
        </w:rPr>
      </w:pPr>
      <w:r>
        <w:rPr>
          <w:rFonts w:hint="eastAsia" w:ascii="楷体" w:hAnsi="楷体" w:eastAsia="楷体" w:cs="楷体"/>
          <w:b/>
          <w:sz w:val="24"/>
          <w:szCs w:val="24"/>
        </w:rPr>
        <w:t>七、双方承诺</w:t>
      </w:r>
    </w:p>
    <w:p w14:paraId="03678F28">
      <w:pPr>
        <w:adjustRightInd w:val="0"/>
        <w:snapToGrid w:val="0"/>
        <w:spacing w:line="360" w:lineRule="auto"/>
        <w:ind w:firstLine="475" w:firstLineChars="198"/>
        <w:rPr>
          <w:rFonts w:hint="eastAsia" w:ascii="楷体" w:hAnsi="楷体" w:eastAsia="楷体" w:cs="楷体"/>
          <w:b/>
          <w:sz w:val="24"/>
          <w:szCs w:val="24"/>
        </w:rPr>
      </w:pPr>
      <w:r>
        <w:rPr>
          <w:rFonts w:hint="eastAsia" w:ascii="楷体" w:hAnsi="楷体" w:eastAsia="楷体" w:cs="楷体"/>
          <w:sz w:val="24"/>
          <w:szCs w:val="24"/>
        </w:rPr>
        <w:t>1. 监理人向委托人承诺，按照本合同约定</w:t>
      </w:r>
      <w:r>
        <w:rPr>
          <w:rFonts w:hint="eastAsia" w:ascii="楷体" w:hAnsi="楷体" w:eastAsia="楷体" w:cs="楷体"/>
          <w:kern w:val="0"/>
          <w:sz w:val="24"/>
          <w:szCs w:val="24"/>
        </w:rPr>
        <w:t>提供</w:t>
      </w:r>
      <w:r>
        <w:rPr>
          <w:rFonts w:hint="eastAsia" w:ascii="楷体" w:hAnsi="楷体" w:eastAsia="楷体" w:cs="楷体"/>
          <w:sz w:val="24"/>
          <w:szCs w:val="24"/>
        </w:rPr>
        <w:t>监理与相关服务。</w:t>
      </w:r>
    </w:p>
    <w:p w14:paraId="6E56B412">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2. 委托人向监理人承诺，按照本合同约定派遣相应的人员，提供</w:t>
      </w:r>
      <w:r>
        <w:rPr>
          <w:rFonts w:hint="eastAsia" w:ascii="楷体" w:hAnsi="楷体" w:eastAsia="楷体" w:cs="楷体"/>
          <w:bCs/>
          <w:sz w:val="24"/>
          <w:szCs w:val="24"/>
        </w:rPr>
        <w:t>房屋、资料</w:t>
      </w:r>
      <w:r>
        <w:rPr>
          <w:rFonts w:hint="eastAsia" w:ascii="楷体" w:hAnsi="楷体" w:eastAsia="楷体" w:cs="楷体"/>
          <w:sz w:val="24"/>
          <w:szCs w:val="24"/>
        </w:rPr>
        <w:t>、设备，并按本合同约定支付酬金。</w:t>
      </w:r>
    </w:p>
    <w:p w14:paraId="0505873A">
      <w:pPr>
        <w:spacing w:line="360" w:lineRule="auto"/>
        <w:ind w:firstLine="477" w:firstLineChars="198"/>
        <w:rPr>
          <w:rFonts w:hint="eastAsia" w:ascii="楷体" w:hAnsi="楷体" w:eastAsia="楷体" w:cs="楷体"/>
          <w:b/>
          <w:sz w:val="24"/>
          <w:szCs w:val="24"/>
        </w:rPr>
      </w:pPr>
      <w:r>
        <w:rPr>
          <w:rFonts w:hint="eastAsia" w:ascii="楷体" w:hAnsi="楷体" w:eastAsia="楷体" w:cs="楷体"/>
          <w:b/>
          <w:sz w:val="24"/>
          <w:szCs w:val="24"/>
        </w:rPr>
        <w:t>八、合同订立</w:t>
      </w:r>
    </w:p>
    <w:p w14:paraId="70AF371E">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1. 订立时间：</w:t>
      </w:r>
      <w:r>
        <w:rPr>
          <w:rFonts w:hint="eastAsia" w:ascii="楷体" w:hAnsi="楷体" w:eastAsia="楷体" w:cs="楷体"/>
          <w:sz w:val="24"/>
          <w:szCs w:val="24"/>
          <w:u w:val="single"/>
        </w:rPr>
        <w:t xml:space="preserve">          </w:t>
      </w:r>
      <w:r>
        <w:rPr>
          <w:rFonts w:hint="eastAsia" w:ascii="楷体" w:hAnsi="楷体" w:eastAsia="楷体" w:cs="楷体"/>
          <w:sz w:val="24"/>
          <w:szCs w:val="24"/>
        </w:rPr>
        <w:t>年</w:t>
      </w:r>
      <w:r>
        <w:rPr>
          <w:rFonts w:hint="eastAsia" w:ascii="楷体" w:hAnsi="楷体" w:eastAsia="楷体" w:cs="楷体"/>
          <w:sz w:val="24"/>
          <w:szCs w:val="24"/>
          <w:u w:val="single"/>
        </w:rPr>
        <w:t xml:space="preserve">       </w:t>
      </w:r>
      <w:r>
        <w:rPr>
          <w:rFonts w:hint="eastAsia" w:ascii="楷体" w:hAnsi="楷体" w:eastAsia="楷体" w:cs="楷体"/>
          <w:sz w:val="24"/>
          <w:szCs w:val="24"/>
        </w:rPr>
        <w:t>月</w:t>
      </w:r>
      <w:r>
        <w:rPr>
          <w:rFonts w:hint="eastAsia" w:ascii="楷体" w:hAnsi="楷体" w:eastAsia="楷体" w:cs="楷体"/>
          <w:sz w:val="24"/>
          <w:szCs w:val="24"/>
          <w:u w:val="single"/>
        </w:rPr>
        <w:t xml:space="preserve">      </w:t>
      </w:r>
      <w:r>
        <w:rPr>
          <w:rFonts w:hint="eastAsia" w:ascii="楷体" w:hAnsi="楷体" w:eastAsia="楷体" w:cs="楷体"/>
          <w:sz w:val="24"/>
          <w:szCs w:val="24"/>
        </w:rPr>
        <w:t>日。</w:t>
      </w:r>
    </w:p>
    <w:p w14:paraId="47AAD3D3">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2. 订立地点：</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14:paraId="76EC9BD2">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3. 正本贰份，委托人及监理人各执一份；副本</w:t>
      </w:r>
      <w:r>
        <w:rPr>
          <w:rFonts w:hint="eastAsia" w:ascii="楷体" w:hAnsi="楷体" w:eastAsia="楷体" w:cs="楷体"/>
          <w:sz w:val="24"/>
          <w:szCs w:val="24"/>
          <w:u w:val="single"/>
        </w:rPr>
        <w:t xml:space="preserve">   </w:t>
      </w:r>
      <w:r>
        <w:rPr>
          <w:rFonts w:hint="eastAsia" w:ascii="楷体" w:hAnsi="楷体" w:eastAsia="楷体" w:cs="楷体"/>
          <w:sz w:val="24"/>
          <w:szCs w:val="24"/>
        </w:rPr>
        <w:t>份，委托人执</w:t>
      </w:r>
      <w:r>
        <w:rPr>
          <w:rFonts w:hint="eastAsia" w:ascii="楷体" w:hAnsi="楷体" w:eastAsia="楷体" w:cs="楷体"/>
          <w:sz w:val="24"/>
          <w:szCs w:val="24"/>
          <w:u w:val="single"/>
        </w:rPr>
        <w:t xml:space="preserve">   </w:t>
      </w:r>
      <w:r>
        <w:rPr>
          <w:rFonts w:hint="eastAsia" w:ascii="楷体" w:hAnsi="楷体" w:eastAsia="楷体" w:cs="楷体"/>
          <w:sz w:val="24"/>
          <w:szCs w:val="24"/>
        </w:rPr>
        <w:t>份，监理人执</w:t>
      </w:r>
      <w:r>
        <w:rPr>
          <w:rFonts w:hint="eastAsia" w:ascii="楷体" w:hAnsi="楷体" w:eastAsia="楷体" w:cs="楷体"/>
          <w:sz w:val="24"/>
          <w:szCs w:val="24"/>
          <w:u w:val="single"/>
        </w:rPr>
        <w:t xml:space="preserve">   </w:t>
      </w:r>
      <w:r>
        <w:rPr>
          <w:rFonts w:hint="eastAsia" w:ascii="楷体" w:hAnsi="楷体" w:eastAsia="楷体" w:cs="楷体"/>
          <w:sz w:val="24"/>
          <w:szCs w:val="24"/>
        </w:rPr>
        <w:t>份。</w:t>
      </w:r>
    </w:p>
    <w:p w14:paraId="5081F801">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委托人：</w:t>
      </w:r>
      <w:r>
        <w:rPr>
          <w:rFonts w:hint="eastAsia" w:ascii="楷体" w:hAnsi="楷体" w:eastAsia="楷体" w:cs="楷体"/>
          <w:sz w:val="24"/>
          <w:szCs w:val="24"/>
          <w:u w:val="single"/>
        </w:rPr>
        <w:t xml:space="preserve">   （盖章）         </w:t>
      </w:r>
      <w:r>
        <w:rPr>
          <w:rFonts w:hint="eastAsia" w:ascii="楷体" w:hAnsi="楷体" w:eastAsia="楷体" w:cs="楷体"/>
          <w:sz w:val="24"/>
          <w:szCs w:val="24"/>
        </w:rPr>
        <w:t xml:space="preserve">        监理人：</w:t>
      </w:r>
      <w:r>
        <w:rPr>
          <w:rFonts w:hint="eastAsia" w:ascii="楷体" w:hAnsi="楷体" w:eastAsia="楷体" w:cs="楷体"/>
          <w:sz w:val="24"/>
          <w:szCs w:val="24"/>
          <w:u w:val="single"/>
        </w:rPr>
        <w:t xml:space="preserve">     （盖章）        </w:t>
      </w:r>
    </w:p>
    <w:p w14:paraId="612648A3">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 xml:space="preserve">住所： </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住所： </w:t>
      </w:r>
      <w:r>
        <w:rPr>
          <w:rFonts w:hint="eastAsia" w:ascii="楷体" w:hAnsi="楷体" w:eastAsia="楷体" w:cs="楷体"/>
          <w:sz w:val="24"/>
          <w:szCs w:val="24"/>
          <w:u w:val="single"/>
        </w:rPr>
        <w:t xml:space="preserve">                      </w:t>
      </w:r>
    </w:p>
    <w:p w14:paraId="66F3A4B3">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邮政编码：</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邮政编码：</w:t>
      </w:r>
      <w:r>
        <w:rPr>
          <w:rFonts w:hint="eastAsia" w:ascii="楷体" w:hAnsi="楷体" w:eastAsia="楷体" w:cs="楷体"/>
          <w:sz w:val="24"/>
          <w:szCs w:val="24"/>
          <w:u w:val="single"/>
        </w:rPr>
        <w:t xml:space="preserve">                   </w:t>
      </w:r>
    </w:p>
    <w:p w14:paraId="0B2EE2CD">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法定代表人或其授权                  法定代表人或其授权</w:t>
      </w:r>
    </w:p>
    <w:p w14:paraId="366B8CCA">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的代理人：</w:t>
      </w:r>
      <w:r>
        <w:rPr>
          <w:rFonts w:hint="eastAsia" w:ascii="楷体" w:hAnsi="楷体" w:eastAsia="楷体" w:cs="楷体"/>
          <w:sz w:val="24"/>
          <w:szCs w:val="24"/>
          <w:u w:val="single"/>
        </w:rPr>
        <w:t xml:space="preserve">   （签字）       </w:t>
      </w:r>
      <w:r>
        <w:rPr>
          <w:rFonts w:hint="eastAsia" w:ascii="楷体" w:hAnsi="楷体" w:eastAsia="楷体" w:cs="楷体"/>
          <w:sz w:val="24"/>
          <w:szCs w:val="24"/>
        </w:rPr>
        <w:t xml:space="preserve">        的代理人：</w:t>
      </w:r>
      <w:r>
        <w:rPr>
          <w:rFonts w:hint="eastAsia" w:ascii="楷体" w:hAnsi="楷体" w:eastAsia="楷体" w:cs="楷体"/>
          <w:sz w:val="24"/>
          <w:szCs w:val="24"/>
          <w:u w:val="single"/>
        </w:rPr>
        <w:t xml:space="preserve">      （签字）     </w:t>
      </w:r>
    </w:p>
    <w:p w14:paraId="6EC4B5F6">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开户银行：</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开户银行：</w:t>
      </w:r>
      <w:r>
        <w:rPr>
          <w:rFonts w:hint="eastAsia" w:ascii="楷体" w:hAnsi="楷体" w:eastAsia="楷体" w:cs="楷体"/>
          <w:sz w:val="24"/>
          <w:szCs w:val="24"/>
          <w:u w:val="single"/>
        </w:rPr>
        <w:t xml:space="preserve">                   </w:t>
      </w:r>
    </w:p>
    <w:p w14:paraId="3BC8AA53">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账号：</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账号：</w:t>
      </w:r>
      <w:r>
        <w:rPr>
          <w:rFonts w:hint="eastAsia" w:ascii="楷体" w:hAnsi="楷体" w:eastAsia="楷体" w:cs="楷体"/>
          <w:sz w:val="24"/>
          <w:szCs w:val="24"/>
          <w:u w:val="single"/>
        </w:rPr>
        <w:t xml:space="preserve">                       </w:t>
      </w:r>
    </w:p>
    <w:p w14:paraId="2405FD16">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电话：</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电话：</w:t>
      </w:r>
      <w:r>
        <w:rPr>
          <w:rFonts w:hint="eastAsia" w:ascii="楷体" w:hAnsi="楷体" w:eastAsia="楷体" w:cs="楷体"/>
          <w:sz w:val="24"/>
          <w:szCs w:val="24"/>
          <w:u w:val="single"/>
        </w:rPr>
        <w:t xml:space="preserve">                       </w:t>
      </w:r>
    </w:p>
    <w:p w14:paraId="58BEA616">
      <w:pPr>
        <w:adjustRightInd w:val="0"/>
        <w:snapToGrid w:val="0"/>
        <w:spacing w:line="360" w:lineRule="auto"/>
        <w:ind w:firstLine="475" w:firstLineChars="198"/>
        <w:rPr>
          <w:rFonts w:hint="eastAsia" w:ascii="楷体" w:hAnsi="楷体" w:eastAsia="楷体" w:cs="楷体"/>
          <w:sz w:val="24"/>
          <w:szCs w:val="24"/>
        </w:rPr>
      </w:pPr>
      <w:r>
        <w:rPr>
          <w:rFonts w:hint="eastAsia" w:ascii="楷体" w:hAnsi="楷体" w:eastAsia="楷体" w:cs="楷体"/>
          <w:sz w:val="24"/>
          <w:szCs w:val="24"/>
        </w:rPr>
        <w:t>传真：</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传真：</w:t>
      </w:r>
      <w:r>
        <w:rPr>
          <w:rFonts w:hint="eastAsia" w:ascii="楷体" w:hAnsi="楷体" w:eastAsia="楷体" w:cs="楷体"/>
          <w:sz w:val="24"/>
          <w:szCs w:val="24"/>
          <w:u w:val="single"/>
        </w:rPr>
        <w:t xml:space="preserve">                       </w:t>
      </w:r>
    </w:p>
    <w:p w14:paraId="468B9BF3">
      <w:pPr>
        <w:adjustRightInd w:val="0"/>
        <w:snapToGrid w:val="0"/>
        <w:spacing w:line="360" w:lineRule="auto"/>
        <w:ind w:firstLine="475" w:firstLineChars="198"/>
        <w:rPr>
          <w:rFonts w:hint="eastAsia" w:ascii="楷体" w:hAnsi="楷体" w:eastAsia="楷体" w:cs="楷体"/>
          <w:sz w:val="24"/>
          <w:szCs w:val="24"/>
          <w:u w:val="single"/>
        </w:rPr>
      </w:pPr>
      <w:r>
        <w:rPr>
          <w:rFonts w:hint="eastAsia" w:ascii="楷体" w:hAnsi="楷体" w:eastAsia="楷体" w:cs="楷体"/>
          <w:sz w:val="24"/>
          <w:szCs w:val="24"/>
        </w:rPr>
        <w:t>电子邮箱：</w:t>
      </w:r>
      <w:r>
        <w:rPr>
          <w:rFonts w:hint="eastAsia" w:ascii="楷体" w:hAnsi="楷体" w:eastAsia="楷体" w:cs="楷体"/>
          <w:sz w:val="24"/>
          <w:szCs w:val="24"/>
          <w:u w:val="single"/>
        </w:rPr>
        <w:t xml:space="preserve">                  </w:t>
      </w:r>
      <w:r>
        <w:rPr>
          <w:rFonts w:hint="eastAsia" w:ascii="楷体" w:hAnsi="楷体" w:eastAsia="楷体" w:cs="楷体"/>
          <w:sz w:val="24"/>
          <w:szCs w:val="24"/>
        </w:rPr>
        <w:t xml:space="preserve">        电子邮箱：</w:t>
      </w:r>
      <w:r>
        <w:rPr>
          <w:rFonts w:hint="eastAsia" w:ascii="楷体" w:hAnsi="楷体" w:eastAsia="楷体" w:cs="楷体"/>
          <w:sz w:val="24"/>
          <w:szCs w:val="24"/>
          <w:u w:val="single"/>
        </w:rPr>
        <w:t xml:space="preserve">                   </w:t>
      </w:r>
    </w:p>
    <w:p w14:paraId="3450292D">
      <w:pPr>
        <w:spacing w:line="360" w:lineRule="auto"/>
        <w:ind w:firstLine="480" w:firstLineChars="200"/>
        <w:jc w:val="left"/>
        <w:rPr>
          <w:rFonts w:hint="eastAsia" w:ascii="楷体" w:hAnsi="楷体" w:eastAsia="楷体" w:cs="楷体"/>
          <w:color w:val="000000"/>
          <w:sz w:val="24"/>
          <w:szCs w:val="24"/>
        </w:rPr>
      </w:pPr>
      <w:r>
        <w:rPr>
          <w:rFonts w:hint="eastAsia" w:ascii="楷体" w:hAnsi="楷体" w:eastAsia="楷体" w:cs="楷体"/>
          <w:color w:val="000000"/>
          <w:sz w:val="24"/>
          <w:szCs w:val="24"/>
        </w:rPr>
        <w:br w:type="page"/>
      </w:r>
      <w:r>
        <w:rPr>
          <w:rFonts w:hint="eastAsia" w:ascii="楷体" w:hAnsi="楷体" w:eastAsia="楷体" w:cs="楷体"/>
          <w:color w:val="000000"/>
          <w:sz w:val="24"/>
          <w:szCs w:val="24"/>
        </w:rPr>
        <w:t>第二部分  通用条件</w:t>
      </w:r>
    </w:p>
    <w:p w14:paraId="5258672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 定义与解释</w:t>
      </w:r>
    </w:p>
    <w:p w14:paraId="264F19F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 定义</w:t>
      </w:r>
    </w:p>
    <w:p w14:paraId="01791AC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除根据上下文另有其意义外，组成本合同的全部文件中的下列名词和用语应具有本款所赋予的含义：</w:t>
      </w:r>
    </w:p>
    <w:p w14:paraId="3B8463F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 “工程”是指按照本合同约定实施监理与相关服务的建设工程。</w:t>
      </w:r>
    </w:p>
    <w:p w14:paraId="4BBD485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1.1.2 “委托人”是指本合同中委托监理与相关服务的一方，及其合法的继承人或受让人。</w:t>
      </w:r>
    </w:p>
    <w:p w14:paraId="5D3D0DB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1.1.3 “监理人”是指本合同中提供监理与相关服务的一方，及其合法的继承人。</w:t>
      </w:r>
    </w:p>
    <w:p w14:paraId="45FA95E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1.1.4 “承包人”是指在工程范围内与委托人签订勘察、设计、施工等有关合同的当事人，及其合法的继承人。</w:t>
      </w:r>
    </w:p>
    <w:p w14:paraId="26A90BD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5CE2C36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1.1.6 “相关服务”是指监理人受委托人的委托 ，按照本合同约定，在勘察、设计、保修等阶段提供的服务活动。</w:t>
      </w:r>
    </w:p>
    <w:p w14:paraId="76DB80E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1.1.7 “正常工作”指本合同订立时通用条件和专用条件中约定的监理人的工作。</w:t>
      </w:r>
    </w:p>
    <w:p w14:paraId="5932F36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1.1.8 “附加工作”是指本合同约定的正常工作以外监理人的工作。</w:t>
      </w:r>
    </w:p>
    <w:p w14:paraId="7625091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1.1.9 “项目监理机构”是指监理人派驻工程负责履行本合同的组织机构。</w:t>
      </w:r>
    </w:p>
    <w:p w14:paraId="42825FE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1.1.10 “总监理工程师”是指由监理人的法定代表人书面授权，全面负责履行本合同、主持项目监理机构工作的注册监理工程师。</w:t>
      </w:r>
    </w:p>
    <w:p w14:paraId="23CA150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1.1.11 “酬金”是指监理人履行本合同义务，委托人按照本合同约定给付监理人的金额。</w:t>
      </w:r>
    </w:p>
    <w:p w14:paraId="2D10C9B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1.1.12 “正常工作酬金”是指监理人完成正常工作，委托人应给付监理人并在协议书中载明的签约酬金额。</w:t>
      </w:r>
    </w:p>
    <w:p w14:paraId="58B90E5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1.1.13 “附加工作酬金”是指监理人完成附加工作，委托人应给付监理人的金额。</w:t>
      </w:r>
    </w:p>
    <w:p w14:paraId="3473EA9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1.1.14 “一方”是指委托人或监理人；“双方”是指委托人和监理人；“第三方”是指除委托人和监理人以外的有关方。</w:t>
      </w:r>
    </w:p>
    <w:p w14:paraId="13C7162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1.1.15 “书面形式”是指合同书、信件和数据电文（包括电报、电传、传真、电子数据交换和电子邮件）等可以有形地表现所载内容的形式。</w:t>
      </w:r>
    </w:p>
    <w:p w14:paraId="15E39E7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1.1.16 “天”是指第一天零时至第二天零时的时间。</w:t>
      </w:r>
    </w:p>
    <w:p w14:paraId="3E578E9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1.1.17“月”是指按公历从一个月中任何一天开始的一个公历月时间。</w:t>
      </w:r>
    </w:p>
    <w:p w14:paraId="7567015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18088CA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 解释</w:t>
      </w:r>
    </w:p>
    <w:p w14:paraId="2C533E50">
      <w:pPr>
        <w:tabs>
          <w:tab w:val="left" w:pos="6140"/>
        </w:tabs>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1.2.1本合同使用中文书写、解释和说明。如专用条件约定使用两种及以上语言文字时，应以中文为准。</w:t>
      </w:r>
    </w:p>
    <w:p w14:paraId="09AC888A">
      <w:pPr>
        <w:tabs>
          <w:tab w:val="left" w:pos="6140"/>
        </w:tabs>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1.2.2 组成本合同的下列文件彼此应能相互解释、互为说明。除专用条件另有约定外，本合同文件的解释顺序如下：</w:t>
      </w:r>
    </w:p>
    <w:p w14:paraId="35A27AC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（1）协议书；</w:t>
      </w:r>
    </w:p>
    <w:p w14:paraId="5C621D7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（2）中标通知书（适用于招标工程）或委托书（适用于非招标工程）；</w:t>
      </w:r>
    </w:p>
    <w:p w14:paraId="76ECEDF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（3）专用条件及附录A、附录B；</w:t>
      </w:r>
    </w:p>
    <w:p w14:paraId="5C8F3A1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（4）通用条件；</w:t>
      </w:r>
    </w:p>
    <w:p w14:paraId="7A1FDB2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（5）投标文件（适用于招标工程）或监理与相关服务建议书（适用于非招标工程）。</w:t>
      </w:r>
    </w:p>
    <w:p w14:paraId="34CA5F7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双方签订的补充协议与其他文件发生矛盾或歧义时，属于同一类内容的文件，应以最新签署的为准。</w:t>
      </w:r>
    </w:p>
    <w:p w14:paraId="10D98CA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 监理人的义务</w:t>
      </w:r>
    </w:p>
    <w:p w14:paraId="03C0D86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 监理的范围和工作内容</w:t>
      </w:r>
    </w:p>
    <w:p w14:paraId="105C3A9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2.1.1 监理范围在专用条件中约定。</w:t>
      </w:r>
    </w:p>
    <w:p w14:paraId="19B6017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2.1.2 除专用条件另有约定外，监理工作内容包括：</w:t>
      </w:r>
    </w:p>
    <w:p w14:paraId="027C95B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（1）收到工程设计文件后编制监理规划，并在第一次工地会议7天前报委托人。根据有关规定和监理工作需要，编制监理实施细则；</w:t>
      </w:r>
    </w:p>
    <w:p w14:paraId="65B7BBB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（2）熟悉工程设计文件，并参加由委托人主持的图纸会审和设计交底会议；</w:t>
      </w:r>
    </w:p>
    <w:p w14:paraId="57152A1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（3）参加由委托人主持的第一次工地会议；主持监理例会并根据工程需要主持或参加专题会议；</w:t>
      </w:r>
    </w:p>
    <w:p w14:paraId="4DD1C4F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（4）审查施工承包人提交的</w:t>
      </w:r>
      <w:r>
        <w:rPr>
          <w:rFonts w:hint="eastAsia" w:ascii="楷体" w:hAnsi="楷体" w:eastAsia="楷体" w:cs="楷体"/>
          <w:color w:val="000000"/>
          <w:sz w:val="24"/>
          <w:szCs w:val="24"/>
          <w:lang w:eastAsia="zh-CN"/>
        </w:rPr>
        <w:t>监理大纲</w:t>
      </w:r>
      <w:r>
        <w:rPr>
          <w:rFonts w:hint="eastAsia" w:ascii="楷体" w:hAnsi="楷体" w:eastAsia="楷体" w:cs="楷体"/>
          <w:color w:val="000000"/>
          <w:sz w:val="24"/>
          <w:szCs w:val="24"/>
        </w:rPr>
        <w:t>，重点审查其中的质量安全技术措施、专项施工方案与工程建设强制性标准的符合性；</w:t>
      </w:r>
    </w:p>
    <w:p w14:paraId="105EA5C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（5）检查施工承包人工程质量、安全生产管理制度及组织机构和人员资格； </w:t>
      </w:r>
    </w:p>
    <w:p w14:paraId="24EFDC5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（6）检查施工承包人专职安全生产管理人员的配备情况；</w:t>
      </w:r>
    </w:p>
    <w:p w14:paraId="0878699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（7）审查施工承包人提交的施工进度计划，核查承包人对施工进度计划的调整；</w:t>
      </w:r>
    </w:p>
    <w:p w14:paraId="5C9D875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（8）检查施工承包人的试验室；</w:t>
      </w:r>
    </w:p>
    <w:p w14:paraId="6CC60D7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（9）审核施工分包人资质条件；</w:t>
      </w:r>
    </w:p>
    <w:p w14:paraId="38C7C4A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（10）查验施工承包人的施工测量放线成果；</w:t>
      </w:r>
    </w:p>
    <w:p w14:paraId="111E912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（11）审查工程开工条件，对条件具备的签发开工令；</w:t>
      </w:r>
    </w:p>
    <w:p w14:paraId="592E434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（12）审查施工承包人报送的工程材料、构配件、设备质量证明文件的有效性和符合性，并按规定对用于工程的材料采取平行检验或见证取样方式进行抽检；</w:t>
      </w:r>
    </w:p>
    <w:p w14:paraId="7DC6E94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（13）审核施工承包人提交的工程款支付申请，签发或出具工程款支付证书，并报委托人审核、批准；</w:t>
      </w:r>
    </w:p>
    <w:p w14:paraId="616340A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（14）在巡视、旁站和检验过程中，发现工程质量、施工安全存在事故隐患的，要求施工承包人整改并报委托人；</w:t>
      </w:r>
    </w:p>
    <w:p w14:paraId="2EE2992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（15）经委托人同意，签发工程暂停令和复工令；</w:t>
      </w:r>
    </w:p>
    <w:p w14:paraId="018CD54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（16）审查施工承包人提交的采用新材料、新工艺、新技术、新设备的论证材料及相关验收标准；</w:t>
      </w:r>
    </w:p>
    <w:p w14:paraId="14197E0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（17）验收隐蔽工程、分部分项工程；</w:t>
      </w:r>
    </w:p>
    <w:p w14:paraId="35688A6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（18）审查施工承包人提交的工程变更申请，协调处理施工进度调整、费用索赔、合同争议等事项；</w:t>
      </w:r>
    </w:p>
    <w:p w14:paraId="2ACA05A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（19）审查施工承包人提交的竣工验收申请，编写工程质量评估报告；</w:t>
      </w:r>
    </w:p>
    <w:p w14:paraId="3B47B4C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（20）参加工程竣工验收，签署竣工验收意见；</w:t>
      </w:r>
    </w:p>
    <w:p w14:paraId="1A6F8D2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（21）审查施工承包人提交的竣工结算申请并报委托人；</w:t>
      </w:r>
    </w:p>
    <w:p w14:paraId="2FB10F0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（22）编制、整理工程监理归档文件并报委托人。</w:t>
      </w:r>
    </w:p>
    <w:p w14:paraId="1D37895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2.1.3 相关服务的范围和内容在附录A中约定。</w:t>
      </w:r>
    </w:p>
    <w:p w14:paraId="2B0B996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2.2 监理与相关服务依据</w:t>
      </w:r>
    </w:p>
    <w:p w14:paraId="32BCCA1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2.2.1 监理依据包括：</w:t>
      </w:r>
    </w:p>
    <w:p w14:paraId="4E52E53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（1）适用的法律、行政法规及部门规章；</w:t>
      </w:r>
    </w:p>
    <w:p w14:paraId="77A2161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（2）与工程有关的标准；</w:t>
      </w:r>
    </w:p>
    <w:p w14:paraId="41FABAE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（3）工程设计及有关文件；</w:t>
      </w:r>
    </w:p>
    <w:p w14:paraId="4E5D6AE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（4）本合同及委托人与第三方签订的与实施工程有关的其他合同。</w:t>
      </w:r>
    </w:p>
    <w:p w14:paraId="6C00E55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双方根据工程的行业和地域特点，在专用条件中具体约定监理依据。</w:t>
      </w:r>
    </w:p>
    <w:p w14:paraId="2403A6F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2.2.2 相关服务依据在专用条件中约定。</w:t>
      </w:r>
    </w:p>
    <w:p w14:paraId="29915BA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 项目监理机构和人员</w:t>
      </w:r>
    </w:p>
    <w:p w14:paraId="7FDC47E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2.3.1 监理人应组建满足工作需要的项目监理机构，配备必要的检测设备。项目监理机构的主要人员应具有相应的资格条件。</w:t>
      </w:r>
    </w:p>
    <w:p w14:paraId="3390A15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2.3.2本合同履行过程中，总监理工程师及重要岗位监理人员应保持相对稳定，以保证监理工作正常进行。</w:t>
      </w:r>
    </w:p>
    <w:p w14:paraId="06352EF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303BF24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2.3.4 监理人应及时更换有下列情形之一的监理人员：</w:t>
      </w:r>
    </w:p>
    <w:p w14:paraId="3044014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（1）严重过失行为的；</w:t>
      </w:r>
    </w:p>
    <w:p w14:paraId="4888DB3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（2）有违法行为不能履行职责的；</w:t>
      </w:r>
    </w:p>
    <w:p w14:paraId="16EFFF8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（3）涉嫌犯罪的；</w:t>
      </w:r>
    </w:p>
    <w:p w14:paraId="09EF085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（4）不能胜任岗位职责的；</w:t>
      </w:r>
    </w:p>
    <w:p w14:paraId="2342DF2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（5）严重违反职业道德的；</w:t>
      </w:r>
    </w:p>
    <w:p w14:paraId="74B5151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（6）专用条件约定的其他情形。</w:t>
      </w:r>
    </w:p>
    <w:p w14:paraId="045B412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2.3.5 委托人可要求监理人更换不能胜任本职工作的项目监理机构人员。</w:t>
      </w:r>
    </w:p>
    <w:p w14:paraId="6A56450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 履行职责</w:t>
      </w:r>
    </w:p>
    <w:p w14:paraId="2F67D9F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监理人应遵循职业道德准则和行为规范，严格按照法律法规、工程建设有关标准及本合同履行职责。</w:t>
      </w:r>
    </w:p>
    <w:p w14:paraId="6543943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2.4.1 在监理与相关服务范围内，委托人和承包人提出的意见和要求，监理人应及时提出处置意见。当委托人与承包人之间发生合同争议时，监理人应协助委托人、承包人协商解决。</w:t>
      </w:r>
    </w:p>
    <w:p w14:paraId="3B9D6F0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2.4.2 当委托人与承包人之间的合同争议提交仲裁机构仲裁或人民法院审理时，监理人应提供必要的证明资料。</w:t>
      </w:r>
    </w:p>
    <w:p w14:paraId="1DBF078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2.4.3 监理人应在专用条件约定的授权范围内，处理委托人与承包人所签订合同的变更事宜。如果变更超过授权范围，应以书面形式报委托人批准。</w:t>
      </w:r>
    </w:p>
    <w:p w14:paraId="5E4CC0A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在紧急情况下，为了保护财产和人身安全，监理人所发出的指令未能事先报委托人批准时，应在发出指令后的24小时内以书面形式报委托人。</w:t>
      </w:r>
    </w:p>
    <w:p w14:paraId="6B6D8F6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2.4.4 除专用条件另有约定外，监理人发现承包人的人员不能胜任本职工作的，有权要求承包人予以调换。</w:t>
      </w:r>
    </w:p>
    <w:p w14:paraId="172CE66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2.5 提交报告</w:t>
      </w:r>
    </w:p>
    <w:p w14:paraId="039BC3B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监理人应按专用条件约定的种类、时间和份数向委托人提交监理与相关服务的报告。</w:t>
      </w:r>
    </w:p>
    <w:p w14:paraId="4E396D0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2.6 文件资料</w:t>
      </w:r>
    </w:p>
    <w:p w14:paraId="2C465FA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在本合同履行期内，监理人应在现场保留工作所用的图纸、报告及记录监理工作的相关文件。工程竣工后，应当按照档案管理规定将监理有关文件归档。</w:t>
      </w:r>
    </w:p>
    <w:p w14:paraId="44B6299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2.7 使用委托人的财产</w:t>
      </w:r>
    </w:p>
    <w:p w14:paraId="6A2EE69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2AA035E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3．委托人的义务</w:t>
      </w:r>
    </w:p>
    <w:p w14:paraId="1D4F3FE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3.1 告知</w:t>
      </w:r>
    </w:p>
    <w:p w14:paraId="7506E3E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委托人应在委托人与承包人签订的合同中明确监理人、总监理工程师和授予项目监理机构的权限。如有变更，应及时通知承包人。</w:t>
      </w:r>
    </w:p>
    <w:p w14:paraId="0985078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3.2 提供资料</w:t>
      </w:r>
    </w:p>
    <w:p w14:paraId="6B143A6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委托人应按照附录B约定，无偿向监理人提供工程有关的资料。在本合同履行过程中，委托人应及时向监理人提供最新的与工程有关的资料。</w:t>
      </w:r>
    </w:p>
    <w:p w14:paraId="78EAC4E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3.3 提供工作条件</w:t>
      </w:r>
    </w:p>
    <w:p w14:paraId="7448FB0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委托人应为监理人完成监理与相关服务提供必要的条件。</w:t>
      </w:r>
    </w:p>
    <w:p w14:paraId="75388C7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3.3.1 委托人应按照附录B约定，派遣相应的人员，提供房屋、设备，供监理人无偿使用。</w:t>
      </w:r>
    </w:p>
    <w:p w14:paraId="18A0D9E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3.3.2 委托人应负责协调工程建设中所有外部关系，为监理人履行本合同提供必要的外部条件。</w:t>
      </w:r>
    </w:p>
    <w:p w14:paraId="33D025D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3.4 委托人代表委托人应授权一名熟悉工程情况的代表，负责与监理人联系。委托人应在双方签订本合同后7天内，将委托人代表的姓名和职责书面告知监理人。当委托人更换委托人代表时，应提前7天通知监理人。</w:t>
      </w:r>
    </w:p>
    <w:p w14:paraId="4987CD7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3.5 委托人意见或要求</w:t>
      </w:r>
    </w:p>
    <w:p w14:paraId="59F8702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在本合同约定的监理与相关服务工作范围内，委托人对承包人的任何意见或要求应通知监理人，由监理人向承包人发出相应指令。</w:t>
      </w:r>
    </w:p>
    <w:p w14:paraId="122E425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3.6 答复</w:t>
      </w:r>
    </w:p>
    <w:p w14:paraId="643CD9C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委托人应在专用条件约定的时间内，对监理人以书面形式提交并要求作出决定的事宜，给予书面答复。逾期未答复的，视为委托人认可。</w:t>
      </w:r>
    </w:p>
    <w:p w14:paraId="278C6F1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3.7 支付</w:t>
      </w:r>
    </w:p>
    <w:p w14:paraId="351E9AC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委托人应按本合同约定，向监理人支付酬金。</w:t>
      </w:r>
    </w:p>
    <w:p w14:paraId="00B0796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 违约责任</w:t>
      </w:r>
    </w:p>
    <w:p w14:paraId="5361958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4.1 监理人的违约责任</w:t>
      </w:r>
    </w:p>
    <w:p w14:paraId="59F258C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监理人未履行本合同义务的，应承担相应的责任。</w:t>
      </w:r>
    </w:p>
    <w:p w14:paraId="7DF58DA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4.1.1 因监理人违反本合同约定给委托人造成损失的，监理人应当赔偿委托人损失。赔偿金额的确定方法在专用条件中约定。监理人承担部分赔偿责任的，其承担赔偿金额由双方协商确定。</w:t>
      </w:r>
    </w:p>
    <w:p w14:paraId="7AC2198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4.1.2 监理人向委托人的索赔不成立时，监理人应赔偿委托人由此发生的费用。</w:t>
      </w:r>
    </w:p>
    <w:p w14:paraId="548D489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4.2 委托人的违约责任</w:t>
      </w:r>
    </w:p>
    <w:p w14:paraId="0F81730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委托人未履行本合同义务的，应承担相应的责任。</w:t>
      </w:r>
    </w:p>
    <w:p w14:paraId="232A77E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4.2.1 委托人违反本合同约定造成监理人损失的，委托人应予以赔偿。</w:t>
      </w:r>
    </w:p>
    <w:p w14:paraId="6C1DBB3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4.2.2 委托人向监理人的索赔不成立时，应赔偿监理人由此引起的费用。</w:t>
      </w:r>
    </w:p>
    <w:p w14:paraId="4D7A186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4.2.3 委托人未能按期支付酬金超过28天，应按专用条件约定支付逾期付款利息。</w:t>
      </w:r>
    </w:p>
    <w:p w14:paraId="3D2720B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4.3 除外责任</w:t>
      </w:r>
    </w:p>
    <w:p w14:paraId="7CFD3E4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因非监理人的原因，且监理人无过错，发生工程质量事故、安全事故、工期延误等造成的损失，监理人不承担赔偿责任。</w:t>
      </w:r>
    </w:p>
    <w:p w14:paraId="6F3BDCC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因不可抗力导致本合同全部或部分不能履行时，双方各自承担其因此而造成的损失、损害。</w:t>
      </w:r>
    </w:p>
    <w:p w14:paraId="672818D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 支付</w:t>
      </w:r>
    </w:p>
    <w:p w14:paraId="61AABA1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5.1 支付货币</w:t>
      </w:r>
    </w:p>
    <w:p w14:paraId="194002E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除专用条件另有约定外，酬金均以人民币支付。涉及外币支付的，所采用的货币种类、比例和汇率在专用条件中约定。</w:t>
      </w:r>
    </w:p>
    <w:p w14:paraId="4F77E46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5.2 支付申请</w:t>
      </w:r>
    </w:p>
    <w:p w14:paraId="43597B0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监理人应在</w:t>
      </w:r>
      <w:r>
        <w:rPr>
          <w:rFonts w:hint="eastAsia" w:ascii="楷体" w:hAnsi="楷体" w:eastAsia="楷体" w:cs="楷体"/>
          <w:color w:val="000000"/>
          <w:sz w:val="24"/>
          <w:szCs w:val="24"/>
          <w:lang w:val="en-US" w:eastAsia="zh-CN"/>
        </w:rPr>
        <w:t>自工程竣工且经甲方验收合格后15日内</w:t>
      </w:r>
      <w:r>
        <w:rPr>
          <w:rFonts w:hint="eastAsia" w:ascii="楷体" w:hAnsi="楷体" w:eastAsia="楷体" w:cs="楷体"/>
          <w:color w:val="000000"/>
          <w:sz w:val="24"/>
          <w:szCs w:val="24"/>
        </w:rPr>
        <w:t>，向委托人提交支付申请书。</w:t>
      </w:r>
    </w:p>
    <w:p w14:paraId="33847E3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 5.3 支付酬金</w:t>
      </w:r>
    </w:p>
    <w:p w14:paraId="51FFF08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支付的酬金包括正常工作酬金、附加工作酬金、合理化建议奖励金额及费用。</w:t>
      </w:r>
    </w:p>
    <w:p w14:paraId="32E6FC8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  5.4 有争议部分的付款</w:t>
      </w:r>
    </w:p>
    <w:p w14:paraId="762E2A4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12977C1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 合同生效、变更、暂停、解除与终止</w:t>
      </w:r>
    </w:p>
    <w:p w14:paraId="3805150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6.1生效</w:t>
      </w:r>
    </w:p>
    <w:p w14:paraId="23FE7DB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除法律另有规定或者专用条件另有约定外，委托人和监理人的法定代表人或其授权代理人在协议书上签字并盖单位章后本合同生效。</w:t>
      </w:r>
    </w:p>
    <w:p w14:paraId="09A59A7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6.2变更</w:t>
      </w:r>
    </w:p>
    <w:p w14:paraId="5DF7E92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6.2.1 任何一方提出变更请求时，双方经协商一致后可进行变更。</w:t>
      </w:r>
    </w:p>
    <w:p w14:paraId="7696DDD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087FBD5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1D8CC00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6.2.4合同签订后，遇有与工程相关的法律法规、标准颁布或修订的，双方应遵照执行。由此引起监理与相关服务的范围、时间、酬金变化的，双方应通过协商进行相应调整。</w:t>
      </w:r>
    </w:p>
    <w:p w14:paraId="37C0C7B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6.2.5 因非监理人原因造成工程概算投资额或建筑安装工程费增加时，正常工作酬金应作相应调整。调整方法在专用条件中约定。</w:t>
      </w:r>
    </w:p>
    <w:p w14:paraId="5633812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6.2.6 因工程规模、监理范围的变化导致监理人的正常工作量减少时，正常工作酬金应作相应调整。调整方法在专用条件中约定。</w:t>
      </w:r>
    </w:p>
    <w:p w14:paraId="61E0B81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  6.3 暂停与解除</w:t>
      </w:r>
    </w:p>
    <w:p w14:paraId="13BAB58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除双方协商一致可以解除本合同外，当一方无正当理由未履行本合同约定的义务时，另一方可以根据本合同约定暂停履行本合同直至解除本合同。</w:t>
      </w:r>
    </w:p>
    <w:p w14:paraId="6C316D3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6596560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因解除本合同或解除监理人的部分义务导致监理人遭受的损失，除依法可以免除责任的情况外，应由委托人予以补偿，补偿金额由双方协商确定。</w:t>
      </w:r>
    </w:p>
    <w:p w14:paraId="645C47A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解除本合同的协议必须采取书面形式，协议未达成之前，本合同仍然有效。</w:t>
      </w:r>
    </w:p>
    <w:p w14:paraId="10A53D1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3F0644C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225D70D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273FA22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6.3.</w:t>
      </w:r>
      <w:r>
        <w:rPr>
          <w:rFonts w:hint="eastAsia" w:ascii="楷体" w:hAnsi="楷体" w:eastAsia="楷体" w:cs="楷体"/>
          <w:color w:val="000000"/>
          <w:sz w:val="24"/>
          <w:szCs w:val="24"/>
          <w:highlight w:val="none"/>
        </w:rPr>
        <w:t>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w:t>
      </w:r>
      <w:r>
        <w:rPr>
          <w:rFonts w:hint="eastAsia" w:ascii="楷体" w:hAnsi="楷体" w:eastAsia="楷体" w:cs="楷体"/>
          <w:color w:val="000000"/>
          <w:sz w:val="24"/>
          <w:szCs w:val="24"/>
        </w:rPr>
        <w:t>托人应承担第4.2.3款约定的责任。</w:t>
      </w:r>
    </w:p>
    <w:p w14:paraId="3F01024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6.3.5 因不可抗力致使本合同部分或全部不能履行时，一方应立即通知另一方，可暂停或解除本合同。</w:t>
      </w:r>
    </w:p>
    <w:p w14:paraId="04FFDBE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6.3.6 本合同解除后，本合同约定的有关结算、清理、争议解决方式的条件仍然有效。</w:t>
      </w:r>
    </w:p>
    <w:p w14:paraId="07ACB18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6.4 终止</w:t>
      </w:r>
    </w:p>
    <w:p w14:paraId="53E38D1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以下条件全部满足时，本合同即告终止：</w:t>
      </w:r>
    </w:p>
    <w:p w14:paraId="39B11B3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（1）监理人完成本合同约定的全部工作；</w:t>
      </w:r>
    </w:p>
    <w:p w14:paraId="3A3864C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（2）委托人与监理人结清并支付全部酬金。</w:t>
      </w:r>
    </w:p>
    <w:p w14:paraId="4944136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 争议解决</w:t>
      </w:r>
    </w:p>
    <w:p w14:paraId="0AA3CF1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7.1协商</w:t>
      </w:r>
    </w:p>
    <w:p w14:paraId="3C60D62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双方应本着诚信原则协商解决彼此间的争议。</w:t>
      </w:r>
    </w:p>
    <w:p w14:paraId="5FD1C9C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7.2调解</w:t>
      </w:r>
    </w:p>
    <w:p w14:paraId="4CEF398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如果双方不能在14天内或双方商定的其他时间内解决本合同争议，可以将其提交给专用条件约定的或事后达成协议的调解人进行调解。</w:t>
      </w:r>
    </w:p>
    <w:p w14:paraId="504CAC0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7.3仲裁或诉讼</w:t>
      </w:r>
    </w:p>
    <w:p w14:paraId="3E8C548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双方均有权不经调解直接向专用条件约定的仲裁机构申请仲裁或向有管辖权的人民法院提起诉讼。</w:t>
      </w:r>
    </w:p>
    <w:p w14:paraId="77D7E37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 其他</w:t>
      </w:r>
    </w:p>
    <w:p w14:paraId="5F67499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8.1 外出考察费用</w:t>
      </w:r>
    </w:p>
    <w:p w14:paraId="2919D76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经委托人同意，监理人员外出考察发生的费用由委托人审核后支付。</w:t>
      </w:r>
    </w:p>
    <w:p w14:paraId="2E77796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8.2 检测费用</w:t>
      </w:r>
    </w:p>
    <w:p w14:paraId="0EC5AA6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委托人要求监理人进行的材料和设备检测所发生的费用，由委托人支付，支付时间在专用条件中约定。</w:t>
      </w:r>
    </w:p>
    <w:p w14:paraId="340DD1C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8.3 咨询费用</w:t>
      </w:r>
    </w:p>
    <w:p w14:paraId="6044375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经委托人同意，根据工程需要由监理人组织的相关咨询论证会以及聘请相关专家等发生的费用由委托人支付，支付时间在专用条件中约定。</w:t>
      </w:r>
    </w:p>
    <w:p w14:paraId="1C657F8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8.4 奖励</w:t>
      </w:r>
    </w:p>
    <w:p w14:paraId="3BB06CE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监理人在服务过程中提出的合理化建议，使委托人获得经济效益的，双方在专用条件中约定奖励金额的确定方法。奖励金额在合理化建议被采纳后，与最近一期的正常工作酬金同期支付。</w:t>
      </w:r>
    </w:p>
    <w:p w14:paraId="644B1BC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8.5 守法诚信</w:t>
      </w:r>
    </w:p>
    <w:p w14:paraId="2378816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监理人及其工作人员不得从与实施工程有关的第三方处获得任何经济利益。</w:t>
      </w:r>
    </w:p>
    <w:p w14:paraId="5B5D8AB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8.6 保密</w:t>
      </w:r>
    </w:p>
    <w:p w14:paraId="3C09945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双方不得泄露对方申明的保密资料，亦不得泄露与实施工程有关的第三方所提供的保密资料，保密事项在专用条件中约定。</w:t>
      </w:r>
    </w:p>
    <w:p w14:paraId="4DDD0E7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8.7 通知</w:t>
      </w:r>
    </w:p>
    <w:p w14:paraId="1D9FC69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本合同涉及的通知均应当采用书面形式，并在送达对方时生效，收件人应书面签收。</w:t>
      </w:r>
    </w:p>
    <w:p w14:paraId="2AC7CD1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8.8 著作权</w:t>
      </w:r>
    </w:p>
    <w:p w14:paraId="5FBE238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监理人对其编制的文件拥有著作权。</w:t>
      </w:r>
    </w:p>
    <w:p w14:paraId="46708E6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p>
    <w:p w14:paraId="4B96A6DD">
      <w:pPr>
        <w:spacing w:line="360" w:lineRule="auto"/>
        <w:ind w:firstLine="480" w:firstLineChars="200"/>
        <w:jc w:val="left"/>
        <w:rPr>
          <w:rFonts w:hint="eastAsia" w:ascii="楷体" w:hAnsi="楷体" w:eastAsia="楷体" w:cs="楷体"/>
          <w:color w:val="000000"/>
          <w:sz w:val="24"/>
          <w:szCs w:val="24"/>
        </w:rPr>
      </w:pPr>
      <w:r>
        <w:rPr>
          <w:rFonts w:hint="eastAsia" w:ascii="楷体" w:hAnsi="楷体" w:eastAsia="楷体" w:cs="楷体"/>
          <w:color w:val="000000"/>
          <w:sz w:val="24"/>
          <w:szCs w:val="24"/>
        </w:rPr>
        <w:br w:type="page"/>
      </w:r>
      <w:r>
        <w:rPr>
          <w:rFonts w:hint="eastAsia" w:ascii="楷体" w:hAnsi="楷体" w:eastAsia="楷体" w:cs="楷体"/>
          <w:color w:val="000000"/>
          <w:sz w:val="24"/>
          <w:szCs w:val="24"/>
        </w:rPr>
        <w:t>第三部分  专用条件</w:t>
      </w:r>
    </w:p>
    <w:p w14:paraId="0878F36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1.定义与解释</w:t>
      </w:r>
    </w:p>
    <w:p w14:paraId="1A4D234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1.2解释</w:t>
      </w:r>
    </w:p>
    <w:p w14:paraId="3B60948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1.2.1本合同文件除使用中文外，还可用  /  。</w:t>
      </w:r>
    </w:p>
    <w:p w14:paraId="1A974AA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1.2.2约定本合同文件的优先解释顺诹为：同通用条件。</w:t>
      </w:r>
    </w:p>
    <w:p w14:paraId="031B91C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2.监理人义务</w:t>
      </w:r>
    </w:p>
    <w:p w14:paraId="3296524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2.1监理的范围和内容</w:t>
      </w:r>
    </w:p>
    <w:p w14:paraId="2EE6A15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2.1.1监理范围包括：</w:t>
      </w:r>
    </w:p>
    <w:p w14:paraId="4E19EAB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2025年西安市碑林区城西北燃气管道等老化更新改造项目施工图纸范围内、招标文件及建设工程监理合同要求的内容；对工程从建设施工阶段到动用前准备与保修阶段进行质量、投资、进度、安全、合同、信息等方面进行全过程的监督监控、管理及现场协调工作，使之符合委托人的要求。</w:t>
      </w:r>
    </w:p>
    <w:p w14:paraId="0A5D4F6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具体包括：负责监理范围内工程的质量控制、投资控制、进度控制、安全文明生产控制、合同管理、信息管理以及有关设计人、承包人及设备材料供应商等其他第三方的协调工作。工程施工资料的规范、监督检查和验收移交。工程的各项验收、签证、结算。</w:t>
      </w:r>
    </w:p>
    <w:p w14:paraId="159E13E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2.1.2监理工作内容还包括：</w:t>
      </w:r>
    </w:p>
    <w:p w14:paraId="3A80E07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（1）技术及图纸</w:t>
      </w:r>
    </w:p>
    <w:p w14:paraId="2D5696F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1）熟悉设计资料与施工合同文件；</w:t>
      </w:r>
    </w:p>
    <w:p w14:paraId="23017B7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2）协助委托人组织设计单位、承包人及有关单位在开工前对设计图纸的会审、技术交底工作；</w:t>
      </w:r>
    </w:p>
    <w:p w14:paraId="319BA8A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3）组织有关单位（包括设计单位，</w:t>
      </w:r>
      <w:r>
        <w:rPr>
          <w:rFonts w:hint="eastAsia" w:ascii="楷体" w:hAnsi="楷体" w:eastAsia="楷体" w:cs="楷体"/>
          <w:color w:val="000000"/>
          <w:sz w:val="24"/>
          <w:szCs w:val="24"/>
          <w:highlight w:val="none"/>
        </w:rPr>
        <w:t>承包人等）进行技术交主底。</w:t>
      </w:r>
      <w:r>
        <w:rPr>
          <w:rFonts w:hint="eastAsia" w:ascii="楷体" w:hAnsi="楷体" w:eastAsia="楷体" w:cs="楷体"/>
          <w:color w:val="000000"/>
          <w:sz w:val="24"/>
          <w:szCs w:val="24"/>
        </w:rPr>
        <w:t>对交底中澄清的问题做好记录，并整理成纪要报委托人备案；</w:t>
      </w:r>
    </w:p>
    <w:p w14:paraId="14A7155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4）审阅并签发设计图纸和设计文件，解释承包人对图纸提出的疑问；</w:t>
      </w:r>
    </w:p>
    <w:p w14:paraId="34ACD55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5）参加由委托人主持的重大技术问题的讨论； </w:t>
      </w:r>
    </w:p>
    <w:p w14:paraId="2FF61F8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6）对于工程实施过程中发生的设计变更，应从对工程质量、进度、投资等三方面进行评估，提出意见并报委托人决策；</w:t>
      </w:r>
    </w:p>
    <w:p w14:paraId="3BD1F9A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7）审查并批准承包人提交的</w:t>
      </w:r>
      <w:r>
        <w:rPr>
          <w:rFonts w:hint="eastAsia" w:ascii="楷体" w:hAnsi="楷体" w:eastAsia="楷体" w:cs="楷体"/>
          <w:color w:val="000000"/>
          <w:sz w:val="24"/>
          <w:szCs w:val="24"/>
          <w:lang w:eastAsia="zh-CN"/>
        </w:rPr>
        <w:t>监理大纲</w:t>
      </w:r>
      <w:r>
        <w:rPr>
          <w:rFonts w:hint="eastAsia" w:ascii="楷体" w:hAnsi="楷体" w:eastAsia="楷体" w:cs="楷体"/>
          <w:color w:val="000000"/>
          <w:sz w:val="24"/>
          <w:szCs w:val="24"/>
        </w:rPr>
        <w:t>，施工技术方案，技术计划，临建工程设计等；</w:t>
      </w:r>
    </w:p>
    <w:p w14:paraId="746D33C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8）会同设计单位对有关工程图纸的变更做出解释和说明，发出图纸变更令，在现场协助设计方代表解决施工期间出现的设计、技术问题。</w:t>
      </w:r>
    </w:p>
    <w:p w14:paraId="719A312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（2）进度控制</w:t>
      </w:r>
    </w:p>
    <w:p w14:paraId="59FA205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1）督促委托人按合同规定落实必须提供的施工条件，组织向承包人移交施工场地；检查承包人的开工准备情况：按照合同规定及授权，发布工程开工令；</w:t>
      </w:r>
    </w:p>
    <w:p w14:paraId="3894F96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2）依据合同中确定的工程控制性进度计划，审查并批准承包人提交的施工总进度计划、资源配置，检查其实施情况，督促承包人实现合同工期目标；</w:t>
      </w:r>
    </w:p>
    <w:p w14:paraId="54A7AED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3）若发生由于承包人的原因使工期延误进应督促承包人提出补救措施，如属于委托人的原因引起工期延误，应向委托人提出报告，并提出补救措施的意见供委托人决策；</w:t>
      </w:r>
    </w:p>
    <w:p w14:paraId="62BB0BD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审查和批准承包人提出的施工方案和施工进度计划，负责控制进度，跟踪检查，记录计划的实施情况。当发生实际进度与计划进度有实质性偏差时，及时向承包人发出书面指示，向委托人提出“进度分析报告”；</w:t>
      </w:r>
    </w:p>
    <w:p w14:paraId="72865E8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5）主持监理合同授权范围内的有关协调工作，写出工程进度协调会议纪要提出监理对工程进度的意见；</w:t>
      </w:r>
    </w:p>
    <w:p w14:paraId="142ADE7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6）在收到承包人月进度报告后，7天内提出审查意见，并将审查意见及承包人的进度报告报委托人备案。</w:t>
      </w:r>
    </w:p>
    <w:p w14:paraId="4417000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（3）质量控制</w:t>
      </w:r>
    </w:p>
    <w:p w14:paraId="5261CA5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1）审查并批准承包人提交的</w:t>
      </w:r>
      <w:r>
        <w:rPr>
          <w:rFonts w:hint="eastAsia" w:ascii="楷体" w:hAnsi="楷体" w:eastAsia="楷体" w:cs="楷体"/>
          <w:color w:val="000000"/>
          <w:sz w:val="24"/>
          <w:szCs w:val="24"/>
          <w:lang w:eastAsia="zh-CN"/>
        </w:rPr>
        <w:t>监理大纲</w:t>
      </w:r>
      <w:r>
        <w:rPr>
          <w:rFonts w:hint="eastAsia" w:ascii="楷体" w:hAnsi="楷体" w:eastAsia="楷体" w:cs="楷体"/>
          <w:color w:val="000000"/>
          <w:sz w:val="24"/>
          <w:szCs w:val="24"/>
        </w:rPr>
        <w:t>，并将审查意见报委托人备案；</w:t>
      </w:r>
    </w:p>
    <w:p w14:paraId="685BF63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核查承包人关键技术工程、岗位进场人员的资质，包括技术水平、工作能力、工作态度等，核查承包人的施工机械设备的数量、质量、种类、能力及状况，对于符合合同规定要求的人员和设备，有权令其更换或添置；</w:t>
      </w:r>
    </w:p>
    <w:p w14:paraId="300B934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3）审批承包人的技术规范及施工规程等质量标准文件；</w:t>
      </w:r>
    </w:p>
    <w:p w14:paraId="76386DE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审查承包人的质量控制体系和措施，检查质量文件落实情况。依据施工合同规定，对施工前的准备工作进行检查，对施工工序、资源投入进行监督。督促承包人严格执行合同中的技术规范，施工要求和图纸上的规定，确保质量满足合同要求；</w:t>
      </w:r>
    </w:p>
    <w:p w14:paraId="4304AC0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审查、批准由承包人提交的质量检查要求和规定，依据合同与规范制定各类施工质量检查的补充规定，及时检查、抽查工程质量，特别是履盖的基础工程和隐蔽工程；对工程质量进行签证和评定，严格控制工程质量。主要内容包括：</w:t>
      </w:r>
    </w:p>
    <w:p w14:paraId="686FB23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A．审批承包人在施工过程中各工序的质量自检报告，按施工合同的要求进行质量控制和评定；</w:t>
      </w:r>
    </w:p>
    <w:p w14:paraId="2E81DC8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B．对承包人试验室的各种试验仪器及试验程序、成果进行全面检查；</w:t>
      </w:r>
    </w:p>
    <w:p w14:paraId="5BC967D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C．承包人未按设计图纸、技术规范、操作规程进行施工时，依据合同应责令其停工、返工，并报告委托人；</w:t>
      </w:r>
    </w:p>
    <w:p w14:paraId="1485869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D．对未签证或验收不合格的工程，通知承包人限期返工，重新验收合格，方可进入下一道工序，或交付使用，并及时报告委托人；</w:t>
      </w:r>
    </w:p>
    <w:p w14:paraId="1D84070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E．审查用于永久工程的各种工程材料，、构件的合格证，材质化验单，严禁使用不合格产品，并监督期退场；</w:t>
      </w:r>
    </w:p>
    <w:p w14:paraId="47706F3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F．制定现场工程监理工作制度，在施工现场对工程质量、安全、施工活动等进行跟班检查，关键工序实行旁站监理，并做好现场旁站记录和监理日记，填写大事记。定期召开监理例会，及时向委托人通报监理情况及工程的有关事宜；</w:t>
      </w:r>
    </w:p>
    <w:p w14:paraId="52B92F6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G．监督检查承包人的施工测量工作；</w:t>
      </w:r>
    </w:p>
    <w:p w14:paraId="30681D3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H．对已完成的施工工序，提出明确的评价意见。重大质量问题的处理方案报委托人确认后执行；</w:t>
      </w:r>
    </w:p>
    <w:p w14:paraId="6010B81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I．根据国家有关验收规程和合同规定，组织隐蔽工程验收和各工序、分项、分部工程及各单项工程验收。审查承包人提交的阶段验收和竣工验收有关资料，参加阶段验收和竣工验收，审查《工程竣工程报告书》，提出整改意见，编写《工程质量评估报告》及整理监理资料；依据合同签发竣工证书，颁发保修合格证书；参与工程移交，同时做好各种资料的收集、整理、归档工作，协助委托人办理竣工验收及备案手续；</w:t>
      </w:r>
    </w:p>
    <w:p w14:paraId="327C34B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J．对进场材料、构配件和设备的规格、品牌、数量、进场时间及质量负有监督责任，严格审核其进场报验资料。具体包括如下工作：</w:t>
      </w:r>
    </w:p>
    <w:p w14:paraId="3073E35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K．结合施工图纸、设计变更及招投标文件等资料，严格核对进场报验资料所列的规格、品牌、数量等，出现实际进场材料与报验清单不一致或报验清单与施工图纸、设计变更及招投标文件等相关资料要求不一致的情况，应及时向委托人汇报，并提出处理意见。</w:t>
      </w:r>
    </w:p>
    <w:p w14:paraId="1DAD947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M．审核用于工程的材料、构配件和设备的出场合格证及检验试验报告等质量证明文件。按照有关工程质量监督管理规定，对进场的材料、构配件和设备见证取样，并责成承包人按规定送有资质的实验室进行检验。</w:t>
      </w:r>
    </w:p>
    <w:p w14:paraId="3483320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N．对验收不合格的工程材料、构配件和设备，监理人员应拒绝签认，并签发不合格通知单，书面通知承包单位或委托人，限期将不合格的工程材料、构配件及设备撤出现场。严防不合格的材料、构件和设备用于工程。</w:t>
      </w:r>
    </w:p>
    <w:p w14:paraId="4038B43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6）监督、检查承包人安全施工、文明施工。</w:t>
      </w:r>
    </w:p>
    <w:p w14:paraId="50CCE1D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（4）投资控制</w:t>
      </w:r>
    </w:p>
    <w:p w14:paraId="3A8D08C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审查承包人提交的计量申请，签发工程计量认证书。审查承包人提交的支付申请，按施工合同规定，签发支付证书，工程结束时，核实最终工程量，审核承包人的施工过程工程结算及最终竣工结算，报委托人批准；</w:t>
      </w:r>
    </w:p>
    <w:p w14:paraId="09BF32D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2）按照合同规定及委托人授权，确定工程变更项目，分析并与各方协商确定变更的工程与费用，发布变更指令；</w:t>
      </w:r>
    </w:p>
    <w:p w14:paraId="35A2978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3）工程承包合同约定的工程价格范围内，工程款支付的审核和签认，未经总监理工程师签字确认，委托人不支付工程款；</w:t>
      </w:r>
    </w:p>
    <w:p w14:paraId="5699C1B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4）办理委托人决定更改、增减工程内容、数量事宜，审理承包人申报的有关工程更改的请求，提出处理意见，并报委托人签认；所有变更必须经委托人书面同意后方能实施。</w:t>
      </w:r>
    </w:p>
    <w:p w14:paraId="40EE40B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（5）安全生产管理监督</w:t>
      </w:r>
    </w:p>
    <w:p w14:paraId="2E09C6C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1）审查施工单位安全生产管理体系；</w:t>
      </w:r>
    </w:p>
    <w:p w14:paraId="3BD1DAA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2）审查施工单位安全生产领导组织机构；</w:t>
      </w:r>
    </w:p>
    <w:p w14:paraId="6EC4C82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3）审查施工单位安全生产管理措施；</w:t>
      </w:r>
    </w:p>
    <w:p w14:paraId="7C5424F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4）检查安全生产管理措施及各种规章制度的执行和落实情况；</w:t>
      </w:r>
    </w:p>
    <w:p w14:paraId="26BD9CC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5）组织有关单位定期进行安全联合检查；</w:t>
      </w:r>
    </w:p>
    <w:p w14:paraId="0B701D9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6）发现安全事故或安全隐患问题及时会同有关各方进行解决；</w:t>
      </w:r>
    </w:p>
    <w:p w14:paraId="734D57D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7）协助处理工程出现的质量事故和安全事故，参与重大质量、安全故故分析和处理。对突然发生的事故，可决定作出紧急措施，并及时向委托人报告；</w:t>
      </w:r>
    </w:p>
    <w:p w14:paraId="7D290B3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8）征得委托人同意，监理人下达工程暂停令，但应当事先向委托人报告。如在紧急情况下未能事先报告时，则应在24小时内向委托人作出书面报告。</w:t>
      </w:r>
    </w:p>
    <w:p w14:paraId="248534F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（6）合同管理</w:t>
      </w:r>
    </w:p>
    <w:p w14:paraId="09809F7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1）协助委托人核实承包人的资质及签订施工总承包合同和设备安装工程等承包合同；</w:t>
      </w:r>
    </w:p>
    <w:p w14:paraId="0015294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全面管理工程承包合同的执行；审查承包人选择的分包单位资质，分包项目及分包金额，并报委托人批准；全面掌握承包人的分包单位，项目负责人，技术负平人基本情况，对不能满意地履行合同的成员提出警告直至逐出工地。</w:t>
      </w:r>
    </w:p>
    <w:p w14:paraId="08FDFC4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3）分析、研究评价承包人可能提出的索赔要求，参与研究并协助做出对索赔的处理意见和决定；</w:t>
      </w:r>
    </w:p>
    <w:p w14:paraId="38C4C7C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4）参与工程合同争议、仲裁等有关问题的处理，提出必要的证据资料，意见和分析报告。</w:t>
      </w:r>
    </w:p>
    <w:p w14:paraId="4E83C78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（7）信息管理及协调工作</w:t>
      </w:r>
    </w:p>
    <w:p w14:paraId="3753200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1）核实并掌握工地的各种情况，详细记录工地与工程有关的所有信息，定期向委托人报告工地情况，重大或重要事项随时向委托人报告；</w:t>
      </w:r>
    </w:p>
    <w:p w14:paraId="2BB2EC4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2）按时提交旬报、月报、年报，包括进度分析、质量控制，投资分析等报告，以及各类专题报告，年终总结和最终监理报告；</w:t>
      </w:r>
    </w:p>
    <w:p w14:paraId="2F6F861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3）及时向委托人抄送监理单位和承包人之间的来往方函；</w:t>
      </w:r>
    </w:p>
    <w:p w14:paraId="63CB28D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4）做好有关工程资料和文件的汇总管理工作，随时按收委托人及政府有关质检部门的督促检查；</w:t>
      </w:r>
    </w:p>
    <w:p w14:paraId="0E4C660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5）督促承包人提交完整的工程竣工验收资料；</w:t>
      </w:r>
    </w:p>
    <w:p w14:paraId="32657A1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6）协调参建单位之间的关系，对工程设计、工程承包合同出现的纠纷和索赔事项提出建议或意见；</w:t>
      </w:r>
    </w:p>
    <w:p w14:paraId="3E75336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2.2监理与相关服务依据</w:t>
      </w:r>
    </w:p>
    <w:p w14:paraId="3569102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2.2.1监理依据包括但不限于：</w:t>
      </w:r>
    </w:p>
    <w:p w14:paraId="6CDC6A9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a国家工程建设的法律、法规、条款及有关政策规定，主管部门批准的建设计划、规划、设计文件。</w:t>
      </w:r>
    </w:p>
    <w:p w14:paraId="0697B8E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b委托人与总承包单位签订的合同或协议。</w:t>
      </w:r>
    </w:p>
    <w:p w14:paraId="68C70C8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c经批准的施工图纸及说明，经图纸会审确定的修改设计通知书。</w:t>
      </w:r>
    </w:p>
    <w:p w14:paraId="3535AF8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d国家和地方现行的建筑工程质量评定标准、设计及施工验收规范。</w:t>
      </w:r>
    </w:p>
    <w:p w14:paraId="10898B2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e当地现场预算定额、取费标准和有关建设管理办法。</w:t>
      </w:r>
    </w:p>
    <w:p w14:paraId="48B1305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f当地建设行政主管部门的有关法规和通知等。</w:t>
      </w:r>
    </w:p>
    <w:p w14:paraId="012BDCC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g委托人发出的指令及与本工程有关的会议纪要和文件。</w:t>
      </w:r>
    </w:p>
    <w:p w14:paraId="183D018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h国家现行的勘察、设计规范和规程、《建筑工程施工及验收规范》、《工程质量检验评定标准》等有关标准。</w:t>
      </w:r>
    </w:p>
    <w:p w14:paraId="7245D1C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i国家及地方政府相关规定。</w:t>
      </w:r>
    </w:p>
    <w:p w14:paraId="579FACB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j该工程的施工设计总承包招投标文件。</w:t>
      </w:r>
    </w:p>
    <w:p w14:paraId="3585BAC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k GB/T19001-2000质量保证标准。</w:t>
      </w:r>
    </w:p>
    <w:p w14:paraId="44F010F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2.3项目监理机构和人员</w:t>
      </w:r>
    </w:p>
    <w:p w14:paraId="110FC8D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2.3.1监理人应组建满足工作需要的项目监理机构，根据项目要求，应针对分期工程配备总监代表，每个分期项目配备不少于一个总监代表；配备必要的检测设备。项目监理机构的主要人员应具有相应的资格条件。</w:t>
      </w:r>
    </w:p>
    <w:p w14:paraId="218FE24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2.3.4更换监理人员的其他情形：经委托人日常考察不合格或不能满足监理工作要求的。</w:t>
      </w:r>
    </w:p>
    <w:p w14:paraId="559D1B7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2.4履行职责</w:t>
      </w:r>
    </w:p>
    <w:p w14:paraId="12EF575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2.4.3对监理人的授权范围：  /  。</w:t>
      </w:r>
    </w:p>
    <w:p w14:paraId="25BE54A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在涉及工程延期  /  天内和（或）金额  /  万元内的变更，监理人不需请示委托人即可向承包人发布变更通知。</w:t>
      </w:r>
    </w:p>
    <w:p w14:paraId="51FA881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2.4.4监理人有权要求承包人调换其人员的限制条件：  / 。</w:t>
      </w:r>
    </w:p>
    <w:p w14:paraId="47F886C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2.5提交报告</w:t>
      </w:r>
    </w:p>
    <w:p w14:paraId="12A5530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监理人应提交报告的种类、时间和份数：</w:t>
      </w:r>
    </w:p>
    <w:p w14:paraId="2477217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监理单位进场前，提供符合甲方要求的监理规划大纲，监理过程中应定期报送监理月报和阶段性工作总结、重大事件报告（报送内容和方式另定）。</w:t>
      </w:r>
    </w:p>
    <w:p w14:paraId="2EB46AE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监理规划：合同签订后7日内，提交3份；</w:t>
      </w:r>
    </w:p>
    <w:p w14:paraId="74FF7B7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监理月报：施工月最后一个工作日，提交3份；</w:t>
      </w:r>
    </w:p>
    <w:p w14:paraId="1A81B2D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监理会议纪要（经参会各方会签）：会议结束后第二个工作日，提交6份；</w:t>
      </w:r>
    </w:p>
    <w:p w14:paraId="0ABD021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其余各项报告种类、时间和份数由双方根据具体情况商定。</w:t>
      </w:r>
    </w:p>
    <w:p w14:paraId="02B0B62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2.7使用委托人的财产</w:t>
      </w:r>
    </w:p>
    <w:p w14:paraId="41EB117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附录B中由委托人无偿提供的房屋、设备的所有权属于：委托人或委托人指定单位。</w:t>
      </w:r>
    </w:p>
    <w:p w14:paraId="4CC3B42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监理人应在本合同终止后15天内移交委托人无偿提供的房屋、设备、移交的时间和方式为：现场清点、移交 。</w:t>
      </w:r>
    </w:p>
    <w:p w14:paraId="55F3DA7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3．委托人义务</w:t>
      </w:r>
    </w:p>
    <w:p w14:paraId="283B1C7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3.4委托人代表</w:t>
      </w:r>
    </w:p>
    <w:p w14:paraId="4C86BA8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委托人代表为：</w:t>
      </w:r>
      <w:r>
        <w:rPr>
          <w:rFonts w:hint="eastAsia" w:ascii="楷体" w:hAnsi="楷体" w:eastAsia="楷体" w:cs="楷体"/>
          <w:color w:val="000000"/>
          <w:sz w:val="24"/>
          <w:szCs w:val="24"/>
          <w:u w:val="single"/>
        </w:rPr>
        <w:t xml:space="preserve">      </w:t>
      </w:r>
    </w:p>
    <w:p w14:paraId="29C20A3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3.5答复</w:t>
      </w:r>
    </w:p>
    <w:p w14:paraId="6018AC0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委托人同意在5个工作日内，对监理人书面提交并要求做出决定的事宜给予书面答复。</w:t>
      </w:r>
    </w:p>
    <w:p w14:paraId="4C9D36A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4．违约责任</w:t>
      </w:r>
    </w:p>
    <w:p w14:paraId="253D223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4.1监理人的违约责任</w:t>
      </w:r>
    </w:p>
    <w:p w14:paraId="14DF972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4.1.1监理人赔偿金额按下列方法确定：</w:t>
      </w:r>
    </w:p>
    <w:p w14:paraId="5AA128A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（1）赔偿金=直接经济损失×20%</w:t>
      </w:r>
    </w:p>
    <w:p w14:paraId="3139B16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（2）工程造价及工程质量的违约责任</w:t>
      </w:r>
    </w:p>
    <w:p w14:paraId="1A588EA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①若建设单位委托的单项工程竣工结算审计单位审计核减价款与监理单位审核价款之比若大于5％（包括5%），超过5%部分的咨询成果费由监理人承担，其费用在支付监理结算款时予以扣除。</w:t>
      </w:r>
    </w:p>
    <w:p w14:paraId="46E1C18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②本工程质量应达到合格。单位工程工程质量验收不合格，监理单位除须承担相关法律法规规定的监理责任外，仍须接受委托人从应付监理酬金中扣减对应单位工程监理酬金作为违约金。</w:t>
      </w:r>
    </w:p>
    <w:p w14:paraId="33884C6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4.2委托人的违约责任</w:t>
      </w:r>
    </w:p>
    <w:p w14:paraId="45B503A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4.2.1委托人逾期付款利息按下列方法确定：无</w:t>
      </w:r>
    </w:p>
    <w:p w14:paraId="4340A4B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5．支付</w:t>
      </w:r>
    </w:p>
    <w:p w14:paraId="2444691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5.1支付货币</w:t>
      </w:r>
    </w:p>
    <w:p w14:paraId="305C2F9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币种为：人民币，比例为： /，汇率为： /。</w:t>
      </w:r>
    </w:p>
    <w:p w14:paraId="41F5556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5.2支付酬金</w:t>
      </w:r>
    </w:p>
    <w:p w14:paraId="5EA75B9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正常工作酬金的支付：</w:t>
      </w:r>
    </w:p>
    <w:p w14:paraId="45E9DA55">
      <w:pPr>
        <w:widowControl/>
        <w:spacing w:line="360" w:lineRule="auto"/>
        <w:ind w:firstLine="480" w:firstLineChars="200"/>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1.合同签订后15日内，采购人支付合同总价款的40%作为预付款；</w:t>
      </w:r>
    </w:p>
    <w:p w14:paraId="0B9D5A3D">
      <w:pPr>
        <w:widowControl/>
        <w:spacing w:line="360" w:lineRule="auto"/>
        <w:ind w:firstLine="480" w:firstLineChars="200"/>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2.工程竣工后15日内，采购人支付合同总价款的30%。</w:t>
      </w:r>
    </w:p>
    <w:p w14:paraId="23451833">
      <w:pPr>
        <w:widowControl/>
        <w:spacing w:line="360" w:lineRule="auto"/>
        <w:ind w:firstLine="480" w:firstLineChars="200"/>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3.经甲方验收且审计完成后，采购人支付至合同价款的100%</w:t>
      </w:r>
    </w:p>
    <w:p w14:paraId="37E74AA8">
      <w:pPr>
        <w:widowControl/>
        <w:spacing w:line="360" w:lineRule="auto"/>
        <w:ind w:firstLine="480" w:firstLineChars="200"/>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注：由甲方负责结算，付款前乙方向甲方开具全额发票。</w:t>
      </w:r>
    </w:p>
    <w:p w14:paraId="0C7038F7">
      <w:pPr>
        <w:widowControl/>
        <w:spacing w:line="360" w:lineRule="auto"/>
        <w:ind w:firstLine="480" w:firstLineChars="200"/>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如本项目延期，其中因项目暂停导致的延期，暂停时间不计监理费；如本项目工期出现延误，监理人无权主张相关费用。</w:t>
      </w:r>
    </w:p>
    <w:p w14:paraId="29F97FE9">
      <w:pPr>
        <w:widowControl/>
        <w:spacing w:line="360" w:lineRule="auto"/>
        <w:ind w:firstLine="480" w:firstLineChars="200"/>
        <w:jc w:val="left"/>
        <w:rPr>
          <w:rFonts w:hint="eastAsia" w:ascii="楷体" w:hAnsi="楷体" w:eastAsia="楷体" w:cs="楷体"/>
          <w:color w:val="000000"/>
          <w:sz w:val="24"/>
          <w:szCs w:val="24"/>
          <w:highlight w:val="none"/>
        </w:rPr>
      </w:pPr>
      <w:r>
        <w:rPr>
          <w:rFonts w:hint="eastAsia" w:ascii="楷体" w:hAnsi="楷体" w:eastAsia="楷体" w:cs="楷体"/>
          <w:color w:val="000000"/>
          <w:sz w:val="24"/>
          <w:szCs w:val="24"/>
          <w:highlight w:val="none"/>
        </w:rPr>
        <w:t>其它非因监理人原因发生的额外工作，增加的监理费由委托人承担。</w:t>
      </w:r>
    </w:p>
    <w:p w14:paraId="7947810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6．合同生效、变更、暂停、解除与终止</w:t>
      </w:r>
    </w:p>
    <w:p w14:paraId="72A5C8F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6.1生效</w:t>
      </w:r>
    </w:p>
    <w:p w14:paraId="077166C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本合同生效条件：双方签字（章）、加盖单位公章 。</w:t>
      </w:r>
    </w:p>
    <w:p w14:paraId="61EA79D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6.2变更</w:t>
      </w:r>
    </w:p>
    <w:p w14:paraId="40EAB14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6.2.2除不可抗力外，因非监理人原因导致本合同期限延长时：延时和附加工作酬金包含在报价中。</w:t>
      </w:r>
    </w:p>
    <w:p w14:paraId="46ADE8F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6.2.3附加工作酬金按下列方法确定；</w:t>
      </w:r>
    </w:p>
    <w:p w14:paraId="30011A0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延时及附加工作酬金全部包含在投标报价中。</w:t>
      </w:r>
    </w:p>
    <w:p w14:paraId="51A4F5C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6.2.4因工程规模、监理范围的变化导致监理人的正常工作量减少时，按减少工作量的比例从协议书约定的正常工作酬金中扣减相同比例的酬金。</w:t>
      </w:r>
    </w:p>
    <w:p w14:paraId="7D6609A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7．争议解决</w:t>
      </w:r>
    </w:p>
    <w:p w14:paraId="09AFCA9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7.1调解</w:t>
      </w:r>
    </w:p>
    <w:p w14:paraId="1A45376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本合同争议进行调解时，可提交西安仲裁委员会进行调解。</w:t>
      </w:r>
    </w:p>
    <w:p w14:paraId="74BF6AD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7.2钟裁或诉讼</w:t>
      </w:r>
    </w:p>
    <w:p w14:paraId="1360951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合同争议的最终解决方式为下列第（</w:t>
      </w:r>
      <w:r>
        <w:rPr>
          <w:rFonts w:hint="eastAsia" w:ascii="楷体" w:hAnsi="楷体" w:cs="楷体"/>
          <w:color w:val="000000"/>
          <w:sz w:val="24"/>
          <w:szCs w:val="24"/>
          <w:lang w:val="en-US" w:eastAsia="zh-CN"/>
        </w:rPr>
        <w:t>1</w:t>
      </w:r>
      <w:r>
        <w:rPr>
          <w:rFonts w:hint="eastAsia" w:ascii="楷体" w:hAnsi="楷体" w:eastAsia="楷体" w:cs="楷体"/>
          <w:color w:val="000000"/>
          <w:sz w:val="24"/>
          <w:szCs w:val="24"/>
        </w:rPr>
        <w:t>）种方式：</w:t>
      </w:r>
    </w:p>
    <w:p w14:paraId="6CDAC87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（1）提请（西安）仲裁委员会进行仲裁。</w:t>
      </w:r>
    </w:p>
    <w:p w14:paraId="0D1DCC2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（2）向工程所在地人民法院提起诉讼。</w:t>
      </w:r>
    </w:p>
    <w:p w14:paraId="0C3825A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8．其他</w:t>
      </w:r>
    </w:p>
    <w:p w14:paraId="377A87C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8.1检测费用</w:t>
      </w:r>
    </w:p>
    <w:p w14:paraId="3D9B59F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委托人应在检测工作完成后  / 天内支付检测费用。</w:t>
      </w:r>
    </w:p>
    <w:p w14:paraId="6299B24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8.2咨询费用</w:t>
      </w:r>
    </w:p>
    <w:p w14:paraId="67326A4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委托人应在检测工作完成后  30 天内支付咨询费用。</w:t>
      </w:r>
    </w:p>
    <w:p w14:paraId="5B7129A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8.3奖励</w:t>
      </w:r>
    </w:p>
    <w:p w14:paraId="69191ED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合理化建议的奖励金额按下列方法确定为：</w:t>
      </w:r>
    </w:p>
    <w:p w14:paraId="2D3B12A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奖励金额=工程投资节省额×奖励金额的比率：</w:t>
      </w:r>
    </w:p>
    <w:p w14:paraId="4FC4D1B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奖励金额的比率为无。</w:t>
      </w:r>
    </w:p>
    <w:p w14:paraId="1D0FB5A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8.4保密</w:t>
      </w:r>
    </w:p>
    <w:p w14:paraId="2547F89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委托人申明的保密事项的期限：与委托人及工程相关有关信息应永久保密。</w:t>
      </w:r>
    </w:p>
    <w:p w14:paraId="1588B76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监理人申明的保密事项和期限：与监理人有关信息应永久保密。</w:t>
      </w:r>
    </w:p>
    <w:p w14:paraId="063A539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第三方申明的保密事项和期限：保守各方的相关商业机密或企业信息。</w:t>
      </w:r>
    </w:p>
    <w:p w14:paraId="4FEAD50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8.5著作权</w:t>
      </w:r>
    </w:p>
    <w:p w14:paraId="618DBEF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监理人在本合同履行期间及本合同终止后两年内出版涉及本工程的有关监理与相关服务的资料的限制条件：与本工程有关内容须经委托人同意后方可发表。</w:t>
      </w:r>
    </w:p>
    <w:p w14:paraId="68ADC55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9．补充条款</w:t>
      </w:r>
    </w:p>
    <w:p w14:paraId="02FA2EF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本次投标的主要监理人员名单及相应学历、从业资格证书复印件作为合同附件一。未经委托人同意，监理人不得擅自更换委托人在合同签订时认定的总监理工程师、总监代表及主要监理工程师。如确有特殊原因需要更换时，必须征得委托人同意后方可更换；如监理人未征得委托人同意随意更换，每人/次委托人有权扣除监理人5至10万元监理酬金作为违约金；</w:t>
      </w:r>
    </w:p>
    <w:p w14:paraId="3008BA6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监理人调换总监理工程师或监理机构人员调换前须和委托人提出书面报告并附上替代人员的所有证明资料，经委托人书面同意后方可调换（因自身原因主动调换时另应承担相应违约金）：或委托人要求监理单位更换个别监理人员时，监理单位在接到委托人通知后两周内安排更换。否则，委托人将有权延期支付监理酬金并采取扣除违约金直至监理人采取纠正措施；情节严重的，委托人有权单方面解除合同。</w:t>
      </w:r>
    </w:p>
    <w:p w14:paraId="39F635A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9.3本项目分步实施，监理工期应满足本项目总工期要求，具体监理期结束时间以本项目最后一个单项竣工结算完成为止。</w:t>
      </w:r>
    </w:p>
    <w:p w14:paraId="17BB2F6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9.4监理酬金结算按照约定执行。</w:t>
      </w:r>
    </w:p>
    <w:p w14:paraId="425E7F21">
      <w:pPr>
        <w:spacing w:line="360" w:lineRule="auto"/>
        <w:ind w:firstLine="480" w:firstLineChars="200"/>
        <w:rPr>
          <w:rFonts w:hint="eastAsia" w:ascii="楷体" w:hAnsi="楷体" w:eastAsia="楷体" w:cs="楷体"/>
          <w:color w:val="000000"/>
          <w:sz w:val="24"/>
          <w:szCs w:val="24"/>
          <w:highlight w:val="none"/>
        </w:rPr>
      </w:pPr>
      <w:r>
        <w:rPr>
          <w:rFonts w:hint="eastAsia" w:ascii="楷体" w:hAnsi="楷体" w:eastAsia="楷体" w:cs="楷体"/>
          <w:color w:val="000000"/>
          <w:sz w:val="24"/>
          <w:szCs w:val="24"/>
        </w:rPr>
        <w:t>9.5监理人派往本项目的总监理工程师为 ***。总监理工程师应具有同等工作经历三年以上工作经验，监理人应保证除总监理工程师以外，现</w:t>
      </w:r>
      <w:r>
        <w:rPr>
          <w:rFonts w:hint="eastAsia" w:ascii="楷体" w:hAnsi="楷体" w:eastAsia="楷体" w:cs="楷体"/>
          <w:color w:val="000000"/>
          <w:sz w:val="24"/>
          <w:szCs w:val="24"/>
          <w:highlight w:val="none"/>
        </w:rPr>
        <w:t>场至少派驻</w:t>
      </w:r>
      <w:r>
        <w:rPr>
          <w:rFonts w:hint="eastAsia" w:ascii="楷体" w:hAnsi="楷体" w:eastAsia="楷体" w:cs="楷体"/>
          <w:color w:val="000000"/>
          <w:sz w:val="24"/>
          <w:szCs w:val="24"/>
          <w:highlight w:val="none"/>
          <w:u w:val="single"/>
          <w:lang w:val="en-US" w:eastAsia="zh-CN"/>
        </w:rPr>
        <w:t xml:space="preserve">     </w:t>
      </w:r>
      <w:r>
        <w:rPr>
          <w:rFonts w:hint="eastAsia" w:ascii="楷体" w:hAnsi="楷体" w:eastAsia="楷体" w:cs="楷体"/>
          <w:color w:val="000000"/>
          <w:sz w:val="24"/>
          <w:szCs w:val="24"/>
          <w:highlight w:val="none"/>
        </w:rPr>
        <w:t>名专业监理工程师；监理人必须保证总监理工程师全面履行监理人义务，为保证随时联系和沟通，应保持通讯工具24小时畅通。总监理工程师必须常驻现场（驻场时间每周不少于五天），总监外出三天以上需征得委托人同意，在此期间如出现任何监理方面的问题均由总监负责，如月统计少于以上规定，每次（天）扣除违约金2000元/人。</w:t>
      </w:r>
    </w:p>
    <w:p w14:paraId="269A467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highlight w:val="none"/>
        </w:rPr>
        <w:t>监理部人员不得兼职，且现场人数监理人员不得少于</w:t>
      </w:r>
      <w:r>
        <w:rPr>
          <w:rFonts w:hint="eastAsia" w:ascii="楷体" w:hAnsi="楷体" w:eastAsia="楷体" w:cs="楷体"/>
          <w:color w:val="000000"/>
          <w:sz w:val="24"/>
          <w:szCs w:val="24"/>
          <w:highlight w:val="none"/>
          <w:u w:val="single"/>
          <w:lang w:val="en-US" w:eastAsia="zh-CN"/>
        </w:rPr>
        <w:t xml:space="preserve">      </w:t>
      </w:r>
      <w:r>
        <w:rPr>
          <w:rFonts w:hint="eastAsia" w:ascii="楷体" w:hAnsi="楷体" w:eastAsia="楷体" w:cs="楷体"/>
          <w:color w:val="000000"/>
          <w:sz w:val="24"/>
          <w:szCs w:val="24"/>
          <w:highlight w:val="none"/>
        </w:rPr>
        <w:t>人，如总监理工程师（或总监代表）离场需经建设单位代表批准，如有违反，委托人将通报批评并</w:t>
      </w:r>
      <w:r>
        <w:rPr>
          <w:rFonts w:hint="eastAsia" w:ascii="楷体" w:hAnsi="楷体" w:eastAsia="楷体" w:cs="楷体"/>
          <w:color w:val="000000"/>
          <w:sz w:val="24"/>
          <w:szCs w:val="24"/>
        </w:rPr>
        <w:t>每天扣除违约金2000元/人，各专业监理工程师离场1天以内要经过总监理工程师批准，2天或以上的需书面申请并经委托人代表批准，如有违反，委托人将通报批评并每天扣除违约金1000元/人。多次缺勤情节严重的，委托人有权单方面解除合同。</w:t>
      </w:r>
    </w:p>
    <w:p w14:paraId="1592D33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9.6未经委托人同意、监理人自行更换总监理工程师（总代），根据对委托人的影响程度，每次扣除违约金2万元/人。在工程监理工作过程中，若发现现场监理人员有三次不到场，根据对委托人的影响程度，扣除每人次2万元以内的违约金。若监理人未按照委托人要求的时间内及时更换总监理工程师（或总监代表），逾期每日扣除违约金2000元。</w:t>
      </w:r>
    </w:p>
    <w:p w14:paraId="0F7774D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9.7现场监理指令错误或不及时，或不能对承包人虚报或高估冒算不能有效审核，或出现虚假监理资料的，每次扣除违约金0.3-5万元违约金。</w:t>
      </w:r>
    </w:p>
    <w:p w14:paraId="3EFB21E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9.8监理人在工程全过程的旁站监理中，应保证旁站人员及时到位，委托人在不定期检查时若发现，关键部位施工旁站监理不在岗，第一次扣监理酬金5000元，并警告监理人，第二次扣10000元，并在3日内终止合同清除出场，监理人无条件承担相应责任。</w:t>
      </w:r>
    </w:p>
    <w:p w14:paraId="64F633E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9.9总监理工程师严格按照有关验收现场规范的规定对承包人施工过程中交付验收部位的工程质量进行验收；若对工程质量不合格或存在明显缺陷的部位不提出质疑或不责令承包人返工整改而予以验收，则每次扣除5万元违约金。</w:t>
      </w:r>
    </w:p>
    <w:p w14:paraId="58E52A9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9.10监理人应对承包人提交的所有工程资料的真实性、合理性、合法性及时予以确认或提出质疑；若对明显不真实、不合理、不合法的资料不提出质疑且予以确认而上交委托人，则每次扣除2万元违约金。</w:t>
      </w:r>
    </w:p>
    <w:p w14:paraId="10C2D52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9.11监理人在工程完成相应内容并收齐有关资料后的十个工作日内，必须完成质量验收时应由监理单位填写各种资料，交委托人归档，否则，每迟交一天，扣除1000元违约金。</w:t>
      </w:r>
    </w:p>
    <w:p w14:paraId="4C899D0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9.12监理单位未履行监理职责，不能及时发现或制止施工单位违约行为、或未及时向建设单位如实报告相关情况，经工程建设行政主管部门、建设单位查实，根据影响程度，委托人可扣除1-3万元/次的违约金。</w:t>
      </w:r>
    </w:p>
    <w:p w14:paraId="5312485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9.13本委托监理工程不得转让，一旦发现立即终止合同并清除出场。</w:t>
      </w:r>
    </w:p>
    <w:p w14:paraId="43B47E8F">
      <w:pPr>
        <w:spacing w:line="360" w:lineRule="auto"/>
        <w:ind w:firstLine="480" w:firstLineChars="200"/>
        <w:rPr>
          <w:rFonts w:hint="eastAsia" w:ascii="楷体" w:hAnsi="楷体" w:eastAsia="楷体" w:cs="楷体"/>
          <w:color w:val="000000"/>
          <w:sz w:val="24"/>
          <w:szCs w:val="24"/>
          <w:highlight w:val="none"/>
        </w:rPr>
      </w:pPr>
      <w:r>
        <w:rPr>
          <w:rFonts w:hint="eastAsia" w:ascii="楷体" w:hAnsi="楷体" w:eastAsia="楷体" w:cs="楷体"/>
          <w:color w:val="000000"/>
          <w:sz w:val="24"/>
          <w:szCs w:val="24"/>
        </w:rPr>
        <w:t>9.14在保证工程质量的措施和手段上，要有相应的巡视记录和检测的设备。</w:t>
      </w:r>
    </w:p>
    <w:p w14:paraId="498CCC17">
      <w:pPr>
        <w:spacing w:line="360" w:lineRule="auto"/>
        <w:ind w:firstLine="480" w:firstLineChars="200"/>
        <w:rPr>
          <w:rFonts w:hint="eastAsia" w:ascii="楷体" w:hAnsi="楷体" w:eastAsia="楷体" w:cs="楷体"/>
          <w:color w:val="000000"/>
          <w:sz w:val="24"/>
          <w:szCs w:val="24"/>
          <w:highlight w:val="none"/>
          <w:u w:val="none"/>
          <w:lang w:val="en-US" w:eastAsia="zh-CN"/>
        </w:rPr>
      </w:pPr>
      <w:r>
        <w:rPr>
          <w:rFonts w:hint="eastAsia" w:ascii="楷体" w:hAnsi="楷体" w:eastAsia="楷体" w:cs="楷体"/>
          <w:color w:val="000000"/>
          <w:sz w:val="24"/>
          <w:szCs w:val="24"/>
          <w:highlight w:val="none"/>
        </w:rPr>
        <w:t>9.15监理人必须依据投标文件，配备齐全本工程所涉及的所有专业的监理人员（包括市政、安装、测量、造价、安全、资料等专业），因本项目为</w:t>
      </w:r>
      <w:r>
        <w:rPr>
          <w:rFonts w:hint="eastAsia" w:ascii="楷体" w:hAnsi="楷体" w:eastAsia="楷体" w:cs="楷体"/>
          <w:color w:val="000000"/>
          <w:sz w:val="24"/>
          <w:szCs w:val="24"/>
          <w:highlight w:val="none"/>
          <w:lang w:val="en-US" w:eastAsia="zh-CN"/>
        </w:rPr>
        <w:t>管网改造</w:t>
      </w:r>
      <w:r>
        <w:rPr>
          <w:rFonts w:hint="eastAsia" w:ascii="楷体" w:hAnsi="楷体" w:eastAsia="楷体" w:cs="楷体"/>
          <w:color w:val="000000"/>
          <w:sz w:val="24"/>
          <w:szCs w:val="24"/>
          <w:highlight w:val="none"/>
        </w:rPr>
        <w:t>项目，必须至少配备</w:t>
      </w:r>
      <w:r>
        <w:rPr>
          <w:rFonts w:hint="eastAsia" w:ascii="楷体" w:hAnsi="楷体" w:eastAsia="楷体" w:cs="楷体"/>
          <w:color w:val="000000"/>
          <w:sz w:val="24"/>
          <w:szCs w:val="24"/>
          <w:highlight w:val="none"/>
          <w:u w:val="single"/>
          <w:lang w:val="en-US" w:eastAsia="zh-CN"/>
        </w:rPr>
        <w:t xml:space="preserve">       </w:t>
      </w:r>
      <w:r>
        <w:rPr>
          <w:rFonts w:hint="eastAsia" w:ascii="楷体" w:hAnsi="楷体" w:eastAsia="楷体" w:cs="楷体"/>
          <w:color w:val="000000"/>
          <w:sz w:val="24"/>
          <w:szCs w:val="24"/>
          <w:highlight w:val="none"/>
          <w:u w:val="none"/>
          <w:lang w:val="en-US" w:eastAsia="zh-CN"/>
        </w:rPr>
        <w:t xml:space="preserve">       </w:t>
      </w:r>
    </w:p>
    <w:p w14:paraId="384DFEEB">
      <w:pPr>
        <w:spacing w:line="360" w:lineRule="auto"/>
        <w:rPr>
          <w:rFonts w:hint="eastAsia" w:ascii="楷体" w:hAnsi="楷体" w:eastAsia="楷体" w:cs="楷体"/>
          <w:color w:val="000000"/>
          <w:sz w:val="24"/>
          <w:szCs w:val="24"/>
        </w:rPr>
      </w:pPr>
      <w:r>
        <w:rPr>
          <w:rFonts w:hint="eastAsia" w:ascii="楷体" w:hAnsi="楷体" w:eastAsia="楷体" w:cs="楷体"/>
          <w:color w:val="000000"/>
          <w:sz w:val="24"/>
          <w:szCs w:val="24"/>
          <w:highlight w:val="none"/>
        </w:rPr>
        <w:t>名专业监理人员，所有专业监理人员必须在整个施工过程中常驻现场，监理人必须保证派</w:t>
      </w:r>
      <w:r>
        <w:rPr>
          <w:rFonts w:hint="eastAsia" w:ascii="楷体" w:hAnsi="楷体" w:eastAsia="楷体" w:cs="楷体"/>
          <w:color w:val="000000"/>
          <w:sz w:val="24"/>
          <w:szCs w:val="24"/>
        </w:rPr>
        <w:t>往本工程的监理人员（包括总监理工程师）不再担任其它工程的监理工作，否则，委托人有权不予支付工程进度款，并视情节单方解除本监理合同，由此造成的一切损失均由监理人承担。</w:t>
      </w:r>
    </w:p>
    <w:p w14:paraId="69BDD3D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9.16监理人必须为进场监理人员办理个人安全保险，否则在施工现场发生的安全责任事故及意外伤害责任由监理人全权负责；导致委托人承担的，委托人有权向监理人追偿。</w:t>
      </w:r>
    </w:p>
    <w:p w14:paraId="0B0C4EC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9.17若监理人不能按时完成监理工作，委托人有权委托其他监理单位协助完成，由此发生的费用从监理服务费中直接扣除，监理服务费不足以扣除的，监理人还应负责补足，监理人对此充分知悉并不持异议。</w:t>
      </w:r>
    </w:p>
    <w:p w14:paraId="7B9D59D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9.18若因监理人审图不周，致使施工单位在施工中造成重大失误而引起工程成本增加，委托人将视具体情况要求监理人向委托人支付1～10万元的违约金，违约金不足以弥补委托人损失的，监理人还应负责补足。</w:t>
      </w:r>
    </w:p>
    <w:p w14:paraId="50F8377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9.19若因监理人工程计量不认真造成月进度款超付现象，根据超付金额的数额，委托人有权要求监理人向委托人支付0.5～2万元的违约金，违约金不足以弥补委托人损失的，监理人还应负责补足。</w:t>
      </w:r>
    </w:p>
    <w:p w14:paraId="079A7CA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9.20经监理人审核的工程结算，在造价咨询机构审核定案后审减额在5%及以上时，超过5%部分的咨询成果费由监理人承担，其费用在支付监理结算款时予以扣除。</w:t>
      </w:r>
    </w:p>
    <w:p w14:paraId="0D83898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9.21监理人必须对进场材料、构配件和设备的规格、品牌、数量和进场时间等严格审核。对出现实际进场材料与报验清单不一致或报验清单与施工图纸、设计变更及招投标文件等相关资料要求不一致的情况，监理人没有及时发现的，监理人应根据具体情况向委托人支付1～10万元的违约金，违约金不足以弥补委托人损失的，监理人应当负责补足。</w:t>
      </w:r>
    </w:p>
    <w:p w14:paraId="61A65CA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9.22若因监理人不认真审核竣工图纸，出现竣工图纸与实际施工内容不相符合的情况，监理人应根据具体情况向委托人支付1～10万元的违约金，违约金不足以弥补委托人损失的，监理人还应负责补足。</w:t>
      </w:r>
    </w:p>
    <w:p w14:paraId="35BC1DF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9.23若监理人在履行监理职责时未尽职尽责而致使工程施工中发生安全事故，除应向委托人支付1～20万元的违约金外，还应自行承担相应的法律责任。</w:t>
      </w:r>
    </w:p>
    <w:p w14:paraId="0D3E6CB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9.24施工前对施工区域现状进行航拍；施工期间对隐蔽工程及重要节点的施工过程进行跟踪拍摄；施工完成后对提升效果进行拍摄。拍摄区域根据施工分期进行编号，各施工区域施工前、过程中和施工完成后的影像资料应对应，便于比对。拍摄的影像资料应根据施工顺序进行拍摄，如未能按照要求进行拍摄，将处以该施工区域工程造价1%的罚款。</w:t>
      </w:r>
    </w:p>
    <w:p w14:paraId="375C2F5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9.25在卫生防疫期间，监理人应采取卫生防疫措施，遵守国家及地方相关规定，总监协助建设单位开展日常检查督促工作，并督促项目监理人员落实疫情防控措施。</w:t>
      </w:r>
    </w:p>
    <w:p w14:paraId="43CD5CE3">
      <w:pPr>
        <w:spacing w:line="360" w:lineRule="auto"/>
        <w:ind w:firstLine="480"/>
        <w:rPr>
          <w:rFonts w:hint="eastAsia" w:ascii="楷体" w:hAnsi="楷体" w:eastAsia="楷体" w:cs="楷体"/>
          <w:color w:val="000000"/>
          <w:sz w:val="24"/>
          <w:szCs w:val="24"/>
        </w:rPr>
      </w:pPr>
      <w:r>
        <w:rPr>
          <w:rFonts w:hint="eastAsia" w:ascii="楷体" w:hAnsi="楷体" w:eastAsia="楷体" w:cs="楷体"/>
          <w:color w:val="000000"/>
          <w:sz w:val="24"/>
          <w:szCs w:val="24"/>
        </w:rPr>
        <w:t>9.26 本合同项下所述委托人损失均包括但不限于第三方索赔、律师费、诉讼费、保全费、公告费等费用。</w:t>
      </w:r>
    </w:p>
    <w:p w14:paraId="720D85C3">
      <w:pPr>
        <w:spacing w:line="360" w:lineRule="auto"/>
        <w:ind w:firstLine="480"/>
        <w:rPr>
          <w:rFonts w:hint="eastAsia" w:ascii="楷体" w:hAnsi="楷体" w:eastAsia="楷体" w:cs="楷体"/>
          <w:color w:val="000000"/>
          <w:sz w:val="24"/>
          <w:szCs w:val="24"/>
        </w:rPr>
      </w:pPr>
      <w:r>
        <w:rPr>
          <w:rFonts w:hint="eastAsia" w:ascii="楷体" w:hAnsi="楷体" w:eastAsia="楷体" w:cs="楷体"/>
          <w:color w:val="000000"/>
          <w:sz w:val="24"/>
          <w:szCs w:val="24"/>
        </w:rPr>
        <w:t>9.27 本合同项下所述委托人应承担的违约金、赔偿金不足以弥补委托人损失时，监理人应弥补委托人全部损失。</w:t>
      </w:r>
    </w:p>
    <w:p w14:paraId="48E4B2B5">
      <w:pPr>
        <w:spacing w:line="360" w:lineRule="auto"/>
        <w:ind w:firstLine="480"/>
        <w:rPr>
          <w:rFonts w:hint="eastAsia" w:ascii="楷体" w:hAnsi="楷体" w:eastAsia="楷体" w:cs="楷体"/>
          <w:color w:val="000000"/>
          <w:sz w:val="24"/>
          <w:szCs w:val="24"/>
        </w:rPr>
      </w:pPr>
      <w:r>
        <w:rPr>
          <w:rFonts w:hint="eastAsia" w:ascii="楷体" w:hAnsi="楷体" w:eastAsia="楷体" w:cs="楷体"/>
          <w:color w:val="000000"/>
          <w:sz w:val="24"/>
          <w:szCs w:val="24"/>
        </w:rPr>
        <w:t>9.28 本合同项下如未对监理人违约责任承担比例/金额作出具体约定，委托人可根据违约情形要求监理人在合同总价1%-20%范围内支付违约金。</w:t>
      </w:r>
    </w:p>
    <w:p w14:paraId="5F35CDF3">
      <w:pPr>
        <w:spacing w:line="360" w:lineRule="auto"/>
        <w:ind w:firstLine="480"/>
        <w:rPr>
          <w:rFonts w:hint="eastAsia" w:ascii="楷体" w:hAnsi="楷体" w:eastAsia="楷体" w:cs="楷体"/>
          <w:color w:val="000000"/>
          <w:sz w:val="24"/>
          <w:szCs w:val="24"/>
        </w:rPr>
      </w:pPr>
      <w:r>
        <w:rPr>
          <w:rFonts w:hint="eastAsia" w:ascii="楷体" w:hAnsi="楷体" w:eastAsia="楷体" w:cs="楷体"/>
          <w:color w:val="000000"/>
          <w:sz w:val="24"/>
          <w:szCs w:val="24"/>
        </w:rPr>
        <w:t>9.29 本合同项下如对同一违约行为作出两种及以上的违约责任约定，在监理人出现该违约行为时，委托人可以赔偿数额最高的方式进行主张，监理人同意并认可。</w:t>
      </w:r>
    </w:p>
    <w:p w14:paraId="38EE8BF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9.30本合同未尽事宜，双方另行协商解决。</w:t>
      </w:r>
    </w:p>
    <w:p w14:paraId="5F1891E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附件1  项目总监委托书</w:t>
      </w:r>
    </w:p>
    <w:p w14:paraId="268A4F0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附件2  建设工程廉政合同</w:t>
      </w:r>
    </w:p>
    <w:p w14:paraId="10F07E4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附件3  安全监理责任合同 </w:t>
      </w:r>
    </w:p>
    <w:p w14:paraId="58BAFF9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附件4  本项目监理人员汇总表</w:t>
      </w:r>
    </w:p>
    <w:p w14:paraId="7B44335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br w:type="page"/>
      </w:r>
      <w:r>
        <w:rPr>
          <w:rFonts w:hint="eastAsia" w:ascii="楷体" w:hAnsi="楷体" w:eastAsia="楷体" w:cs="楷体"/>
          <w:color w:val="000000"/>
          <w:sz w:val="24"/>
          <w:szCs w:val="24"/>
        </w:rPr>
        <w:t>附件1 ：           项目总监委托书</w:t>
      </w:r>
    </w:p>
    <w:p w14:paraId="4A74520A">
      <w:pPr>
        <w:spacing w:line="360" w:lineRule="auto"/>
        <w:ind w:firstLine="480" w:firstLineChars="200"/>
        <w:rPr>
          <w:rFonts w:hint="eastAsia" w:ascii="楷体" w:hAnsi="楷体" w:eastAsia="楷体" w:cs="楷体"/>
          <w:color w:val="000000"/>
          <w:sz w:val="24"/>
          <w:szCs w:val="24"/>
        </w:rPr>
      </w:pPr>
    </w:p>
    <w:p w14:paraId="5D04BC6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致：西安市</w:t>
      </w:r>
      <w:r>
        <w:rPr>
          <w:rFonts w:hint="eastAsia" w:ascii="楷体" w:hAnsi="楷体" w:eastAsia="楷体" w:cs="楷体"/>
          <w:color w:val="000000"/>
          <w:sz w:val="24"/>
          <w:szCs w:val="24"/>
          <w:lang w:val="en-US" w:eastAsia="zh-CN"/>
        </w:rPr>
        <w:t>碑林区城市管理和综合执法局</w:t>
      </w:r>
    </w:p>
    <w:p w14:paraId="6A030D5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根据《2025年西安市碑林区城西北燃气管道等老化更新改造项目监理服务</w:t>
      </w:r>
      <w:r>
        <w:rPr>
          <w:rFonts w:hint="eastAsia" w:ascii="楷体" w:hAnsi="楷体" w:eastAsia="楷体" w:cs="楷体"/>
          <w:color w:val="000000"/>
          <w:sz w:val="24"/>
          <w:szCs w:val="24"/>
          <w:lang w:val="en-US" w:eastAsia="zh-CN"/>
        </w:rPr>
        <w:t>磋商</w:t>
      </w:r>
      <w:r>
        <w:rPr>
          <w:rFonts w:hint="eastAsia" w:ascii="楷体" w:hAnsi="楷体" w:eastAsia="楷体" w:cs="楷体"/>
          <w:color w:val="000000"/>
          <w:sz w:val="24"/>
          <w:szCs w:val="24"/>
        </w:rPr>
        <w:t>文件》的要求，现委托我公司***同志为我公司中标项目2025年西安市碑林区城西北燃气管道等老化更新改造项目监理服务的总监理工程师，并负责处理该工程总监需办理一切监理工作。</w:t>
      </w:r>
    </w:p>
    <w:p w14:paraId="3E2449B8">
      <w:pPr>
        <w:spacing w:line="360" w:lineRule="auto"/>
        <w:ind w:firstLine="480" w:firstLineChars="200"/>
        <w:rPr>
          <w:rFonts w:hint="eastAsia" w:ascii="楷体" w:hAnsi="楷体" w:eastAsia="楷体" w:cs="楷体"/>
          <w:color w:val="000000"/>
          <w:sz w:val="24"/>
          <w:szCs w:val="24"/>
        </w:rPr>
      </w:pPr>
    </w:p>
    <w:p w14:paraId="0EADC2C7">
      <w:pPr>
        <w:spacing w:line="360" w:lineRule="auto"/>
        <w:ind w:firstLine="480" w:firstLineChars="200"/>
        <w:rPr>
          <w:rFonts w:hint="eastAsia" w:ascii="楷体" w:hAnsi="楷体" w:eastAsia="楷体" w:cs="楷体"/>
          <w:color w:val="000000"/>
          <w:sz w:val="24"/>
          <w:szCs w:val="24"/>
        </w:rPr>
      </w:pPr>
    </w:p>
    <w:p w14:paraId="194BB620">
      <w:pPr>
        <w:spacing w:line="360" w:lineRule="auto"/>
        <w:ind w:firstLine="480" w:firstLineChars="200"/>
        <w:rPr>
          <w:rFonts w:hint="eastAsia" w:ascii="楷体" w:hAnsi="楷体" w:eastAsia="楷体" w:cs="楷体"/>
          <w:color w:val="000000"/>
          <w:sz w:val="24"/>
          <w:szCs w:val="24"/>
        </w:rPr>
      </w:pPr>
    </w:p>
    <w:p w14:paraId="10FBF50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委托单位：*****</w:t>
      </w:r>
    </w:p>
    <w:p w14:paraId="2F4414D9">
      <w:pPr>
        <w:spacing w:line="360" w:lineRule="auto"/>
        <w:ind w:firstLine="480" w:firstLineChars="200"/>
        <w:rPr>
          <w:rFonts w:hint="eastAsia" w:ascii="楷体" w:hAnsi="楷体" w:eastAsia="楷体" w:cs="楷体"/>
          <w:color w:val="000000"/>
          <w:sz w:val="24"/>
          <w:szCs w:val="24"/>
        </w:rPr>
      </w:pPr>
    </w:p>
    <w:p w14:paraId="0E41371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委托单位法人代表：           （签字）</w:t>
      </w:r>
    </w:p>
    <w:p w14:paraId="4E37EF82">
      <w:pPr>
        <w:spacing w:line="360" w:lineRule="auto"/>
        <w:ind w:firstLine="480" w:firstLineChars="200"/>
        <w:rPr>
          <w:rFonts w:hint="eastAsia" w:ascii="楷体" w:hAnsi="楷体" w:eastAsia="楷体" w:cs="楷体"/>
          <w:color w:val="000000"/>
          <w:sz w:val="24"/>
          <w:szCs w:val="24"/>
        </w:rPr>
      </w:pPr>
    </w:p>
    <w:p w14:paraId="45057CD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被  委  托  人：             （签字）</w:t>
      </w:r>
    </w:p>
    <w:p w14:paraId="3A53FBE0">
      <w:pPr>
        <w:spacing w:line="360" w:lineRule="auto"/>
        <w:ind w:firstLine="480" w:firstLineChars="200"/>
        <w:rPr>
          <w:rFonts w:hint="eastAsia" w:ascii="楷体" w:hAnsi="楷体" w:eastAsia="楷体" w:cs="楷体"/>
          <w:color w:val="000000"/>
          <w:sz w:val="24"/>
          <w:szCs w:val="24"/>
        </w:rPr>
      </w:pPr>
    </w:p>
    <w:p w14:paraId="2B2AA8C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日    期：    年  月  日</w:t>
      </w:r>
    </w:p>
    <w:p w14:paraId="05866ED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br w:type="page"/>
      </w:r>
      <w:r>
        <w:rPr>
          <w:rFonts w:hint="eastAsia" w:ascii="楷体" w:hAnsi="楷体" w:eastAsia="楷体" w:cs="楷体"/>
          <w:color w:val="000000"/>
          <w:sz w:val="24"/>
          <w:szCs w:val="24"/>
        </w:rPr>
        <w:t>附件2 ：       建设工程廉政合同</w:t>
      </w:r>
    </w:p>
    <w:p w14:paraId="401039F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根据有关工程建设、廉政建设的条规，为做好工程建设中的党风廉政建设，保证工程建设高效优质，保证建设资金的安全和有效使用以及投资效益，业主 </w:t>
      </w:r>
      <w:r>
        <w:rPr>
          <w:rFonts w:hint="eastAsia" w:ascii="楷体" w:hAnsi="楷体" w:eastAsia="楷体" w:cs="楷体"/>
          <w:color w:val="000000"/>
          <w:sz w:val="24"/>
          <w:szCs w:val="24"/>
          <w:lang w:val="en-US" w:eastAsia="zh-CN"/>
        </w:rPr>
        <w:t>西安市碑林区城市管理和综合执法局</w:t>
      </w:r>
      <w:r>
        <w:rPr>
          <w:rFonts w:hint="eastAsia" w:ascii="楷体" w:hAnsi="楷体" w:eastAsia="楷体" w:cs="楷体"/>
          <w:color w:val="000000"/>
          <w:sz w:val="24"/>
          <w:szCs w:val="24"/>
        </w:rPr>
        <w:t xml:space="preserve"> （以下称甲方）与监理单位*****（以下称乙方）特订立如下合同。</w:t>
      </w:r>
    </w:p>
    <w:p w14:paraId="3FEFEE3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第一条  甲乙双方的权利和义务</w:t>
      </w:r>
    </w:p>
    <w:p w14:paraId="73E458A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（一）严格遵守党和国家有关法律法规及交通部的有关廉政规定。</w:t>
      </w:r>
    </w:p>
    <w:p w14:paraId="2617E8D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（二）严格执行2025年西安市碑林区城西北燃气管道等老化更新改造项目监理服务</w:t>
      </w:r>
      <w:r>
        <w:rPr>
          <w:rFonts w:hint="eastAsia" w:ascii="楷体" w:hAnsi="楷体" w:eastAsia="楷体" w:cs="楷体"/>
          <w:color w:val="000000"/>
          <w:kern w:val="2"/>
          <w:sz w:val="24"/>
          <w:szCs w:val="24"/>
          <w:lang w:val="en-US" w:eastAsia="zh-CN" w:bidi="ar-SA"/>
        </w:rPr>
        <w:t>监理</w:t>
      </w:r>
      <w:r>
        <w:rPr>
          <w:rFonts w:hint="eastAsia" w:ascii="楷体" w:hAnsi="楷体" w:eastAsia="楷体" w:cs="楷体"/>
          <w:color w:val="000000"/>
          <w:sz w:val="24"/>
          <w:szCs w:val="24"/>
        </w:rPr>
        <w:t>合同文件，自觉按合同办事。</w:t>
      </w:r>
    </w:p>
    <w:p w14:paraId="59D57C5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（三）双方的业务活动坚持公开、公正、诚信、透明的原则(除法律认定的商业秘密和合同文件另有规定之外)，不得损害国家和集体利益，违反工程建设管理规章制度。</w:t>
      </w:r>
    </w:p>
    <w:p w14:paraId="097DE60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（四）建立健全廉政制度，开展廉政教育，设立廉政告示牌，公布举报电话，监督并认真查处违法违纪行为。</w:t>
      </w:r>
    </w:p>
    <w:p w14:paraId="0481482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（五）发现对方在业务活动中有违反廉政规定的行为，有及时提醒对方纠正的权利和义务。</w:t>
      </w:r>
    </w:p>
    <w:p w14:paraId="1CE06B0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（六）发现对方严重违反本合同义务条款的行为，有向其上级有关部门举报、建议给予处理并要求告知处理结果的权利。</w:t>
      </w:r>
    </w:p>
    <w:p w14:paraId="26369A4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第二条  甲方的义务</w:t>
      </w:r>
    </w:p>
    <w:p w14:paraId="2A90333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（一）甲方及其工作人员不得索要或接受乙方的礼金、有价证券和贵重物品，不得在乙方报销任何应由甲方或个人支付的费用。</w:t>
      </w:r>
    </w:p>
    <w:p w14:paraId="71F796D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（二）甲方工作人员不得参加乙方安排的高消费宴请和娱乐活动；不得接受乙方提供的通讯工具、交通工具和高档办公用品。</w:t>
      </w:r>
    </w:p>
    <w:p w14:paraId="6ECDB6F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（三）甲方及其工作人员不得要求或者接受乙方为其住房装修、婚丧嫁娶活动、配偶子女的工作安排以及出国出境、旅游等提供方便。</w:t>
      </w:r>
    </w:p>
    <w:p w14:paraId="0F88D5D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（四）甲方工作人员的配偶、子女及亲属不得从事与甲方工程有关的监理分包项目。</w:t>
      </w:r>
    </w:p>
    <w:p w14:paraId="3E943001">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第三条  乙方义务</w:t>
      </w:r>
    </w:p>
    <w:p w14:paraId="2079FDE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（一）乙方不得以任何理由向甲方及其工作人员馈赠礼金、有价证券、贵重礼品。</w:t>
      </w:r>
    </w:p>
    <w:p w14:paraId="05166FF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（二）乙方不得以任何名义为甲方及其工作人员报销应由甲方单位或个人支付的任何费用。</w:t>
      </w:r>
    </w:p>
    <w:p w14:paraId="37459CA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（三）乙方不得以任何理由安排甲方工作人员参加高消费宴请及娱乐活动。</w:t>
      </w:r>
    </w:p>
    <w:p w14:paraId="0D2A90C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（四）乙方不得为甲方单位和个人购置或提供通讯工具、交通工具和高档办公用品等。</w:t>
      </w:r>
    </w:p>
    <w:p w14:paraId="574BC66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（五）乙方及其工作人员不得索取或接受施工单位的礼金、有价证券和贵重物品，不得在施工单位报销任何应由乙方或个人支付的费用。</w:t>
      </w:r>
    </w:p>
    <w:p w14:paraId="104EDD7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（六）乙方及其工作人员不得要求和接受施工单位为其住房装修、婚丧嫁娶活动、配偶子女的工作安排以及出国出境、旅游等提供方便。</w:t>
      </w:r>
    </w:p>
    <w:p w14:paraId="54EBD39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（七）乙方及其工作人员不得参与施工单位安排的高消费宴请和娱乐活动；不得接受施工单位提供的通讯工具、交通工具和高档办公用品。</w:t>
      </w:r>
    </w:p>
    <w:p w14:paraId="5B1AE9F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第四条  违约责任</w:t>
      </w:r>
    </w:p>
    <w:p w14:paraId="02C711F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（一）甲方及其工作人员违反本合同第一、二条，按管理权限，依据有关规定给予党纪、政纪或组织处理；涉嫌犯罪的，移交司法机关追究刑事责任；给乙方单位造成经济损失的，应予以赔偿。</w:t>
      </w:r>
    </w:p>
    <w:p w14:paraId="61E6CB9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二）乙方及其工作人员违反本合同第一、三条，按管理权限，依据有关规定，给予党纪、政纪或组织处理；给甲方单位造成经济损失的，应予以赔偿；情节严重的，甲方建议工程建设主管部门给予乙方一至三年内不得进入其主管的交通工程建设市场的处罚。</w:t>
      </w:r>
    </w:p>
    <w:p w14:paraId="7D01FCC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第五条  双方约定</w:t>
      </w:r>
    </w:p>
    <w:p w14:paraId="2C34631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本合同由双方或双方上级单位的纪检监察机关负责监督执行。由甲方或甲方上级单位的纪检监察机关约请乙方或乙方上级单位纪检监察机关对本合同执行情况进行检查；提出在本合同规定范围内的裁定意见。</w:t>
      </w:r>
    </w:p>
    <w:p w14:paraId="7696E34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第六条  本合同有效期</w:t>
      </w:r>
    </w:p>
    <w:p w14:paraId="521C3DF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本合同有效期为甲乙双方签署之日起至该工程项目竣工验收后止。</w:t>
      </w:r>
    </w:p>
    <w:p w14:paraId="48A3366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第七条  本合同一式捌份，甲、乙双方各执肆份。</w:t>
      </w:r>
    </w:p>
    <w:tbl>
      <w:tblPr>
        <w:tblStyle w:val="5"/>
        <w:tblW w:w="9879" w:type="dxa"/>
        <w:tblInd w:w="-252" w:type="dxa"/>
        <w:tblLayout w:type="fixed"/>
        <w:tblCellMar>
          <w:top w:w="0" w:type="dxa"/>
          <w:left w:w="108" w:type="dxa"/>
          <w:bottom w:w="0" w:type="dxa"/>
          <w:right w:w="108" w:type="dxa"/>
        </w:tblCellMar>
      </w:tblPr>
      <w:tblGrid>
        <w:gridCol w:w="4916"/>
        <w:gridCol w:w="4963"/>
      </w:tblGrid>
      <w:tr w14:paraId="3C3A567D">
        <w:tblPrEx>
          <w:tblCellMar>
            <w:top w:w="0" w:type="dxa"/>
            <w:left w:w="108" w:type="dxa"/>
            <w:bottom w:w="0" w:type="dxa"/>
            <w:right w:w="108" w:type="dxa"/>
          </w:tblCellMar>
        </w:tblPrEx>
        <w:tc>
          <w:tcPr>
            <w:tcW w:w="4916" w:type="dxa"/>
          </w:tcPr>
          <w:p w14:paraId="381ABD9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甲方：</w:t>
            </w:r>
          </w:p>
          <w:p w14:paraId="648A860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法定代表人或</w:t>
            </w:r>
          </w:p>
          <w:p w14:paraId="09C1EF6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其授权的代理人： （签字） </w:t>
            </w:r>
          </w:p>
          <w:p w14:paraId="605CDA92">
            <w:pPr>
              <w:spacing w:line="360" w:lineRule="auto"/>
              <w:ind w:firstLine="480" w:firstLineChars="200"/>
              <w:rPr>
                <w:rFonts w:hint="eastAsia" w:ascii="楷体" w:hAnsi="楷体" w:eastAsia="楷体" w:cs="楷体"/>
                <w:color w:val="000000"/>
                <w:sz w:val="24"/>
                <w:szCs w:val="24"/>
              </w:rPr>
            </w:pPr>
          </w:p>
        </w:tc>
        <w:tc>
          <w:tcPr>
            <w:tcW w:w="4963" w:type="dxa"/>
          </w:tcPr>
          <w:p w14:paraId="604DBC0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乙方： </w:t>
            </w:r>
          </w:p>
          <w:p w14:paraId="353009EC">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法定代表人或</w:t>
            </w:r>
          </w:p>
          <w:p w14:paraId="4B57FF3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其授权的代理人： （签字） </w:t>
            </w:r>
          </w:p>
          <w:p w14:paraId="18CE4B9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签订日期：    年  月  日</w:t>
            </w:r>
          </w:p>
        </w:tc>
      </w:tr>
    </w:tbl>
    <w:p w14:paraId="59A7877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br w:type="page"/>
      </w:r>
      <w:r>
        <w:rPr>
          <w:rFonts w:hint="eastAsia" w:ascii="楷体" w:hAnsi="楷体" w:eastAsia="楷体" w:cs="楷体"/>
          <w:color w:val="000000"/>
          <w:sz w:val="24"/>
          <w:szCs w:val="24"/>
        </w:rPr>
        <w:t>附件3：             安全监理责任合同</w:t>
      </w:r>
    </w:p>
    <w:p w14:paraId="0142B8F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根据国务院《建设工程安全生产管理条例》，为在本项目工程监理服务合同的实施过程中切实搞好本工程的安全生产管理工作，业主</w:t>
      </w:r>
      <w:r>
        <w:rPr>
          <w:rFonts w:hint="eastAsia" w:ascii="楷体" w:hAnsi="楷体" w:eastAsia="楷体" w:cs="楷体"/>
          <w:color w:val="000000"/>
          <w:sz w:val="24"/>
          <w:szCs w:val="24"/>
          <w:lang w:val="en-US" w:eastAsia="zh-CN"/>
        </w:rPr>
        <w:t>西安市碑林区城市管理和综合执法局</w:t>
      </w:r>
      <w:r>
        <w:rPr>
          <w:rFonts w:hint="eastAsia" w:ascii="楷体" w:hAnsi="楷体" w:eastAsia="楷体" w:cs="楷体"/>
          <w:color w:val="000000"/>
          <w:sz w:val="24"/>
          <w:szCs w:val="24"/>
        </w:rPr>
        <w:t>（以下简称“甲方”）与监理单位  *****（以下简称“乙方”）签订如下安全监理责任合同：</w:t>
      </w:r>
    </w:p>
    <w:p w14:paraId="0692E65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一、甲方职责</w:t>
      </w:r>
    </w:p>
    <w:p w14:paraId="6E55F19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1．严格遵守国家有关安全生产的法律法规，支持乙方按条例要求对规定的施工安全实施监理。</w:t>
      </w:r>
    </w:p>
    <w:p w14:paraId="7E752C4F">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2．按照“安全第一、预防为主”和坚持“管生产必须管安全”的原则进行安全生产管理，做到生产与安全工作同时计划、布置、检查、总结和评比。</w:t>
      </w:r>
    </w:p>
    <w:p w14:paraId="1E2E9958">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3．重要的安全设施必须坚持与主体工程“三同时”的原则，即：同时设计、审批，同时施工，同时验收，投入使用。</w:t>
      </w:r>
    </w:p>
    <w:p w14:paraId="4F1BF72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4．定期召开安全生产调度会，及时传达中央及地方有关安全生产的精神。</w:t>
      </w:r>
    </w:p>
    <w:p w14:paraId="751825C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5．组织对施工现场的安全生产检查，监督施工单位及时处理发现的各项安全隐患。</w:t>
      </w:r>
    </w:p>
    <w:p w14:paraId="5C1036D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二、乙方职责</w:t>
      </w:r>
    </w:p>
    <w:p w14:paraId="6312DE4B">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1．督促施工单位严格遵守国家有关安全生产的法律法规规定，认真执行工程承包合同中的有关安全要求。</w:t>
      </w:r>
    </w:p>
    <w:p w14:paraId="279451F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2．坚持“安全第一、预防为主”和“管生产必须管安全”的原则，督促施工单位加强安全生产宣传教育，增强全员安全生产意识，建立健全各项安全生产的管理机构和安全生产管理制度，配备专职及兼职安全检查人员，有组织有领导地开展安全生产活动。</w:t>
      </w:r>
    </w:p>
    <w:p w14:paraId="6FE73EF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3. 建立健全安全监理制度，加强安全知识教育培训，明确各岗位监理人员的安全监理职责，增强安全意识。</w:t>
      </w:r>
    </w:p>
    <w:p w14:paraId="01B0BF5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4．在审查</w:t>
      </w:r>
      <w:r>
        <w:rPr>
          <w:rFonts w:hint="eastAsia" w:ascii="楷体" w:hAnsi="楷体" w:eastAsia="楷体" w:cs="楷体"/>
          <w:color w:val="000000"/>
          <w:sz w:val="24"/>
          <w:szCs w:val="24"/>
          <w:lang w:eastAsia="zh-CN"/>
        </w:rPr>
        <w:t>监理大纲</w:t>
      </w:r>
      <w:r>
        <w:rPr>
          <w:rFonts w:hint="eastAsia" w:ascii="楷体" w:hAnsi="楷体" w:eastAsia="楷体" w:cs="楷体"/>
          <w:color w:val="000000"/>
          <w:sz w:val="24"/>
          <w:szCs w:val="24"/>
        </w:rPr>
        <w:t>的同时，要同步审查</w:t>
      </w:r>
      <w:r>
        <w:rPr>
          <w:rFonts w:hint="eastAsia" w:ascii="楷体" w:hAnsi="楷体" w:eastAsia="楷体" w:cs="楷体"/>
          <w:color w:val="000000"/>
          <w:sz w:val="24"/>
          <w:szCs w:val="24"/>
          <w:lang w:eastAsia="zh-CN"/>
        </w:rPr>
        <w:t>监理大纲</w:t>
      </w:r>
      <w:r>
        <w:rPr>
          <w:rFonts w:hint="eastAsia" w:ascii="楷体" w:hAnsi="楷体" w:eastAsia="楷体" w:cs="楷体"/>
          <w:color w:val="000000"/>
          <w:sz w:val="24"/>
          <w:szCs w:val="24"/>
        </w:rPr>
        <w:t>中的安全技术措施，审查专项施工方案是否符合工程建设强制性标准。</w:t>
      </w:r>
    </w:p>
    <w:p w14:paraId="6B966C5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5．在实施监理过程中，发现存在安全事故隐患的，应立即要求施工单位整改；情况严重的，应立即要求施工单位停止施工，并及时报告建设单位。施工单位拒不整改或不停止施工的，乙方应及时向有关主管部门报告。</w:t>
      </w:r>
    </w:p>
    <w:p w14:paraId="54EC153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6．乙方及其监理工程师应当按照法律、法规和工程建设强制性标准实施监理，并对建设工程安全生产承担监理责任。</w:t>
      </w:r>
    </w:p>
    <w:p w14:paraId="4310ECAA">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7．乙方应督促施工单位按照本工程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292FA87E">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三、违约责任</w:t>
      </w:r>
    </w:p>
    <w:p w14:paraId="224D0D6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如因甲方或乙方违约造成安全事故，将依法追究责任。</w:t>
      </w:r>
    </w:p>
    <w:p w14:paraId="556E67F4">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四、其他</w:t>
      </w:r>
    </w:p>
    <w:p w14:paraId="4212868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本合同由双方法定代表人或其授权的代理人签署并加盖公章后生效，全部工程竣工验收后终止。</w:t>
      </w:r>
    </w:p>
    <w:p w14:paraId="5DBE433E">
      <w:pPr>
        <w:spacing w:line="360" w:lineRule="auto"/>
        <w:ind w:firstLine="480" w:firstLineChars="200"/>
        <w:rPr>
          <w:rFonts w:hint="eastAsia" w:ascii="楷体" w:hAnsi="楷体" w:eastAsia="楷体" w:cs="楷体"/>
          <w:color w:val="000000"/>
          <w:sz w:val="24"/>
          <w:szCs w:val="24"/>
        </w:rPr>
      </w:pPr>
    </w:p>
    <w:tbl>
      <w:tblPr>
        <w:tblStyle w:val="5"/>
        <w:tblW w:w="9776" w:type="dxa"/>
        <w:tblInd w:w="-252" w:type="dxa"/>
        <w:tblLayout w:type="fixed"/>
        <w:tblCellMar>
          <w:top w:w="0" w:type="dxa"/>
          <w:left w:w="108" w:type="dxa"/>
          <w:bottom w:w="0" w:type="dxa"/>
          <w:right w:w="108" w:type="dxa"/>
        </w:tblCellMar>
      </w:tblPr>
      <w:tblGrid>
        <w:gridCol w:w="4680"/>
        <w:gridCol w:w="5096"/>
      </w:tblGrid>
      <w:tr w14:paraId="024488C8">
        <w:tblPrEx>
          <w:tblCellMar>
            <w:top w:w="0" w:type="dxa"/>
            <w:left w:w="108" w:type="dxa"/>
            <w:bottom w:w="0" w:type="dxa"/>
            <w:right w:w="108" w:type="dxa"/>
          </w:tblCellMar>
        </w:tblPrEx>
        <w:tc>
          <w:tcPr>
            <w:tcW w:w="4680" w:type="dxa"/>
          </w:tcPr>
          <w:p w14:paraId="74E33E6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甲方： </w:t>
            </w:r>
          </w:p>
          <w:p w14:paraId="70BC74F6">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法定代表人或</w:t>
            </w:r>
          </w:p>
          <w:p w14:paraId="67351535">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其授权的代理人： </w:t>
            </w:r>
          </w:p>
          <w:p w14:paraId="29A3C4A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地址：</w:t>
            </w:r>
          </w:p>
          <w:p w14:paraId="7E303B23">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电话：</w:t>
            </w:r>
          </w:p>
          <w:p w14:paraId="40604A8B">
            <w:pPr>
              <w:spacing w:line="360" w:lineRule="auto"/>
              <w:ind w:firstLine="480" w:firstLineChars="200"/>
              <w:rPr>
                <w:rFonts w:hint="eastAsia" w:ascii="楷体" w:hAnsi="楷体" w:eastAsia="楷体" w:cs="楷体"/>
                <w:color w:val="000000"/>
                <w:sz w:val="24"/>
                <w:szCs w:val="24"/>
              </w:rPr>
            </w:pPr>
          </w:p>
        </w:tc>
        <w:tc>
          <w:tcPr>
            <w:tcW w:w="5096" w:type="dxa"/>
          </w:tcPr>
          <w:p w14:paraId="7A5D8D7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乙方：  </w:t>
            </w:r>
          </w:p>
          <w:p w14:paraId="42ADE9A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法定代表人或</w:t>
            </w:r>
          </w:p>
          <w:p w14:paraId="207BABC7">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 xml:space="preserve">其授权的代理人：    </w:t>
            </w:r>
          </w:p>
          <w:p w14:paraId="3D904E90">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地址：</w:t>
            </w:r>
          </w:p>
          <w:p w14:paraId="5B149572">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电话：</w:t>
            </w:r>
          </w:p>
          <w:p w14:paraId="755C0E9D">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日期：    年  月  日</w:t>
            </w:r>
          </w:p>
        </w:tc>
      </w:tr>
    </w:tbl>
    <w:p w14:paraId="10E6D7A5">
      <w:pPr>
        <w:spacing w:line="360" w:lineRule="auto"/>
        <w:ind w:firstLine="480" w:firstLineChars="200"/>
        <w:rPr>
          <w:rFonts w:hint="eastAsia" w:ascii="楷体" w:hAnsi="楷体" w:eastAsia="楷体" w:cs="楷体"/>
          <w:color w:val="000000"/>
          <w:sz w:val="24"/>
          <w:szCs w:val="24"/>
        </w:rPr>
        <w:sectPr>
          <w:pgSz w:w="11906" w:h="16838"/>
          <w:pgMar w:top="1440" w:right="1800" w:bottom="1276" w:left="1800" w:header="851" w:footer="684" w:gutter="0"/>
          <w:pgNumType w:fmt="decimal"/>
          <w:cols w:space="720" w:num="1"/>
          <w:docGrid w:type="lines" w:linePitch="312" w:charSpace="0"/>
        </w:sectPr>
      </w:pPr>
    </w:p>
    <w:p w14:paraId="0D7AC6F9">
      <w:pPr>
        <w:spacing w:line="360" w:lineRule="auto"/>
        <w:ind w:firstLine="480" w:firstLineChars="200"/>
        <w:rPr>
          <w:rFonts w:hint="eastAsia" w:ascii="楷体" w:hAnsi="楷体" w:eastAsia="楷体" w:cs="楷体"/>
          <w:color w:val="000000"/>
          <w:sz w:val="24"/>
          <w:szCs w:val="24"/>
        </w:rPr>
      </w:pPr>
      <w:r>
        <w:rPr>
          <w:rFonts w:hint="eastAsia" w:ascii="楷体" w:hAnsi="楷体" w:eastAsia="楷体" w:cs="楷体"/>
          <w:color w:val="000000"/>
          <w:sz w:val="24"/>
          <w:szCs w:val="24"/>
        </w:rPr>
        <w:t>附件4               本项目监理人员汇总表</w:t>
      </w:r>
    </w:p>
    <w:p w14:paraId="093189F2">
      <w:pPr>
        <w:spacing w:line="360" w:lineRule="auto"/>
        <w:ind w:firstLine="480" w:firstLineChars="200"/>
        <w:rPr>
          <w:rFonts w:hint="eastAsia" w:ascii="楷体" w:hAnsi="楷体" w:eastAsia="楷体" w:cs="楷体"/>
          <w:color w:val="000000"/>
          <w:sz w:val="24"/>
          <w:szCs w:val="24"/>
        </w:rPr>
      </w:pPr>
    </w:p>
    <w:tbl>
      <w:tblPr>
        <w:tblStyle w:val="6"/>
        <w:tblW w:w="9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1826"/>
        <w:gridCol w:w="1559"/>
        <w:gridCol w:w="2410"/>
        <w:gridCol w:w="2729"/>
      </w:tblGrid>
      <w:tr w14:paraId="1F1DF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748" w:type="dxa"/>
            <w:vAlign w:val="center"/>
          </w:tcPr>
          <w:p w14:paraId="15149F35">
            <w:pPr>
              <w:spacing w:line="360" w:lineRule="auto"/>
              <w:ind w:left="0" w:leftChars="0" w:firstLine="0" w:firstLineChars="0"/>
              <w:jc w:val="both"/>
              <w:rPr>
                <w:rFonts w:hint="eastAsia" w:ascii="楷体" w:hAnsi="楷体" w:eastAsia="楷体" w:cs="楷体"/>
                <w:color w:val="000000"/>
                <w:sz w:val="24"/>
                <w:szCs w:val="24"/>
              </w:rPr>
            </w:pPr>
            <w:r>
              <w:rPr>
                <w:rFonts w:hint="eastAsia" w:ascii="楷体" w:hAnsi="楷体" w:eastAsia="楷体" w:cs="楷体"/>
                <w:color w:val="000000"/>
                <w:sz w:val="24"/>
                <w:szCs w:val="24"/>
              </w:rPr>
              <w:t>序号</w:t>
            </w:r>
          </w:p>
        </w:tc>
        <w:tc>
          <w:tcPr>
            <w:tcW w:w="1826" w:type="dxa"/>
            <w:vAlign w:val="center"/>
          </w:tcPr>
          <w:p w14:paraId="343F32BB">
            <w:pPr>
              <w:spacing w:line="36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岗位</w:t>
            </w:r>
          </w:p>
        </w:tc>
        <w:tc>
          <w:tcPr>
            <w:tcW w:w="1559" w:type="dxa"/>
            <w:vAlign w:val="center"/>
          </w:tcPr>
          <w:p w14:paraId="279D391F">
            <w:pPr>
              <w:spacing w:line="36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姓名</w:t>
            </w:r>
          </w:p>
        </w:tc>
        <w:tc>
          <w:tcPr>
            <w:tcW w:w="2410" w:type="dxa"/>
            <w:vAlign w:val="center"/>
          </w:tcPr>
          <w:p w14:paraId="2C09BA8A">
            <w:pPr>
              <w:spacing w:line="36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专业</w:t>
            </w:r>
          </w:p>
        </w:tc>
        <w:tc>
          <w:tcPr>
            <w:tcW w:w="2729" w:type="dxa"/>
            <w:vAlign w:val="center"/>
          </w:tcPr>
          <w:p w14:paraId="3C0ACB47">
            <w:pPr>
              <w:spacing w:line="360" w:lineRule="auto"/>
              <w:jc w:val="center"/>
              <w:rPr>
                <w:rFonts w:hint="eastAsia" w:ascii="楷体" w:hAnsi="楷体" w:eastAsia="楷体" w:cs="楷体"/>
                <w:color w:val="000000"/>
                <w:sz w:val="24"/>
                <w:szCs w:val="24"/>
              </w:rPr>
            </w:pPr>
            <w:r>
              <w:rPr>
                <w:rFonts w:hint="eastAsia" w:ascii="楷体" w:hAnsi="楷体" w:eastAsia="楷体" w:cs="楷体"/>
                <w:color w:val="000000"/>
                <w:sz w:val="24"/>
                <w:szCs w:val="24"/>
              </w:rPr>
              <w:t>资格证书编号</w:t>
            </w:r>
          </w:p>
        </w:tc>
      </w:tr>
      <w:tr w14:paraId="5D8C9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6FD58B8">
            <w:pPr>
              <w:spacing w:line="360" w:lineRule="auto"/>
              <w:jc w:val="center"/>
              <w:rPr>
                <w:rFonts w:hint="eastAsia" w:ascii="楷体" w:hAnsi="楷体" w:eastAsia="楷体" w:cs="楷体"/>
                <w:color w:val="000000"/>
                <w:sz w:val="24"/>
                <w:szCs w:val="24"/>
              </w:rPr>
            </w:pPr>
          </w:p>
        </w:tc>
        <w:tc>
          <w:tcPr>
            <w:tcW w:w="1826" w:type="dxa"/>
            <w:vAlign w:val="center"/>
          </w:tcPr>
          <w:p w14:paraId="55FD00D7">
            <w:pPr>
              <w:spacing w:line="360" w:lineRule="auto"/>
              <w:jc w:val="center"/>
              <w:rPr>
                <w:rFonts w:hint="eastAsia" w:ascii="楷体" w:hAnsi="楷体" w:eastAsia="楷体" w:cs="楷体"/>
                <w:color w:val="000000"/>
                <w:sz w:val="24"/>
                <w:szCs w:val="24"/>
              </w:rPr>
            </w:pPr>
          </w:p>
        </w:tc>
        <w:tc>
          <w:tcPr>
            <w:tcW w:w="1559" w:type="dxa"/>
            <w:vAlign w:val="center"/>
          </w:tcPr>
          <w:p w14:paraId="6705F811">
            <w:pPr>
              <w:spacing w:line="360" w:lineRule="auto"/>
              <w:jc w:val="center"/>
              <w:rPr>
                <w:rFonts w:hint="eastAsia" w:ascii="楷体" w:hAnsi="楷体" w:eastAsia="楷体" w:cs="楷体"/>
                <w:color w:val="000000"/>
                <w:sz w:val="24"/>
                <w:szCs w:val="24"/>
              </w:rPr>
            </w:pPr>
          </w:p>
        </w:tc>
        <w:tc>
          <w:tcPr>
            <w:tcW w:w="2410" w:type="dxa"/>
            <w:vAlign w:val="center"/>
          </w:tcPr>
          <w:p w14:paraId="7CE9D8F4">
            <w:pPr>
              <w:spacing w:line="360" w:lineRule="auto"/>
              <w:jc w:val="center"/>
              <w:rPr>
                <w:rFonts w:hint="eastAsia" w:ascii="楷体" w:hAnsi="楷体" w:eastAsia="楷体" w:cs="楷体"/>
                <w:color w:val="000000"/>
                <w:sz w:val="24"/>
                <w:szCs w:val="24"/>
              </w:rPr>
            </w:pPr>
          </w:p>
        </w:tc>
        <w:tc>
          <w:tcPr>
            <w:tcW w:w="2729" w:type="dxa"/>
            <w:vAlign w:val="center"/>
          </w:tcPr>
          <w:p w14:paraId="1005618B">
            <w:pPr>
              <w:spacing w:line="360" w:lineRule="auto"/>
              <w:jc w:val="center"/>
              <w:rPr>
                <w:rFonts w:hint="eastAsia" w:ascii="楷体" w:hAnsi="楷体" w:eastAsia="楷体" w:cs="楷体"/>
                <w:color w:val="000000"/>
                <w:sz w:val="24"/>
                <w:szCs w:val="24"/>
              </w:rPr>
            </w:pPr>
          </w:p>
        </w:tc>
      </w:tr>
      <w:tr w14:paraId="49B74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A7399FA">
            <w:pPr>
              <w:spacing w:line="360" w:lineRule="auto"/>
              <w:jc w:val="center"/>
              <w:rPr>
                <w:rFonts w:hint="eastAsia" w:ascii="楷体" w:hAnsi="楷体" w:eastAsia="楷体" w:cs="楷体"/>
                <w:color w:val="000000"/>
                <w:sz w:val="24"/>
                <w:szCs w:val="24"/>
              </w:rPr>
            </w:pPr>
          </w:p>
        </w:tc>
        <w:tc>
          <w:tcPr>
            <w:tcW w:w="1826" w:type="dxa"/>
            <w:vAlign w:val="center"/>
          </w:tcPr>
          <w:p w14:paraId="6147003A">
            <w:pPr>
              <w:spacing w:line="360" w:lineRule="auto"/>
              <w:jc w:val="center"/>
              <w:rPr>
                <w:rFonts w:hint="eastAsia" w:ascii="楷体" w:hAnsi="楷体" w:eastAsia="楷体" w:cs="楷体"/>
                <w:color w:val="000000"/>
                <w:sz w:val="24"/>
                <w:szCs w:val="24"/>
              </w:rPr>
            </w:pPr>
          </w:p>
        </w:tc>
        <w:tc>
          <w:tcPr>
            <w:tcW w:w="1559" w:type="dxa"/>
            <w:vAlign w:val="center"/>
          </w:tcPr>
          <w:p w14:paraId="1A46B991">
            <w:pPr>
              <w:spacing w:line="360" w:lineRule="auto"/>
              <w:jc w:val="center"/>
              <w:rPr>
                <w:rFonts w:hint="eastAsia" w:ascii="楷体" w:hAnsi="楷体" w:eastAsia="楷体" w:cs="楷体"/>
                <w:color w:val="000000"/>
                <w:sz w:val="24"/>
                <w:szCs w:val="24"/>
              </w:rPr>
            </w:pPr>
          </w:p>
        </w:tc>
        <w:tc>
          <w:tcPr>
            <w:tcW w:w="2410" w:type="dxa"/>
            <w:vAlign w:val="center"/>
          </w:tcPr>
          <w:p w14:paraId="037D5576">
            <w:pPr>
              <w:spacing w:line="360" w:lineRule="auto"/>
              <w:jc w:val="center"/>
              <w:rPr>
                <w:rFonts w:hint="eastAsia" w:ascii="楷体" w:hAnsi="楷体" w:eastAsia="楷体" w:cs="楷体"/>
                <w:color w:val="000000"/>
                <w:sz w:val="24"/>
                <w:szCs w:val="24"/>
              </w:rPr>
            </w:pPr>
          </w:p>
        </w:tc>
        <w:tc>
          <w:tcPr>
            <w:tcW w:w="2729" w:type="dxa"/>
            <w:vAlign w:val="center"/>
          </w:tcPr>
          <w:p w14:paraId="4538F397">
            <w:pPr>
              <w:spacing w:line="360" w:lineRule="auto"/>
              <w:jc w:val="center"/>
              <w:rPr>
                <w:rFonts w:hint="eastAsia" w:ascii="楷体" w:hAnsi="楷体" w:eastAsia="楷体" w:cs="楷体"/>
                <w:color w:val="000000"/>
                <w:sz w:val="24"/>
                <w:szCs w:val="24"/>
              </w:rPr>
            </w:pPr>
          </w:p>
        </w:tc>
      </w:tr>
      <w:tr w14:paraId="0FF17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D1F713A">
            <w:pPr>
              <w:spacing w:line="360" w:lineRule="auto"/>
              <w:jc w:val="center"/>
              <w:rPr>
                <w:rFonts w:hint="eastAsia" w:ascii="楷体" w:hAnsi="楷体" w:eastAsia="楷体" w:cs="楷体"/>
                <w:color w:val="000000"/>
                <w:sz w:val="24"/>
                <w:szCs w:val="24"/>
              </w:rPr>
            </w:pPr>
          </w:p>
        </w:tc>
        <w:tc>
          <w:tcPr>
            <w:tcW w:w="1826" w:type="dxa"/>
            <w:vAlign w:val="center"/>
          </w:tcPr>
          <w:p w14:paraId="4C456D8C">
            <w:pPr>
              <w:spacing w:line="360" w:lineRule="auto"/>
              <w:jc w:val="center"/>
              <w:rPr>
                <w:rFonts w:hint="eastAsia" w:ascii="楷体" w:hAnsi="楷体" w:eastAsia="楷体" w:cs="楷体"/>
                <w:color w:val="000000"/>
                <w:sz w:val="24"/>
                <w:szCs w:val="24"/>
              </w:rPr>
            </w:pPr>
          </w:p>
        </w:tc>
        <w:tc>
          <w:tcPr>
            <w:tcW w:w="1559" w:type="dxa"/>
            <w:vAlign w:val="center"/>
          </w:tcPr>
          <w:p w14:paraId="61B28B32">
            <w:pPr>
              <w:spacing w:line="360" w:lineRule="auto"/>
              <w:jc w:val="center"/>
              <w:rPr>
                <w:rFonts w:hint="eastAsia" w:ascii="楷体" w:hAnsi="楷体" w:eastAsia="楷体" w:cs="楷体"/>
                <w:color w:val="000000"/>
                <w:sz w:val="24"/>
                <w:szCs w:val="24"/>
              </w:rPr>
            </w:pPr>
          </w:p>
        </w:tc>
        <w:tc>
          <w:tcPr>
            <w:tcW w:w="2410" w:type="dxa"/>
            <w:vAlign w:val="center"/>
          </w:tcPr>
          <w:p w14:paraId="366D4FCC">
            <w:pPr>
              <w:spacing w:line="360" w:lineRule="auto"/>
              <w:jc w:val="center"/>
              <w:rPr>
                <w:rFonts w:hint="eastAsia" w:ascii="楷体" w:hAnsi="楷体" w:eastAsia="楷体" w:cs="楷体"/>
                <w:color w:val="000000"/>
                <w:sz w:val="24"/>
                <w:szCs w:val="24"/>
              </w:rPr>
            </w:pPr>
          </w:p>
        </w:tc>
        <w:tc>
          <w:tcPr>
            <w:tcW w:w="2729" w:type="dxa"/>
            <w:vAlign w:val="center"/>
          </w:tcPr>
          <w:p w14:paraId="7C609326">
            <w:pPr>
              <w:spacing w:line="360" w:lineRule="auto"/>
              <w:jc w:val="center"/>
              <w:rPr>
                <w:rFonts w:hint="eastAsia" w:ascii="楷体" w:hAnsi="楷体" w:eastAsia="楷体" w:cs="楷体"/>
                <w:color w:val="000000"/>
                <w:sz w:val="24"/>
                <w:szCs w:val="24"/>
              </w:rPr>
            </w:pPr>
          </w:p>
        </w:tc>
      </w:tr>
      <w:tr w14:paraId="756C6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7DABE2E4">
            <w:pPr>
              <w:spacing w:line="360" w:lineRule="auto"/>
              <w:jc w:val="center"/>
              <w:rPr>
                <w:rFonts w:hint="eastAsia" w:ascii="楷体" w:hAnsi="楷体" w:eastAsia="楷体" w:cs="楷体"/>
                <w:color w:val="000000"/>
                <w:sz w:val="24"/>
                <w:szCs w:val="24"/>
              </w:rPr>
            </w:pPr>
          </w:p>
        </w:tc>
        <w:tc>
          <w:tcPr>
            <w:tcW w:w="1826" w:type="dxa"/>
            <w:vAlign w:val="center"/>
          </w:tcPr>
          <w:p w14:paraId="5B3495A4">
            <w:pPr>
              <w:spacing w:line="360" w:lineRule="auto"/>
              <w:jc w:val="center"/>
              <w:rPr>
                <w:rFonts w:hint="eastAsia" w:ascii="楷体" w:hAnsi="楷体" w:eastAsia="楷体" w:cs="楷体"/>
                <w:color w:val="000000"/>
                <w:sz w:val="24"/>
                <w:szCs w:val="24"/>
              </w:rPr>
            </w:pPr>
          </w:p>
        </w:tc>
        <w:tc>
          <w:tcPr>
            <w:tcW w:w="1559" w:type="dxa"/>
            <w:vAlign w:val="center"/>
          </w:tcPr>
          <w:p w14:paraId="45C42604">
            <w:pPr>
              <w:spacing w:line="360" w:lineRule="auto"/>
              <w:jc w:val="center"/>
              <w:rPr>
                <w:rFonts w:hint="eastAsia" w:ascii="楷体" w:hAnsi="楷体" w:eastAsia="楷体" w:cs="楷体"/>
                <w:color w:val="000000"/>
                <w:sz w:val="24"/>
                <w:szCs w:val="24"/>
              </w:rPr>
            </w:pPr>
          </w:p>
        </w:tc>
        <w:tc>
          <w:tcPr>
            <w:tcW w:w="2410" w:type="dxa"/>
            <w:vAlign w:val="center"/>
          </w:tcPr>
          <w:p w14:paraId="4AB51FBD">
            <w:pPr>
              <w:spacing w:line="360" w:lineRule="auto"/>
              <w:jc w:val="center"/>
              <w:rPr>
                <w:rFonts w:hint="eastAsia" w:ascii="楷体" w:hAnsi="楷体" w:eastAsia="楷体" w:cs="楷体"/>
                <w:color w:val="000000"/>
                <w:sz w:val="24"/>
                <w:szCs w:val="24"/>
              </w:rPr>
            </w:pPr>
          </w:p>
        </w:tc>
        <w:tc>
          <w:tcPr>
            <w:tcW w:w="2729" w:type="dxa"/>
            <w:vAlign w:val="center"/>
          </w:tcPr>
          <w:p w14:paraId="5F7234C0">
            <w:pPr>
              <w:spacing w:line="360" w:lineRule="auto"/>
              <w:jc w:val="center"/>
              <w:rPr>
                <w:rFonts w:hint="eastAsia" w:ascii="楷体" w:hAnsi="楷体" w:eastAsia="楷体" w:cs="楷体"/>
                <w:color w:val="000000"/>
                <w:sz w:val="24"/>
                <w:szCs w:val="24"/>
              </w:rPr>
            </w:pPr>
          </w:p>
        </w:tc>
      </w:tr>
      <w:tr w14:paraId="4849D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10B0823">
            <w:pPr>
              <w:spacing w:line="360" w:lineRule="auto"/>
              <w:jc w:val="center"/>
              <w:rPr>
                <w:rFonts w:hint="eastAsia" w:ascii="楷体" w:hAnsi="楷体" w:eastAsia="楷体" w:cs="楷体"/>
                <w:color w:val="000000"/>
                <w:sz w:val="24"/>
                <w:szCs w:val="24"/>
              </w:rPr>
            </w:pPr>
          </w:p>
        </w:tc>
        <w:tc>
          <w:tcPr>
            <w:tcW w:w="1826" w:type="dxa"/>
            <w:vAlign w:val="center"/>
          </w:tcPr>
          <w:p w14:paraId="09FF08D9">
            <w:pPr>
              <w:spacing w:line="360" w:lineRule="auto"/>
              <w:jc w:val="center"/>
              <w:rPr>
                <w:rFonts w:hint="eastAsia" w:ascii="楷体" w:hAnsi="楷体" w:eastAsia="楷体" w:cs="楷体"/>
                <w:color w:val="000000"/>
                <w:sz w:val="24"/>
                <w:szCs w:val="24"/>
              </w:rPr>
            </w:pPr>
          </w:p>
        </w:tc>
        <w:tc>
          <w:tcPr>
            <w:tcW w:w="1559" w:type="dxa"/>
            <w:vAlign w:val="center"/>
          </w:tcPr>
          <w:p w14:paraId="5A10EA37">
            <w:pPr>
              <w:spacing w:line="360" w:lineRule="auto"/>
              <w:jc w:val="center"/>
              <w:rPr>
                <w:rFonts w:hint="eastAsia" w:ascii="楷体" w:hAnsi="楷体" w:eastAsia="楷体" w:cs="楷体"/>
                <w:color w:val="000000"/>
                <w:sz w:val="24"/>
                <w:szCs w:val="24"/>
              </w:rPr>
            </w:pPr>
          </w:p>
        </w:tc>
        <w:tc>
          <w:tcPr>
            <w:tcW w:w="2410" w:type="dxa"/>
            <w:vAlign w:val="center"/>
          </w:tcPr>
          <w:p w14:paraId="61D89D62">
            <w:pPr>
              <w:spacing w:line="360" w:lineRule="auto"/>
              <w:jc w:val="center"/>
              <w:rPr>
                <w:rFonts w:hint="eastAsia" w:ascii="楷体" w:hAnsi="楷体" w:eastAsia="楷体" w:cs="楷体"/>
                <w:color w:val="000000"/>
                <w:sz w:val="24"/>
                <w:szCs w:val="24"/>
              </w:rPr>
            </w:pPr>
          </w:p>
        </w:tc>
        <w:tc>
          <w:tcPr>
            <w:tcW w:w="2729" w:type="dxa"/>
            <w:vAlign w:val="center"/>
          </w:tcPr>
          <w:p w14:paraId="4C27E403">
            <w:pPr>
              <w:spacing w:line="360" w:lineRule="auto"/>
              <w:jc w:val="center"/>
              <w:rPr>
                <w:rFonts w:hint="eastAsia" w:ascii="楷体" w:hAnsi="楷体" w:eastAsia="楷体" w:cs="楷体"/>
                <w:color w:val="000000"/>
                <w:sz w:val="24"/>
                <w:szCs w:val="24"/>
              </w:rPr>
            </w:pPr>
          </w:p>
        </w:tc>
      </w:tr>
      <w:tr w14:paraId="025290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02941FA1">
            <w:pPr>
              <w:spacing w:line="360" w:lineRule="auto"/>
              <w:jc w:val="center"/>
              <w:rPr>
                <w:rFonts w:hint="eastAsia" w:ascii="楷体" w:hAnsi="楷体" w:eastAsia="楷体" w:cs="楷体"/>
                <w:color w:val="000000"/>
                <w:sz w:val="24"/>
                <w:szCs w:val="24"/>
              </w:rPr>
            </w:pPr>
          </w:p>
        </w:tc>
        <w:tc>
          <w:tcPr>
            <w:tcW w:w="1826" w:type="dxa"/>
            <w:vAlign w:val="center"/>
          </w:tcPr>
          <w:p w14:paraId="7B56EE8B">
            <w:pPr>
              <w:spacing w:line="360" w:lineRule="auto"/>
              <w:jc w:val="center"/>
              <w:rPr>
                <w:rFonts w:hint="eastAsia" w:ascii="楷体" w:hAnsi="楷体" w:eastAsia="楷体" w:cs="楷体"/>
                <w:color w:val="000000"/>
                <w:sz w:val="24"/>
                <w:szCs w:val="24"/>
              </w:rPr>
            </w:pPr>
          </w:p>
        </w:tc>
        <w:tc>
          <w:tcPr>
            <w:tcW w:w="1559" w:type="dxa"/>
            <w:vAlign w:val="center"/>
          </w:tcPr>
          <w:p w14:paraId="18012FA4">
            <w:pPr>
              <w:spacing w:line="360" w:lineRule="auto"/>
              <w:jc w:val="center"/>
              <w:rPr>
                <w:rFonts w:hint="eastAsia" w:ascii="楷体" w:hAnsi="楷体" w:eastAsia="楷体" w:cs="楷体"/>
                <w:color w:val="000000"/>
                <w:sz w:val="24"/>
                <w:szCs w:val="24"/>
              </w:rPr>
            </w:pPr>
          </w:p>
        </w:tc>
        <w:tc>
          <w:tcPr>
            <w:tcW w:w="2410" w:type="dxa"/>
            <w:vAlign w:val="center"/>
          </w:tcPr>
          <w:p w14:paraId="6D133596">
            <w:pPr>
              <w:spacing w:line="360" w:lineRule="auto"/>
              <w:jc w:val="center"/>
              <w:rPr>
                <w:rFonts w:hint="eastAsia" w:ascii="楷体" w:hAnsi="楷体" w:eastAsia="楷体" w:cs="楷体"/>
                <w:color w:val="000000"/>
                <w:sz w:val="24"/>
                <w:szCs w:val="24"/>
              </w:rPr>
            </w:pPr>
          </w:p>
        </w:tc>
        <w:tc>
          <w:tcPr>
            <w:tcW w:w="2729" w:type="dxa"/>
            <w:vAlign w:val="center"/>
          </w:tcPr>
          <w:p w14:paraId="5E6AA015">
            <w:pPr>
              <w:spacing w:line="360" w:lineRule="auto"/>
              <w:jc w:val="center"/>
              <w:rPr>
                <w:rFonts w:hint="eastAsia" w:ascii="楷体" w:hAnsi="楷体" w:eastAsia="楷体" w:cs="楷体"/>
                <w:color w:val="000000"/>
                <w:sz w:val="24"/>
                <w:szCs w:val="24"/>
              </w:rPr>
            </w:pPr>
          </w:p>
        </w:tc>
      </w:tr>
      <w:tr w14:paraId="3B4B0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1CC1FCF">
            <w:pPr>
              <w:spacing w:line="360" w:lineRule="auto"/>
              <w:jc w:val="center"/>
              <w:rPr>
                <w:rFonts w:hint="eastAsia" w:ascii="楷体" w:hAnsi="楷体" w:eastAsia="楷体" w:cs="楷体"/>
                <w:color w:val="000000"/>
                <w:sz w:val="24"/>
                <w:szCs w:val="24"/>
              </w:rPr>
            </w:pPr>
          </w:p>
        </w:tc>
        <w:tc>
          <w:tcPr>
            <w:tcW w:w="1826" w:type="dxa"/>
            <w:vAlign w:val="center"/>
          </w:tcPr>
          <w:p w14:paraId="536C850F">
            <w:pPr>
              <w:spacing w:line="360" w:lineRule="auto"/>
              <w:jc w:val="center"/>
              <w:rPr>
                <w:rFonts w:hint="eastAsia" w:ascii="楷体" w:hAnsi="楷体" w:eastAsia="楷体" w:cs="楷体"/>
                <w:color w:val="000000"/>
                <w:sz w:val="24"/>
                <w:szCs w:val="24"/>
              </w:rPr>
            </w:pPr>
          </w:p>
        </w:tc>
        <w:tc>
          <w:tcPr>
            <w:tcW w:w="1559" w:type="dxa"/>
            <w:vAlign w:val="center"/>
          </w:tcPr>
          <w:p w14:paraId="3847F8E9">
            <w:pPr>
              <w:spacing w:line="360" w:lineRule="auto"/>
              <w:jc w:val="center"/>
              <w:rPr>
                <w:rFonts w:hint="eastAsia" w:ascii="楷体" w:hAnsi="楷体" w:eastAsia="楷体" w:cs="楷体"/>
                <w:color w:val="000000"/>
                <w:sz w:val="24"/>
                <w:szCs w:val="24"/>
              </w:rPr>
            </w:pPr>
          </w:p>
        </w:tc>
        <w:tc>
          <w:tcPr>
            <w:tcW w:w="2410" w:type="dxa"/>
            <w:vAlign w:val="center"/>
          </w:tcPr>
          <w:p w14:paraId="0FAF0360">
            <w:pPr>
              <w:spacing w:line="360" w:lineRule="auto"/>
              <w:jc w:val="center"/>
              <w:rPr>
                <w:rFonts w:hint="eastAsia" w:ascii="楷体" w:hAnsi="楷体" w:eastAsia="楷体" w:cs="楷体"/>
                <w:color w:val="000000"/>
                <w:sz w:val="24"/>
                <w:szCs w:val="24"/>
              </w:rPr>
            </w:pPr>
          </w:p>
        </w:tc>
        <w:tc>
          <w:tcPr>
            <w:tcW w:w="2729" w:type="dxa"/>
            <w:vAlign w:val="center"/>
          </w:tcPr>
          <w:p w14:paraId="5CA773DE">
            <w:pPr>
              <w:spacing w:line="360" w:lineRule="auto"/>
              <w:jc w:val="center"/>
              <w:rPr>
                <w:rFonts w:hint="eastAsia" w:ascii="楷体" w:hAnsi="楷体" w:eastAsia="楷体" w:cs="楷体"/>
                <w:color w:val="000000"/>
                <w:sz w:val="24"/>
                <w:szCs w:val="24"/>
              </w:rPr>
            </w:pPr>
          </w:p>
        </w:tc>
      </w:tr>
      <w:tr w14:paraId="2A376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365A028C">
            <w:pPr>
              <w:spacing w:line="360" w:lineRule="auto"/>
              <w:jc w:val="center"/>
              <w:rPr>
                <w:rFonts w:hint="eastAsia" w:ascii="楷体" w:hAnsi="楷体" w:eastAsia="楷体" w:cs="楷体"/>
                <w:color w:val="000000"/>
                <w:sz w:val="24"/>
                <w:szCs w:val="24"/>
              </w:rPr>
            </w:pPr>
          </w:p>
        </w:tc>
        <w:tc>
          <w:tcPr>
            <w:tcW w:w="1826" w:type="dxa"/>
            <w:vAlign w:val="center"/>
          </w:tcPr>
          <w:p w14:paraId="1849FC1B">
            <w:pPr>
              <w:spacing w:line="360" w:lineRule="auto"/>
              <w:jc w:val="center"/>
              <w:rPr>
                <w:rFonts w:hint="eastAsia" w:ascii="楷体" w:hAnsi="楷体" w:eastAsia="楷体" w:cs="楷体"/>
                <w:color w:val="000000"/>
                <w:sz w:val="24"/>
                <w:szCs w:val="24"/>
              </w:rPr>
            </w:pPr>
          </w:p>
        </w:tc>
        <w:tc>
          <w:tcPr>
            <w:tcW w:w="1559" w:type="dxa"/>
            <w:vAlign w:val="center"/>
          </w:tcPr>
          <w:p w14:paraId="06D9C4DB">
            <w:pPr>
              <w:spacing w:line="360" w:lineRule="auto"/>
              <w:jc w:val="center"/>
              <w:rPr>
                <w:rFonts w:hint="eastAsia" w:ascii="楷体" w:hAnsi="楷体" w:eastAsia="楷体" w:cs="楷体"/>
                <w:color w:val="000000"/>
                <w:sz w:val="24"/>
                <w:szCs w:val="24"/>
              </w:rPr>
            </w:pPr>
          </w:p>
        </w:tc>
        <w:tc>
          <w:tcPr>
            <w:tcW w:w="2410" w:type="dxa"/>
            <w:vAlign w:val="center"/>
          </w:tcPr>
          <w:p w14:paraId="568AD4BE">
            <w:pPr>
              <w:spacing w:line="360" w:lineRule="auto"/>
              <w:jc w:val="center"/>
              <w:rPr>
                <w:rFonts w:hint="eastAsia" w:ascii="楷体" w:hAnsi="楷体" w:eastAsia="楷体" w:cs="楷体"/>
                <w:color w:val="000000"/>
                <w:sz w:val="24"/>
                <w:szCs w:val="24"/>
              </w:rPr>
            </w:pPr>
          </w:p>
        </w:tc>
        <w:tc>
          <w:tcPr>
            <w:tcW w:w="2729" w:type="dxa"/>
            <w:vAlign w:val="center"/>
          </w:tcPr>
          <w:p w14:paraId="3FC732C4">
            <w:pPr>
              <w:spacing w:line="360" w:lineRule="auto"/>
              <w:jc w:val="center"/>
              <w:rPr>
                <w:rFonts w:hint="eastAsia" w:ascii="楷体" w:hAnsi="楷体" w:eastAsia="楷体" w:cs="楷体"/>
                <w:color w:val="000000"/>
                <w:sz w:val="24"/>
                <w:szCs w:val="24"/>
              </w:rPr>
            </w:pPr>
          </w:p>
        </w:tc>
      </w:tr>
      <w:tr w14:paraId="7AA6C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B3C1ADC">
            <w:pPr>
              <w:spacing w:line="360" w:lineRule="auto"/>
              <w:jc w:val="center"/>
              <w:rPr>
                <w:rFonts w:hint="eastAsia" w:ascii="楷体" w:hAnsi="楷体" w:eastAsia="楷体" w:cs="楷体"/>
                <w:color w:val="000000"/>
                <w:sz w:val="24"/>
                <w:szCs w:val="24"/>
              </w:rPr>
            </w:pPr>
          </w:p>
        </w:tc>
        <w:tc>
          <w:tcPr>
            <w:tcW w:w="1826" w:type="dxa"/>
            <w:vAlign w:val="center"/>
          </w:tcPr>
          <w:p w14:paraId="2F15121F">
            <w:pPr>
              <w:spacing w:line="360" w:lineRule="auto"/>
              <w:jc w:val="center"/>
              <w:rPr>
                <w:rFonts w:hint="eastAsia" w:ascii="楷体" w:hAnsi="楷体" w:eastAsia="楷体" w:cs="楷体"/>
                <w:color w:val="000000"/>
                <w:sz w:val="24"/>
                <w:szCs w:val="24"/>
              </w:rPr>
            </w:pPr>
          </w:p>
        </w:tc>
        <w:tc>
          <w:tcPr>
            <w:tcW w:w="1559" w:type="dxa"/>
            <w:vAlign w:val="center"/>
          </w:tcPr>
          <w:p w14:paraId="5C4AA596">
            <w:pPr>
              <w:spacing w:line="360" w:lineRule="auto"/>
              <w:jc w:val="center"/>
              <w:rPr>
                <w:rFonts w:hint="eastAsia" w:ascii="楷体" w:hAnsi="楷体" w:eastAsia="楷体" w:cs="楷体"/>
                <w:color w:val="000000"/>
                <w:sz w:val="24"/>
                <w:szCs w:val="24"/>
              </w:rPr>
            </w:pPr>
          </w:p>
        </w:tc>
        <w:tc>
          <w:tcPr>
            <w:tcW w:w="2410" w:type="dxa"/>
            <w:vAlign w:val="center"/>
          </w:tcPr>
          <w:p w14:paraId="670294A6">
            <w:pPr>
              <w:spacing w:line="360" w:lineRule="auto"/>
              <w:jc w:val="center"/>
              <w:rPr>
                <w:rFonts w:hint="eastAsia" w:ascii="楷体" w:hAnsi="楷体" w:eastAsia="楷体" w:cs="楷体"/>
                <w:color w:val="000000"/>
                <w:sz w:val="24"/>
                <w:szCs w:val="24"/>
              </w:rPr>
            </w:pPr>
          </w:p>
        </w:tc>
        <w:tc>
          <w:tcPr>
            <w:tcW w:w="2729" w:type="dxa"/>
            <w:vAlign w:val="center"/>
          </w:tcPr>
          <w:p w14:paraId="19AF519A">
            <w:pPr>
              <w:spacing w:line="360" w:lineRule="auto"/>
              <w:jc w:val="center"/>
              <w:rPr>
                <w:rFonts w:hint="eastAsia" w:ascii="楷体" w:hAnsi="楷体" w:eastAsia="楷体" w:cs="楷体"/>
                <w:color w:val="000000"/>
                <w:sz w:val="24"/>
                <w:szCs w:val="24"/>
              </w:rPr>
            </w:pPr>
          </w:p>
        </w:tc>
      </w:tr>
      <w:tr w14:paraId="7F7C0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49E50DF9">
            <w:pPr>
              <w:spacing w:line="360" w:lineRule="auto"/>
              <w:jc w:val="center"/>
              <w:rPr>
                <w:rFonts w:hint="eastAsia" w:ascii="楷体" w:hAnsi="楷体" w:eastAsia="楷体" w:cs="楷体"/>
                <w:color w:val="000000"/>
                <w:sz w:val="24"/>
                <w:szCs w:val="24"/>
              </w:rPr>
            </w:pPr>
          </w:p>
        </w:tc>
        <w:tc>
          <w:tcPr>
            <w:tcW w:w="1826" w:type="dxa"/>
            <w:vAlign w:val="center"/>
          </w:tcPr>
          <w:p w14:paraId="47996414">
            <w:pPr>
              <w:spacing w:line="360" w:lineRule="auto"/>
              <w:jc w:val="center"/>
              <w:rPr>
                <w:rFonts w:hint="eastAsia" w:ascii="楷体" w:hAnsi="楷体" w:eastAsia="楷体" w:cs="楷体"/>
                <w:color w:val="000000"/>
                <w:sz w:val="24"/>
                <w:szCs w:val="24"/>
              </w:rPr>
            </w:pPr>
          </w:p>
        </w:tc>
        <w:tc>
          <w:tcPr>
            <w:tcW w:w="1559" w:type="dxa"/>
            <w:vAlign w:val="center"/>
          </w:tcPr>
          <w:p w14:paraId="2AF8E752">
            <w:pPr>
              <w:spacing w:line="360" w:lineRule="auto"/>
              <w:jc w:val="center"/>
              <w:rPr>
                <w:rFonts w:hint="eastAsia" w:ascii="楷体" w:hAnsi="楷体" w:eastAsia="楷体" w:cs="楷体"/>
                <w:color w:val="000000"/>
                <w:sz w:val="24"/>
                <w:szCs w:val="24"/>
              </w:rPr>
            </w:pPr>
          </w:p>
        </w:tc>
        <w:tc>
          <w:tcPr>
            <w:tcW w:w="2410" w:type="dxa"/>
            <w:vAlign w:val="center"/>
          </w:tcPr>
          <w:p w14:paraId="66B9B55B">
            <w:pPr>
              <w:spacing w:line="360" w:lineRule="auto"/>
              <w:jc w:val="center"/>
              <w:rPr>
                <w:rFonts w:hint="eastAsia" w:ascii="楷体" w:hAnsi="楷体" w:eastAsia="楷体" w:cs="楷体"/>
                <w:color w:val="000000"/>
                <w:sz w:val="24"/>
                <w:szCs w:val="24"/>
              </w:rPr>
            </w:pPr>
          </w:p>
        </w:tc>
        <w:tc>
          <w:tcPr>
            <w:tcW w:w="2729" w:type="dxa"/>
            <w:vAlign w:val="center"/>
          </w:tcPr>
          <w:p w14:paraId="22A5D1C2">
            <w:pPr>
              <w:spacing w:line="360" w:lineRule="auto"/>
              <w:jc w:val="center"/>
              <w:rPr>
                <w:rFonts w:hint="eastAsia" w:ascii="楷体" w:hAnsi="楷体" w:eastAsia="楷体" w:cs="楷体"/>
                <w:color w:val="000000"/>
                <w:sz w:val="24"/>
                <w:szCs w:val="24"/>
              </w:rPr>
            </w:pPr>
          </w:p>
        </w:tc>
      </w:tr>
      <w:tr w14:paraId="5BD26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57A79C25">
            <w:pPr>
              <w:spacing w:line="360" w:lineRule="auto"/>
              <w:jc w:val="center"/>
              <w:rPr>
                <w:rFonts w:hint="eastAsia" w:ascii="楷体" w:hAnsi="楷体" w:eastAsia="楷体" w:cs="楷体"/>
                <w:color w:val="000000"/>
                <w:sz w:val="24"/>
                <w:szCs w:val="24"/>
              </w:rPr>
            </w:pPr>
          </w:p>
        </w:tc>
        <w:tc>
          <w:tcPr>
            <w:tcW w:w="1826" w:type="dxa"/>
            <w:vAlign w:val="center"/>
          </w:tcPr>
          <w:p w14:paraId="2C910D86">
            <w:pPr>
              <w:spacing w:line="360" w:lineRule="auto"/>
              <w:jc w:val="center"/>
              <w:rPr>
                <w:rFonts w:hint="eastAsia" w:ascii="楷体" w:hAnsi="楷体" w:eastAsia="楷体" w:cs="楷体"/>
                <w:color w:val="000000"/>
                <w:sz w:val="24"/>
                <w:szCs w:val="24"/>
              </w:rPr>
            </w:pPr>
          </w:p>
        </w:tc>
        <w:tc>
          <w:tcPr>
            <w:tcW w:w="1559" w:type="dxa"/>
            <w:vAlign w:val="center"/>
          </w:tcPr>
          <w:p w14:paraId="35BDB8FB">
            <w:pPr>
              <w:spacing w:line="360" w:lineRule="auto"/>
              <w:jc w:val="center"/>
              <w:rPr>
                <w:rFonts w:hint="eastAsia" w:ascii="楷体" w:hAnsi="楷体" w:eastAsia="楷体" w:cs="楷体"/>
                <w:color w:val="000000"/>
                <w:sz w:val="24"/>
                <w:szCs w:val="24"/>
              </w:rPr>
            </w:pPr>
          </w:p>
        </w:tc>
        <w:tc>
          <w:tcPr>
            <w:tcW w:w="2410" w:type="dxa"/>
            <w:vAlign w:val="center"/>
          </w:tcPr>
          <w:p w14:paraId="439E101A">
            <w:pPr>
              <w:spacing w:line="360" w:lineRule="auto"/>
              <w:jc w:val="center"/>
              <w:rPr>
                <w:rFonts w:hint="eastAsia" w:ascii="楷体" w:hAnsi="楷体" w:eastAsia="楷体" w:cs="楷体"/>
                <w:color w:val="000000"/>
                <w:sz w:val="24"/>
                <w:szCs w:val="24"/>
              </w:rPr>
            </w:pPr>
          </w:p>
        </w:tc>
        <w:tc>
          <w:tcPr>
            <w:tcW w:w="2729" w:type="dxa"/>
            <w:vAlign w:val="center"/>
          </w:tcPr>
          <w:p w14:paraId="4E6C284F">
            <w:pPr>
              <w:spacing w:line="360" w:lineRule="auto"/>
              <w:jc w:val="center"/>
              <w:rPr>
                <w:rFonts w:hint="eastAsia" w:ascii="楷体" w:hAnsi="楷体" w:eastAsia="楷体" w:cs="楷体"/>
                <w:color w:val="000000"/>
                <w:sz w:val="24"/>
                <w:szCs w:val="24"/>
              </w:rPr>
            </w:pPr>
          </w:p>
        </w:tc>
      </w:tr>
      <w:tr w14:paraId="4CD66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E261BCC">
            <w:pPr>
              <w:spacing w:line="360" w:lineRule="auto"/>
              <w:jc w:val="center"/>
              <w:rPr>
                <w:rFonts w:hint="eastAsia" w:ascii="楷体" w:hAnsi="楷体" w:eastAsia="楷体" w:cs="楷体"/>
                <w:color w:val="000000"/>
                <w:sz w:val="24"/>
                <w:szCs w:val="24"/>
              </w:rPr>
            </w:pPr>
          </w:p>
        </w:tc>
        <w:tc>
          <w:tcPr>
            <w:tcW w:w="1826" w:type="dxa"/>
            <w:vAlign w:val="center"/>
          </w:tcPr>
          <w:p w14:paraId="0EA20CE6">
            <w:pPr>
              <w:spacing w:line="360" w:lineRule="auto"/>
              <w:jc w:val="center"/>
              <w:rPr>
                <w:rFonts w:hint="eastAsia" w:ascii="楷体" w:hAnsi="楷体" w:eastAsia="楷体" w:cs="楷体"/>
                <w:color w:val="000000"/>
                <w:sz w:val="24"/>
                <w:szCs w:val="24"/>
              </w:rPr>
            </w:pPr>
          </w:p>
        </w:tc>
        <w:tc>
          <w:tcPr>
            <w:tcW w:w="1559" w:type="dxa"/>
            <w:vAlign w:val="center"/>
          </w:tcPr>
          <w:p w14:paraId="18C71197">
            <w:pPr>
              <w:spacing w:line="360" w:lineRule="auto"/>
              <w:jc w:val="center"/>
              <w:rPr>
                <w:rFonts w:hint="eastAsia" w:ascii="楷体" w:hAnsi="楷体" w:eastAsia="楷体" w:cs="楷体"/>
                <w:color w:val="000000"/>
                <w:sz w:val="24"/>
                <w:szCs w:val="24"/>
              </w:rPr>
            </w:pPr>
          </w:p>
        </w:tc>
        <w:tc>
          <w:tcPr>
            <w:tcW w:w="2410" w:type="dxa"/>
            <w:vAlign w:val="center"/>
          </w:tcPr>
          <w:p w14:paraId="519AAD72">
            <w:pPr>
              <w:spacing w:line="360" w:lineRule="auto"/>
              <w:jc w:val="center"/>
              <w:rPr>
                <w:rFonts w:hint="eastAsia" w:ascii="楷体" w:hAnsi="楷体" w:eastAsia="楷体" w:cs="楷体"/>
                <w:color w:val="000000"/>
                <w:sz w:val="24"/>
                <w:szCs w:val="24"/>
              </w:rPr>
            </w:pPr>
          </w:p>
        </w:tc>
        <w:tc>
          <w:tcPr>
            <w:tcW w:w="2729" w:type="dxa"/>
            <w:vAlign w:val="center"/>
          </w:tcPr>
          <w:p w14:paraId="74B4DEAC">
            <w:pPr>
              <w:spacing w:line="360" w:lineRule="auto"/>
              <w:jc w:val="center"/>
              <w:rPr>
                <w:rFonts w:hint="eastAsia" w:ascii="楷体" w:hAnsi="楷体" w:eastAsia="楷体" w:cs="楷体"/>
                <w:color w:val="000000"/>
                <w:sz w:val="24"/>
                <w:szCs w:val="24"/>
              </w:rPr>
            </w:pPr>
          </w:p>
        </w:tc>
      </w:tr>
      <w:tr w14:paraId="2FA8B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4C857C4">
            <w:pPr>
              <w:spacing w:line="360" w:lineRule="auto"/>
              <w:jc w:val="center"/>
              <w:rPr>
                <w:rFonts w:hint="eastAsia" w:ascii="楷体" w:hAnsi="楷体" w:eastAsia="楷体" w:cs="楷体"/>
                <w:color w:val="000000"/>
                <w:sz w:val="24"/>
                <w:szCs w:val="24"/>
              </w:rPr>
            </w:pPr>
          </w:p>
        </w:tc>
        <w:tc>
          <w:tcPr>
            <w:tcW w:w="1826" w:type="dxa"/>
            <w:vAlign w:val="center"/>
          </w:tcPr>
          <w:p w14:paraId="4494399B">
            <w:pPr>
              <w:spacing w:line="360" w:lineRule="auto"/>
              <w:jc w:val="center"/>
              <w:rPr>
                <w:rFonts w:hint="eastAsia" w:ascii="楷体" w:hAnsi="楷体" w:eastAsia="楷体" w:cs="楷体"/>
                <w:color w:val="000000"/>
                <w:sz w:val="24"/>
                <w:szCs w:val="24"/>
              </w:rPr>
            </w:pPr>
          </w:p>
        </w:tc>
        <w:tc>
          <w:tcPr>
            <w:tcW w:w="1559" w:type="dxa"/>
            <w:vAlign w:val="center"/>
          </w:tcPr>
          <w:p w14:paraId="063C2679">
            <w:pPr>
              <w:spacing w:line="360" w:lineRule="auto"/>
              <w:jc w:val="center"/>
              <w:rPr>
                <w:rFonts w:hint="eastAsia" w:ascii="楷体" w:hAnsi="楷体" w:eastAsia="楷体" w:cs="楷体"/>
                <w:color w:val="000000"/>
                <w:sz w:val="24"/>
                <w:szCs w:val="24"/>
              </w:rPr>
            </w:pPr>
          </w:p>
        </w:tc>
        <w:tc>
          <w:tcPr>
            <w:tcW w:w="2410" w:type="dxa"/>
            <w:vAlign w:val="center"/>
          </w:tcPr>
          <w:p w14:paraId="77F84187">
            <w:pPr>
              <w:spacing w:line="360" w:lineRule="auto"/>
              <w:jc w:val="center"/>
              <w:rPr>
                <w:rFonts w:hint="eastAsia" w:ascii="楷体" w:hAnsi="楷体" w:eastAsia="楷体" w:cs="楷体"/>
                <w:color w:val="000000"/>
                <w:sz w:val="24"/>
                <w:szCs w:val="24"/>
              </w:rPr>
            </w:pPr>
          </w:p>
        </w:tc>
        <w:tc>
          <w:tcPr>
            <w:tcW w:w="2729" w:type="dxa"/>
            <w:vAlign w:val="center"/>
          </w:tcPr>
          <w:p w14:paraId="786C0A3B">
            <w:pPr>
              <w:spacing w:line="360" w:lineRule="auto"/>
              <w:jc w:val="center"/>
              <w:rPr>
                <w:rFonts w:hint="eastAsia" w:ascii="楷体" w:hAnsi="楷体" w:eastAsia="楷体" w:cs="楷体"/>
                <w:color w:val="000000"/>
                <w:sz w:val="24"/>
                <w:szCs w:val="24"/>
              </w:rPr>
            </w:pPr>
          </w:p>
        </w:tc>
      </w:tr>
      <w:tr w14:paraId="4996A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26CFFDCB">
            <w:pPr>
              <w:spacing w:line="360" w:lineRule="auto"/>
              <w:jc w:val="center"/>
              <w:rPr>
                <w:rFonts w:hint="eastAsia" w:ascii="楷体" w:hAnsi="楷体" w:eastAsia="楷体" w:cs="楷体"/>
                <w:color w:val="000000"/>
                <w:sz w:val="24"/>
                <w:szCs w:val="24"/>
              </w:rPr>
            </w:pPr>
          </w:p>
        </w:tc>
        <w:tc>
          <w:tcPr>
            <w:tcW w:w="1826" w:type="dxa"/>
            <w:vAlign w:val="center"/>
          </w:tcPr>
          <w:p w14:paraId="339D9C9D">
            <w:pPr>
              <w:spacing w:line="360" w:lineRule="auto"/>
              <w:jc w:val="center"/>
              <w:rPr>
                <w:rFonts w:hint="eastAsia" w:ascii="楷体" w:hAnsi="楷体" w:eastAsia="楷体" w:cs="楷体"/>
                <w:color w:val="000000"/>
                <w:sz w:val="24"/>
                <w:szCs w:val="24"/>
              </w:rPr>
            </w:pPr>
          </w:p>
        </w:tc>
        <w:tc>
          <w:tcPr>
            <w:tcW w:w="1559" w:type="dxa"/>
            <w:vAlign w:val="center"/>
          </w:tcPr>
          <w:p w14:paraId="407FB8AA">
            <w:pPr>
              <w:spacing w:line="360" w:lineRule="auto"/>
              <w:jc w:val="center"/>
              <w:rPr>
                <w:rFonts w:hint="eastAsia" w:ascii="楷体" w:hAnsi="楷体" w:eastAsia="楷体" w:cs="楷体"/>
                <w:color w:val="000000"/>
                <w:sz w:val="24"/>
                <w:szCs w:val="24"/>
              </w:rPr>
            </w:pPr>
          </w:p>
        </w:tc>
        <w:tc>
          <w:tcPr>
            <w:tcW w:w="2410" w:type="dxa"/>
            <w:vAlign w:val="center"/>
          </w:tcPr>
          <w:p w14:paraId="675A64E2">
            <w:pPr>
              <w:spacing w:line="360" w:lineRule="auto"/>
              <w:jc w:val="center"/>
              <w:rPr>
                <w:rFonts w:hint="eastAsia" w:ascii="楷体" w:hAnsi="楷体" w:eastAsia="楷体" w:cs="楷体"/>
                <w:color w:val="000000"/>
                <w:sz w:val="24"/>
                <w:szCs w:val="24"/>
              </w:rPr>
            </w:pPr>
          </w:p>
        </w:tc>
        <w:tc>
          <w:tcPr>
            <w:tcW w:w="2729" w:type="dxa"/>
            <w:vAlign w:val="center"/>
          </w:tcPr>
          <w:p w14:paraId="398F2F55">
            <w:pPr>
              <w:spacing w:line="360" w:lineRule="auto"/>
              <w:jc w:val="center"/>
              <w:rPr>
                <w:rFonts w:hint="eastAsia" w:ascii="楷体" w:hAnsi="楷体" w:eastAsia="楷体" w:cs="楷体"/>
                <w:color w:val="000000"/>
                <w:sz w:val="24"/>
                <w:szCs w:val="24"/>
              </w:rPr>
            </w:pPr>
          </w:p>
        </w:tc>
      </w:tr>
      <w:tr w14:paraId="535A0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617505D4">
            <w:pPr>
              <w:spacing w:line="360" w:lineRule="auto"/>
              <w:jc w:val="center"/>
              <w:rPr>
                <w:rFonts w:hint="eastAsia" w:ascii="楷体" w:hAnsi="楷体" w:eastAsia="楷体" w:cs="楷体"/>
                <w:color w:val="000000"/>
                <w:sz w:val="24"/>
                <w:szCs w:val="24"/>
              </w:rPr>
            </w:pPr>
          </w:p>
        </w:tc>
        <w:tc>
          <w:tcPr>
            <w:tcW w:w="1826" w:type="dxa"/>
            <w:vAlign w:val="center"/>
          </w:tcPr>
          <w:p w14:paraId="5D509844">
            <w:pPr>
              <w:spacing w:line="360" w:lineRule="auto"/>
              <w:jc w:val="center"/>
              <w:rPr>
                <w:rFonts w:hint="eastAsia" w:ascii="楷体" w:hAnsi="楷体" w:eastAsia="楷体" w:cs="楷体"/>
                <w:color w:val="000000"/>
                <w:sz w:val="24"/>
                <w:szCs w:val="24"/>
              </w:rPr>
            </w:pPr>
          </w:p>
        </w:tc>
        <w:tc>
          <w:tcPr>
            <w:tcW w:w="1559" w:type="dxa"/>
            <w:vAlign w:val="center"/>
          </w:tcPr>
          <w:p w14:paraId="3881A390">
            <w:pPr>
              <w:spacing w:line="360" w:lineRule="auto"/>
              <w:jc w:val="center"/>
              <w:rPr>
                <w:rFonts w:hint="eastAsia" w:ascii="楷体" w:hAnsi="楷体" w:eastAsia="楷体" w:cs="楷体"/>
                <w:color w:val="000000"/>
                <w:sz w:val="24"/>
                <w:szCs w:val="24"/>
              </w:rPr>
            </w:pPr>
          </w:p>
        </w:tc>
        <w:tc>
          <w:tcPr>
            <w:tcW w:w="2410" w:type="dxa"/>
            <w:vAlign w:val="center"/>
          </w:tcPr>
          <w:p w14:paraId="05B1A5FB">
            <w:pPr>
              <w:spacing w:line="360" w:lineRule="auto"/>
              <w:jc w:val="center"/>
              <w:rPr>
                <w:rFonts w:hint="eastAsia" w:ascii="楷体" w:hAnsi="楷体" w:eastAsia="楷体" w:cs="楷体"/>
                <w:color w:val="000000"/>
                <w:sz w:val="24"/>
                <w:szCs w:val="24"/>
              </w:rPr>
            </w:pPr>
          </w:p>
        </w:tc>
        <w:tc>
          <w:tcPr>
            <w:tcW w:w="2729" w:type="dxa"/>
            <w:vAlign w:val="center"/>
          </w:tcPr>
          <w:p w14:paraId="47B61E6D">
            <w:pPr>
              <w:spacing w:line="360" w:lineRule="auto"/>
              <w:jc w:val="center"/>
              <w:rPr>
                <w:rFonts w:hint="eastAsia" w:ascii="楷体" w:hAnsi="楷体" w:eastAsia="楷体" w:cs="楷体"/>
                <w:color w:val="000000"/>
                <w:sz w:val="24"/>
                <w:szCs w:val="24"/>
              </w:rPr>
            </w:pPr>
          </w:p>
        </w:tc>
      </w:tr>
      <w:tr w14:paraId="0D325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192EC360">
            <w:pPr>
              <w:spacing w:line="360" w:lineRule="auto"/>
              <w:jc w:val="center"/>
              <w:rPr>
                <w:rFonts w:hint="eastAsia" w:ascii="楷体" w:hAnsi="楷体" w:eastAsia="楷体" w:cs="楷体"/>
                <w:color w:val="000000"/>
                <w:sz w:val="24"/>
                <w:szCs w:val="24"/>
              </w:rPr>
            </w:pPr>
          </w:p>
        </w:tc>
        <w:tc>
          <w:tcPr>
            <w:tcW w:w="1826" w:type="dxa"/>
            <w:vAlign w:val="center"/>
          </w:tcPr>
          <w:p w14:paraId="04E5CE2C">
            <w:pPr>
              <w:spacing w:line="360" w:lineRule="auto"/>
              <w:jc w:val="center"/>
              <w:rPr>
                <w:rFonts w:hint="eastAsia" w:ascii="楷体" w:hAnsi="楷体" w:eastAsia="楷体" w:cs="楷体"/>
                <w:color w:val="000000"/>
                <w:sz w:val="24"/>
                <w:szCs w:val="24"/>
              </w:rPr>
            </w:pPr>
          </w:p>
        </w:tc>
        <w:tc>
          <w:tcPr>
            <w:tcW w:w="1559" w:type="dxa"/>
            <w:vAlign w:val="center"/>
          </w:tcPr>
          <w:p w14:paraId="4E67B820">
            <w:pPr>
              <w:spacing w:line="360" w:lineRule="auto"/>
              <w:jc w:val="center"/>
              <w:rPr>
                <w:rFonts w:hint="eastAsia" w:ascii="楷体" w:hAnsi="楷体" w:eastAsia="楷体" w:cs="楷体"/>
                <w:color w:val="000000"/>
                <w:sz w:val="24"/>
                <w:szCs w:val="24"/>
              </w:rPr>
            </w:pPr>
          </w:p>
        </w:tc>
        <w:tc>
          <w:tcPr>
            <w:tcW w:w="2410" w:type="dxa"/>
            <w:vAlign w:val="center"/>
          </w:tcPr>
          <w:p w14:paraId="70AEE9B1">
            <w:pPr>
              <w:spacing w:line="360" w:lineRule="auto"/>
              <w:jc w:val="center"/>
              <w:rPr>
                <w:rFonts w:hint="eastAsia" w:ascii="楷体" w:hAnsi="楷体" w:eastAsia="楷体" w:cs="楷体"/>
                <w:color w:val="000000"/>
                <w:sz w:val="24"/>
                <w:szCs w:val="24"/>
              </w:rPr>
            </w:pPr>
          </w:p>
        </w:tc>
        <w:tc>
          <w:tcPr>
            <w:tcW w:w="2729" w:type="dxa"/>
            <w:vAlign w:val="center"/>
          </w:tcPr>
          <w:p w14:paraId="509C0ADD">
            <w:pPr>
              <w:spacing w:line="360" w:lineRule="auto"/>
              <w:jc w:val="center"/>
              <w:rPr>
                <w:rFonts w:hint="eastAsia" w:ascii="楷体" w:hAnsi="楷体" w:eastAsia="楷体" w:cs="楷体"/>
                <w:color w:val="000000"/>
                <w:sz w:val="24"/>
                <w:szCs w:val="24"/>
              </w:rPr>
            </w:pPr>
          </w:p>
        </w:tc>
      </w:tr>
      <w:tr w14:paraId="3C56F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748" w:type="dxa"/>
            <w:vAlign w:val="center"/>
          </w:tcPr>
          <w:p w14:paraId="5F9A0363">
            <w:pPr>
              <w:spacing w:line="360" w:lineRule="auto"/>
              <w:jc w:val="center"/>
              <w:rPr>
                <w:rFonts w:hint="eastAsia" w:ascii="楷体" w:hAnsi="楷体" w:eastAsia="楷体" w:cs="楷体"/>
                <w:color w:val="000000"/>
                <w:sz w:val="24"/>
                <w:szCs w:val="24"/>
              </w:rPr>
            </w:pPr>
          </w:p>
        </w:tc>
        <w:tc>
          <w:tcPr>
            <w:tcW w:w="1826" w:type="dxa"/>
            <w:vAlign w:val="center"/>
          </w:tcPr>
          <w:p w14:paraId="6D0FB149">
            <w:pPr>
              <w:spacing w:line="360" w:lineRule="auto"/>
              <w:jc w:val="center"/>
              <w:rPr>
                <w:rFonts w:hint="eastAsia" w:ascii="楷体" w:hAnsi="楷体" w:eastAsia="楷体" w:cs="楷体"/>
                <w:color w:val="000000"/>
                <w:sz w:val="24"/>
                <w:szCs w:val="24"/>
              </w:rPr>
            </w:pPr>
          </w:p>
        </w:tc>
        <w:tc>
          <w:tcPr>
            <w:tcW w:w="1559" w:type="dxa"/>
            <w:vAlign w:val="center"/>
          </w:tcPr>
          <w:p w14:paraId="74B0E3B3">
            <w:pPr>
              <w:spacing w:line="360" w:lineRule="auto"/>
              <w:jc w:val="center"/>
              <w:rPr>
                <w:rFonts w:hint="eastAsia" w:ascii="楷体" w:hAnsi="楷体" w:eastAsia="楷体" w:cs="楷体"/>
                <w:color w:val="000000"/>
                <w:sz w:val="24"/>
                <w:szCs w:val="24"/>
              </w:rPr>
            </w:pPr>
          </w:p>
        </w:tc>
        <w:tc>
          <w:tcPr>
            <w:tcW w:w="2410" w:type="dxa"/>
            <w:vAlign w:val="center"/>
          </w:tcPr>
          <w:p w14:paraId="087CC8CB">
            <w:pPr>
              <w:spacing w:line="360" w:lineRule="auto"/>
              <w:jc w:val="center"/>
              <w:rPr>
                <w:rFonts w:hint="eastAsia" w:ascii="楷体" w:hAnsi="楷体" w:eastAsia="楷体" w:cs="楷体"/>
                <w:color w:val="000000"/>
                <w:sz w:val="24"/>
                <w:szCs w:val="24"/>
              </w:rPr>
            </w:pPr>
          </w:p>
        </w:tc>
        <w:tc>
          <w:tcPr>
            <w:tcW w:w="2729" w:type="dxa"/>
            <w:vAlign w:val="center"/>
          </w:tcPr>
          <w:p w14:paraId="12E5DEDE">
            <w:pPr>
              <w:spacing w:line="360" w:lineRule="auto"/>
              <w:jc w:val="center"/>
              <w:rPr>
                <w:rFonts w:hint="eastAsia" w:ascii="楷体" w:hAnsi="楷体" w:eastAsia="楷体" w:cs="楷体"/>
                <w:color w:val="000000"/>
                <w:sz w:val="24"/>
                <w:szCs w:val="24"/>
              </w:rPr>
            </w:pPr>
          </w:p>
        </w:tc>
      </w:tr>
    </w:tbl>
    <w:p w14:paraId="1D93D99E">
      <w:pPr>
        <w:spacing w:line="360" w:lineRule="auto"/>
        <w:ind w:firstLine="480" w:firstLineChars="200"/>
        <w:rPr>
          <w:rFonts w:hint="eastAsia" w:ascii="楷体" w:hAnsi="楷体" w:eastAsia="楷体" w:cs="楷体"/>
          <w:color w:val="000000"/>
          <w:sz w:val="24"/>
          <w:szCs w:val="24"/>
        </w:rPr>
      </w:pPr>
    </w:p>
    <w:p w14:paraId="5DA13E8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000000"/>
    <w:rsid w:val="0CAB7129"/>
    <w:rsid w:val="4D6F6C1C"/>
    <w:rsid w:val="598641BE"/>
    <w:rsid w:val="5C2B0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4"/>
    <w:autoRedefine/>
    <w:qFormat/>
    <w:uiPriority w:val="0"/>
    <w:pPr>
      <w:jc w:val="left"/>
    </w:pPr>
    <w:rPr>
      <w:rFonts w:ascii="Copperplate Gothic Bold" w:hAnsi="Copperplate Gothic Bold"/>
      <w:sz w:val="28"/>
    </w:rPr>
  </w:style>
  <w:style w:type="paragraph" w:customStyle="1" w:styleId="4">
    <w:name w:val="正文1"/>
    <w:qFormat/>
    <w:uiPriority w:val="0"/>
    <w:pPr>
      <w:widowControl w:val="0"/>
      <w:adjustRightInd w:val="0"/>
      <w:spacing w:line="312" w:lineRule="atLeast"/>
      <w:jc w:val="both"/>
    </w:pPr>
    <w:rPr>
      <w:rFonts w:ascii="宋体" w:hAnsi="Times New Roman" w:eastAsia="宋体" w:cs="Times New Roman"/>
      <w:sz w:val="34"/>
      <w:lang w:val="en-US" w:eastAsia="zh-CN" w:bidi="ar-SA"/>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List Paragraph"/>
    <w:basedOn w:val="1"/>
    <w:autoRedefine/>
    <w:qFormat/>
    <w:uiPriority w:val="34"/>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15197</Words>
  <Characters>15819</Characters>
  <Lines>0</Lines>
  <Paragraphs>0</Paragraphs>
  <TotalTime>0</TotalTime>
  <ScaleCrop>false</ScaleCrop>
  <LinksUpToDate>false</LinksUpToDate>
  <CharactersWithSpaces>16732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2024-01-08T06:19:00Z</dcterms:created>
  <dc:creator>lenovo</dc:creator>
  <cp:lastModifiedBy>九尾猫</cp:lastModifiedBy>
  <dcterms:modified xsi:type="dcterms:W3CDTF">2024-11-22T15:09:48Z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4BB5EEAAF47C4DCA86C018882301323C_12</vt:lpwstr>
  </property>
</Properties>
</file>