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版本号：THXZB2025-102220250402001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校园路灯采购及安装项目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THXZB2025-1022</w:t>
      </w:r>
      <w:r>
        <w:br/>
      </w:r>
      <w:r>
        <w:br/>
      </w:r>
      <w:r>
        <w:br/>
      </w:r>
    </w:p>
    <w:p>
      <w:pPr>
        <w:pStyle w:val="null3"/>
        <w:jc w:val="center"/>
        <w:outlineLvl w:val="2"/>
      </w:pPr>
      <w:r>
        <w:rPr>
          <w:rFonts w:ascii="仿宋_GB2312" w:hAnsi="仿宋_GB2312" w:cs="仿宋_GB2312" w:eastAsia="仿宋_GB2312"/>
          <w:sz w:val="28"/>
          <w:b/>
        </w:rPr>
        <w:t>西安市大明宫中学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西安市大明宫中学</w:t>
      </w:r>
      <w:r>
        <w:rPr>
          <w:rFonts w:ascii="仿宋_GB2312" w:hAnsi="仿宋_GB2312" w:cs="仿宋_GB2312" w:eastAsia="仿宋_GB2312"/>
        </w:rPr>
        <w:t>委托，拟对</w:t>
      </w:r>
      <w:r>
        <w:rPr>
          <w:rFonts w:ascii="仿宋_GB2312" w:hAnsi="仿宋_GB2312" w:cs="仿宋_GB2312" w:eastAsia="仿宋_GB2312"/>
        </w:rPr>
        <w:t>校园路灯采购及安装项目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校园路灯采购及安装项目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西安市大明宫中学校园路灯采购及安装项目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2、法定代表人证明书及授权书：法定代表人直接参加磋商的须提交法定代表人证明书；法定代表人授权代表参加磋商的，须出具法定代表人证明书及授权书。</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3、财务状况报告：供应商须提供2023年度或2024年度经会计师事务所审计的审计报告（新成立企业可从成立当年开始提供相对应的财务报表）或其磋商前三个月内基本存款账户开户银行出具的资信证明。</w:t>
      </w:r>
    </w:p>
    <w:p>
      <w:pPr>
        <w:pStyle w:val="null3"/>
      </w:pPr>
      <w:r>
        <w:rPr>
          <w:rFonts w:ascii="仿宋_GB2312" w:hAnsi="仿宋_GB2312" w:cs="仿宋_GB2312" w:eastAsia="仿宋_GB2312"/>
        </w:rPr>
        <w:t>4、税收缴纳证明：供应商须提供磋商截止时间前半年内任意一个月的税收缴纳证明（依法免税或零申报的供应商须提供相关文件证明；若为新成立企业可提供相应月度的缴税证明）。</w:t>
      </w:r>
    </w:p>
    <w:p>
      <w:pPr>
        <w:pStyle w:val="null3"/>
      </w:pPr>
      <w:r>
        <w:rPr>
          <w:rFonts w:ascii="仿宋_GB2312" w:hAnsi="仿宋_GB2312" w:cs="仿宋_GB2312" w:eastAsia="仿宋_GB2312"/>
        </w:rPr>
        <w:t>5、社会保障资金缴纳证明：供应商须提供磋商截止时间前半年内任意一个月的社会保障资金缴纳证明（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7、没有重大违法记录的书面声明：供应商应具备良好的商业信誉，提供参加政府采购活动前3年内在经营活动中没有重大违法记录的书面声明。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西安市大明宫中学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西安市建强路铁一村5号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029-61252118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LED路灯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不足陆仟按陆仟计。</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踏勘时间：2025-04-11 14:30:00</w:t>
            </w:r>
          </w:p>
          <w:p>
            <w:pPr>
              <w:pStyle w:val="null3"/>
              <w:ind w:firstLine="975"/>
            </w:pPr>
            <w:r>
              <w:rPr>
                <w:rFonts w:ascii="仿宋_GB2312" w:hAnsi="仿宋_GB2312" w:cs="仿宋_GB2312" w:eastAsia="仿宋_GB2312"/>
              </w:rPr>
              <w:t>踏勘地点：西安市大明宫中学（请各供应商报名后致电代理机构确认现场踏勘事宜）</w:t>
            </w:r>
          </w:p>
          <w:p>
            <w:pPr>
              <w:pStyle w:val="null3"/>
              <w:ind w:firstLine="975"/>
            </w:pPr>
            <w:r>
              <w:rPr>
                <w:rFonts w:ascii="仿宋_GB2312" w:hAnsi="仿宋_GB2312" w:cs="仿宋_GB2312" w:eastAsia="仿宋_GB2312"/>
              </w:rPr>
              <w:t>联系人：卢工</w:t>
            </w:r>
          </w:p>
          <w:p>
            <w:pPr>
              <w:pStyle w:val="null3"/>
              <w:ind w:firstLine="975"/>
            </w:pPr>
            <w:r>
              <w:rPr>
                <w:rFonts w:ascii="仿宋_GB2312" w:hAnsi="仿宋_GB2312" w:cs="仿宋_GB2312" w:eastAsia="仿宋_GB2312"/>
              </w:rPr>
              <w:t>联系电话号码：029-88210791转809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西安市大明宫中学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西安市大明宫中学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联系人：卢晨驰</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西安市大明宫中学校园路灯采购及安装项目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校园路灯采购及安装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标的名称：校园路灯采购及安装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主要设备材料技术参数要求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8"/>
              <w:gridCol w:w="314"/>
              <w:gridCol w:w="1025"/>
              <w:gridCol w:w="190"/>
              <w:gridCol w:w="183"/>
            </w:tblGrid>
            <w:tr>
              <w:tc>
                <w:tcPr>
                  <w:tcW w:type="dxa" w:w="14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1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025"/>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规格参数</w:t>
                  </w:r>
                </w:p>
              </w:tc>
              <w:tc>
                <w:tcPr>
                  <w:tcW w:type="dxa" w:w="190"/>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c>
                <w:tcPr>
                  <w:tcW w:type="dxa" w:w="183"/>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庭院双头</w:t>
                  </w:r>
                </w:p>
                <w:p>
                  <w:pPr>
                    <w:pStyle w:val="null3"/>
                    <w:jc w:val="center"/>
                  </w:pPr>
                  <w:r>
                    <w:rPr>
                      <w:rFonts w:ascii="仿宋_GB2312" w:hAnsi="仿宋_GB2312" w:cs="仿宋_GB2312" w:eastAsia="仿宋_GB2312"/>
                      <w:sz w:val="21"/>
                    </w:rPr>
                    <w:t>路灯</w:t>
                  </w:r>
                </w:p>
                <w:p>
                  <w:pPr>
                    <w:pStyle w:val="null3"/>
                    <w:jc w:val="center"/>
                  </w:pPr>
                  <w:r>
                    <w:rPr>
                      <w:rFonts w:ascii="仿宋_GB2312" w:hAnsi="仿宋_GB2312" w:cs="仿宋_GB2312" w:eastAsia="仿宋_GB2312"/>
                      <w:sz w:val="21"/>
                      <w:b/>
                    </w:rPr>
                    <w:t>（核心产品）</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1.额定电压：AC220V；</w:t>
                  </w:r>
                </w:p>
                <w:p>
                  <w:pPr>
                    <w:pStyle w:val="null3"/>
                    <w:jc w:val="both"/>
                  </w:pPr>
                  <w:r>
                    <w:rPr>
                      <w:rFonts w:ascii="仿宋_GB2312" w:hAnsi="仿宋_GB2312" w:cs="仿宋_GB2312" w:eastAsia="仿宋_GB2312"/>
                      <w:sz w:val="21"/>
                    </w:rPr>
                    <w:t>2.额定功率：160W；</w:t>
                  </w:r>
                </w:p>
                <w:p>
                  <w:pPr>
                    <w:pStyle w:val="null3"/>
                    <w:jc w:val="both"/>
                  </w:pPr>
                  <w:r>
                    <w:rPr>
                      <w:rFonts w:ascii="仿宋_GB2312" w:hAnsi="仿宋_GB2312" w:cs="仿宋_GB2312" w:eastAsia="仿宋_GB2312"/>
                      <w:sz w:val="21"/>
                    </w:rPr>
                    <w:t>3.光源: LED光源，双灯头</w:t>
                  </w:r>
                  <w:r>
                    <w:rPr>
                      <w:rFonts w:ascii="仿宋_GB2312" w:hAnsi="仿宋_GB2312" w:cs="仿宋_GB2312" w:eastAsia="仿宋_GB2312"/>
                      <w:sz w:val="21"/>
                    </w:rPr>
                    <w:t>，</w:t>
                  </w:r>
                  <w:r>
                    <w:rPr>
                      <w:rFonts w:ascii="仿宋_GB2312" w:hAnsi="仿宋_GB2312" w:cs="仿宋_GB2312" w:eastAsia="仿宋_GB2312"/>
                      <w:sz w:val="21"/>
                    </w:rPr>
                    <w:t>灯具为国内知名品牌的照明专业产品</w:t>
                  </w:r>
                  <w:r>
                    <w:rPr>
                      <w:rFonts w:ascii="仿宋_GB2312" w:hAnsi="仿宋_GB2312" w:cs="仿宋_GB2312" w:eastAsia="仿宋_GB2312"/>
                      <w:sz w:val="21"/>
                    </w:rPr>
                    <w:t>，</w:t>
                  </w:r>
                  <w:r>
                    <w:rPr>
                      <w:rFonts w:ascii="仿宋_GB2312" w:hAnsi="仿宋_GB2312" w:cs="仿宋_GB2312" w:eastAsia="仿宋_GB2312"/>
                      <w:sz w:val="21"/>
                    </w:rPr>
                    <w:t>按照校园风格定制；</w:t>
                  </w:r>
                </w:p>
                <w:p>
                  <w:pPr>
                    <w:pStyle w:val="null3"/>
                    <w:jc w:val="both"/>
                  </w:pPr>
                  <w:r>
                    <w:rPr>
                      <w:rFonts w:ascii="仿宋_GB2312" w:hAnsi="仿宋_GB2312" w:cs="仿宋_GB2312" w:eastAsia="仿宋_GB2312"/>
                      <w:sz w:val="21"/>
                    </w:rPr>
                    <w:t>4.温度范围：-20℃～+40℃；湿度范围：10%-95%；5.L</w:t>
                  </w:r>
                  <w:r>
                    <w:rPr>
                      <w:rFonts w:ascii="仿宋_GB2312" w:hAnsi="仿宋_GB2312" w:cs="仿宋_GB2312" w:eastAsia="仿宋_GB2312"/>
                      <w:sz w:val="21"/>
                    </w:rPr>
                    <w:t>ED</w:t>
                  </w:r>
                  <w:r>
                    <w:rPr>
                      <w:rFonts w:ascii="仿宋_GB2312" w:hAnsi="仿宋_GB2312" w:cs="仿宋_GB2312" w:eastAsia="仿宋_GB2312"/>
                      <w:sz w:val="21"/>
                    </w:rPr>
                    <w:t>光源寿命</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万小时；光源效率</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0Lm/W</w:t>
                  </w:r>
                  <w:r>
                    <w:rPr>
                      <w:rFonts w:ascii="仿宋_GB2312" w:hAnsi="仿宋_GB2312" w:cs="仿宋_GB2312" w:eastAsia="仿宋_GB2312"/>
                      <w:sz w:val="21"/>
                    </w:rPr>
                    <w:t>；</w:t>
                  </w:r>
                </w:p>
                <w:p>
                  <w:pPr>
                    <w:pStyle w:val="null3"/>
                  </w:pPr>
                  <w:r>
                    <w:rPr>
                      <w:rFonts w:ascii="仿宋_GB2312" w:hAnsi="仿宋_GB2312" w:cs="仿宋_GB2312" w:eastAsia="仿宋_GB2312"/>
                      <w:sz w:val="21"/>
                    </w:rPr>
                    <w:t>6．光源采用SMD封装方式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7．驱动电源品牌为知名品牌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.功率因数：&gt;0.95；</w:t>
                  </w:r>
                </w:p>
                <w:p>
                  <w:pPr>
                    <w:pStyle w:val="null3"/>
                    <w:jc w:val="both"/>
                  </w:pPr>
                  <w:r>
                    <w:rPr>
                      <w:rFonts w:ascii="仿宋_GB2312" w:hAnsi="仿宋_GB2312" w:cs="仿宋_GB2312" w:eastAsia="仿宋_GB2312"/>
                      <w:sz w:val="21"/>
                    </w:rPr>
                    <w:t>9.整体光效：&gt;150lm/W；</w:t>
                  </w:r>
                </w:p>
                <w:p>
                  <w:pPr>
                    <w:pStyle w:val="null3"/>
                    <w:jc w:val="both"/>
                  </w:pPr>
                  <w:r>
                    <w:rPr>
                      <w:rFonts w:ascii="仿宋_GB2312" w:hAnsi="仿宋_GB2312" w:cs="仿宋_GB2312" w:eastAsia="仿宋_GB2312"/>
                      <w:sz w:val="21"/>
                    </w:rPr>
                    <w:t>10.防护等级：≥IP65；</w:t>
                  </w:r>
                </w:p>
                <w:p>
                  <w:pPr>
                    <w:pStyle w:val="null3"/>
                    <w:jc w:val="both"/>
                  </w:pPr>
                  <w:r>
                    <w:rPr>
                      <w:rFonts w:ascii="仿宋_GB2312" w:hAnsi="仿宋_GB2312" w:cs="仿宋_GB2312" w:eastAsia="仿宋_GB2312"/>
                      <w:sz w:val="21"/>
                    </w:rPr>
                    <w:t>11.防腐等级：≥WF2；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.光源色温：5700K白光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.显色指数：&gt;90</w:t>
                  </w:r>
                </w:p>
                <w:p>
                  <w:pPr>
                    <w:pStyle w:val="null3"/>
                    <w:jc w:val="both"/>
                  </w:pPr>
                  <w:r>
                    <w:rPr>
                      <w:rFonts w:ascii="仿宋_GB2312" w:hAnsi="仿宋_GB2312" w:cs="仿宋_GB2312" w:eastAsia="仿宋_GB2312"/>
                      <w:sz w:val="21"/>
                    </w:rPr>
                    <w:t>14.灯杆高度：4米；灯杆造型</w:t>
                  </w:r>
                  <w:r>
                    <w:rPr>
                      <w:rFonts w:ascii="仿宋_GB2312" w:hAnsi="仿宋_GB2312" w:cs="仿宋_GB2312" w:eastAsia="仿宋_GB2312"/>
                      <w:sz w:val="21"/>
                    </w:rPr>
                    <w:t>可</w:t>
                  </w:r>
                  <w:r>
                    <w:rPr>
                      <w:rFonts w:ascii="仿宋_GB2312" w:hAnsi="仿宋_GB2312" w:cs="仿宋_GB2312" w:eastAsia="仿宋_GB2312"/>
                      <w:sz w:val="21"/>
                    </w:rPr>
                    <w:t>定制校园文化元素；灯杆预埋件材料强度与耐腐蚀性符合国家标准，预埋件垂直设置</w:t>
                  </w:r>
                  <w:r>
                    <w:rPr>
                      <w:rFonts w:ascii="仿宋_GB2312" w:hAnsi="仿宋_GB2312" w:cs="仿宋_GB2312" w:eastAsia="仿宋_GB2312"/>
                      <w:sz w:val="21"/>
                    </w:rPr>
                    <w:t>，</w:t>
                  </w:r>
                  <w:r>
                    <w:rPr>
                      <w:rFonts w:ascii="仿宋_GB2312" w:hAnsi="仿宋_GB2312" w:cs="仿宋_GB2312" w:eastAsia="仿宋_GB2312"/>
                      <w:sz w:val="21"/>
                    </w:rPr>
                    <w:t>预埋件高度</w:t>
                  </w:r>
                  <w:r>
                    <w:rPr>
                      <w:rFonts w:ascii="仿宋_GB2312" w:hAnsi="仿宋_GB2312" w:cs="仿宋_GB2312" w:eastAsia="仿宋_GB2312"/>
                      <w:sz w:val="21"/>
                    </w:rPr>
                    <w:t>≥800mm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15.安装要求：从配电箱引出后，采用埋地敷设。需要跨路的，破路埋穿线管后恢复路面</w:t>
                  </w:r>
                  <w:r>
                    <w:rPr>
                      <w:rFonts w:ascii="仿宋_GB2312" w:hAnsi="仿宋_GB2312" w:cs="仿宋_GB2312" w:eastAsia="仿宋_GB2312"/>
                      <w:sz w:val="21"/>
                    </w:rPr>
                    <w:t>原样</w:t>
                  </w:r>
                  <w:r>
                    <w:rPr>
                      <w:rFonts w:ascii="仿宋_GB2312" w:hAnsi="仿宋_GB2312" w:cs="仿宋_GB2312" w:eastAsia="仿宋_GB2312"/>
                      <w:sz w:val="21"/>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32</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花园草坪灯</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1.额定电压：AC220V；</w:t>
                  </w:r>
                </w:p>
                <w:p>
                  <w:pPr>
                    <w:pStyle w:val="null3"/>
                    <w:jc w:val="both"/>
                  </w:pPr>
                  <w:r>
                    <w:rPr>
                      <w:rFonts w:ascii="仿宋_GB2312" w:hAnsi="仿宋_GB2312" w:cs="仿宋_GB2312" w:eastAsia="仿宋_GB2312"/>
                      <w:sz w:val="21"/>
                    </w:rPr>
                    <w:t>2.额定功率：20W；</w:t>
                  </w:r>
                </w:p>
                <w:p>
                  <w:pPr>
                    <w:pStyle w:val="null3"/>
                    <w:jc w:val="both"/>
                  </w:pPr>
                  <w:r>
                    <w:rPr>
                      <w:rFonts w:ascii="仿宋_GB2312" w:hAnsi="仿宋_GB2312" w:cs="仿宋_GB2312" w:eastAsia="仿宋_GB2312"/>
                      <w:sz w:val="21"/>
                    </w:rPr>
                    <w:t>3.光源：LED光源，灯具为国内知名品牌的照明专业产品；按照校园风格定制；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温度范围：</w:t>
                  </w:r>
                  <w:r>
                    <w:rPr>
                      <w:rFonts w:ascii="仿宋_GB2312" w:hAnsi="仿宋_GB2312" w:cs="仿宋_GB2312" w:eastAsia="仿宋_GB2312"/>
                      <w:sz w:val="21"/>
                    </w:rPr>
                    <w:t>-20℃～+40℃；湿度范围：10%-95%；5.L</w:t>
                  </w:r>
                  <w:r>
                    <w:rPr>
                      <w:rFonts w:ascii="仿宋_GB2312" w:hAnsi="仿宋_GB2312" w:cs="仿宋_GB2312" w:eastAsia="仿宋_GB2312"/>
                      <w:sz w:val="21"/>
                    </w:rPr>
                    <w:t>ED</w:t>
                  </w:r>
                  <w:r>
                    <w:rPr>
                      <w:rFonts w:ascii="仿宋_GB2312" w:hAnsi="仿宋_GB2312" w:cs="仿宋_GB2312" w:eastAsia="仿宋_GB2312"/>
                      <w:sz w:val="21"/>
                    </w:rPr>
                    <w:t>光源寿命</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万小时；光源效率</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0Lm/W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.功率因数：&gt;0.95；</w:t>
                  </w:r>
                </w:p>
                <w:p>
                  <w:pPr>
                    <w:pStyle w:val="null3"/>
                    <w:jc w:val="both"/>
                  </w:pPr>
                  <w:r>
                    <w:rPr>
                      <w:rFonts w:ascii="仿宋_GB2312" w:hAnsi="仿宋_GB2312" w:cs="仿宋_GB2312" w:eastAsia="仿宋_GB2312"/>
                      <w:sz w:val="21"/>
                    </w:rPr>
                    <w:t>7.整体光效：&gt;150lm/W；</w:t>
                  </w:r>
                </w:p>
                <w:p>
                  <w:pPr>
                    <w:pStyle w:val="null3"/>
                    <w:jc w:val="both"/>
                  </w:pPr>
                  <w:r>
                    <w:rPr>
                      <w:rFonts w:ascii="仿宋_GB2312" w:hAnsi="仿宋_GB2312" w:cs="仿宋_GB2312" w:eastAsia="仿宋_GB2312"/>
                      <w:sz w:val="21"/>
                    </w:rPr>
                    <w:t>8.防护等级：≥IP65；</w:t>
                  </w:r>
                </w:p>
                <w:p>
                  <w:pPr>
                    <w:pStyle w:val="null3"/>
                    <w:jc w:val="both"/>
                  </w:pPr>
                  <w:r>
                    <w:rPr>
                      <w:rFonts w:ascii="仿宋_GB2312" w:hAnsi="仿宋_GB2312" w:cs="仿宋_GB2312" w:eastAsia="仿宋_GB2312"/>
                      <w:sz w:val="21"/>
                    </w:rPr>
                    <w:t>9.防腐等级：≥WF2；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.光源色温：5700K白光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.显色指数：&gt;90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12.灯杆高度：0.6米；灯杆造型</w:t>
                  </w:r>
                  <w:r>
                    <w:rPr>
                      <w:rFonts w:ascii="仿宋_GB2312" w:hAnsi="仿宋_GB2312" w:cs="仿宋_GB2312" w:eastAsia="仿宋_GB2312"/>
                      <w:sz w:val="21"/>
                    </w:rPr>
                    <w:t>可</w:t>
                  </w:r>
                  <w:r>
                    <w:rPr>
                      <w:rFonts w:ascii="仿宋_GB2312" w:hAnsi="仿宋_GB2312" w:cs="仿宋_GB2312" w:eastAsia="仿宋_GB2312"/>
                      <w:sz w:val="21"/>
                    </w:rPr>
                    <w:t>定制校园文化元素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13.安装要求：从配电箱引出后采用埋地敷设。需要跨路的，破路埋穿线管后恢复路面</w:t>
                  </w:r>
                  <w:r>
                    <w:rPr>
                      <w:rFonts w:ascii="仿宋_GB2312" w:hAnsi="仿宋_GB2312" w:cs="仿宋_GB2312" w:eastAsia="仿宋_GB2312"/>
                      <w:sz w:val="21"/>
                    </w:rPr>
                    <w:t>原样</w:t>
                  </w:r>
                  <w:r>
                    <w:rPr>
                      <w:rFonts w:ascii="仿宋_GB2312" w:hAnsi="仿宋_GB2312" w:cs="仿宋_GB2312" w:eastAsia="仿宋_GB2312"/>
                      <w:sz w:val="21"/>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壁装校园</w:t>
                  </w:r>
                </w:p>
                <w:p>
                  <w:pPr>
                    <w:pStyle w:val="null3"/>
                    <w:jc w:val="center"/>
                  </w:pPr>
                  <w:r>
                    <w:rPr>
                      <w:rFonts w:ascii="仿宋_GB2312" w:hAnsi="仿宋_GB2312" w:cs="仿宋_GB2312" w:eastAsia="仿宋_GB2312"/>
                      <w:sz w:val="21"/>
                    </w:rPr>
                    <w:t>景观灯</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1.额定电压：AC220V；</w:t>
                  </w:r>
                </w:p>
                <w:p>
                  <w:pPr>
                    <w:pStyle w:val="null3"/>
                    <w:jc w:val="both"/>
                  </w:pPr>
                  <w:r>
                    <w:rPr>
                      <w:rFonts w:ascii="仿宋_GB2312" w:hAnsi="仿宋_GB2312" w:cs="仿宋_GB2312" w:eastAsia="仿宋_GB2312"/>
                      <w:sz w:val="21"/>
                    </w:rPr>
                    <w:t>2.额定功率：50W；</w:t>
                  </w:r>
                </w:p>
                <w:p>
                  <w:pPr>
                    <w:pStyle w:val="null3"/>
                    <w:jc w:val="both"/>
                  </w:pPr>
                  <w:r>
                    <w:rPr>
                      <w:rFonts w:ascii="仿宋_GB2312" w:hAnsi="仿宋_GB2312" w:cs="仿宋_GB2312" w:eastAsia="仿宋_GB2312"/>
                      <w:sz w:val="21"/>
                    </w:rPr>
                    <w:t>3.光源：LED光源，灯具为国内知名品牌的照明专业产品；按照校园风格定制；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温度范围：</w:t>
                  </w:r>
                  <w:r>
                    <w:rPr>
                      <w:rFonts w:ascii="仿宋_GB2312" w:hAnsi="仿宋_GB2312" w:cs="仿宋_GB2312" w:eastAsia="仿宋_GB2312"/>
                      <w:sz w:val="21"/>
                    </w:rPr>
                    <w:t>-20℃～+40℃；湿度范围：10%-95%；5</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ED</w:t>
                  </w:r>
                  <w:r>
                    <w:rPr>
                      <w:rFonts w:ascii="仿宋_GB2312" w:hAnsi="仿宋_GB2312" w:cs="仿宋_GB2312" w:eastAsia="仿宋_GB2312"/>
                      <w:sz w:val="21"/>
                    </w:rPr>
                    <w:t>光源寿命</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万小时；光源效率</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0Lm/W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.功率因数：&gt;0.95；</w:t>
                  </w:r>
                </w:p>
                <w:p>
                  <w:pPr>
                    <w:pStyle w:val="null3"/>
                    <w:jc w:val="both"/>
                  </w:pPr>
                  <w:r>
                    <w:rPr>
                      <w:rFonts w:ascii="仿宋_GB2312" w:hAnsi="仿宋_GB2312" w:cs="仿宋_GB2312" w:eastAsia="仿宋_GB2312"/>
                      <w:sz w:val="21"/>
                    </w:rPr>
                    <w:t>7.整体光效：&gt;120lm/W；</w:t>
                  </w:r>
                </w:p>
                <w:p>
                  <w:pPr>
                    <w:pStyle w:val="null3"/>
                    <w:jc w:val="both"/>
                  </w:pPr>
                  <w:r>
                    <w:rPr>
                      <w:rFonts w:ascii="仿宋_GB2312" w:hAnsi="仿宋_GB2312" w:cs="仿宋_GB2312" w:eastAsia="仿宋_GB2312"/>
                      <w:sz w:val="21"/>
                    </w:rPr>
                    <w:t>8.防护等级：≥IP65；</w:t>
                  </w:r>
                </w:p>
                <w:p>
                  <w:pPr>
                    <w:pStyle w:val="null3"/>
                    <w:jc w:val="both"/>
                  </w:pPr>
                  <w:r>
                    <w:rPr>
                      <w:rFonts w:ascii="仿宋_GB2312" w:hAnsi="仿宋_GB2312" w:cs="仿宋_GB2312" w:eastAsia="仿宋_GB2312"/>
                      <w:sz w:val="21"/>
                    </w:rPr>
                    <w:t>9.防腐等级：≥WF2；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.光源色温：5700K白光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.显色指数：&gt;90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12.安装高度：4米；</w:t>
                  </w:r>
                </w:p>
                <w:p>
                  <w:pPr>
                    <w:pStyle w:val="null3"/>
                    <w:jc w:val="both"/>
                  </w:pPr>
                  <w:r>
                    <w:rPr>
                      <w:rFonts w:ascii="仿宋_GB2312" w:hAnsi="仿宋_GB2312" w:cs="仿宋_GB2312" w:eastAsia="仿宋_GB2312"/>
                      <w:sz w:val="21"/>
                    </w:rPr>
                    <w:t>13.安装要求：从配电箱引出后采用埋地敷设。需要跨路的，破路埋穿线管后恢复路面</w:t>
                  </w:r>
                  <w:r>
                    <w:rPr>
                      <w:rFonts w:ascii="仿宋_GB2312" w:hAnsi="仿宋_GB2312" w:cs="仿宋_GB2312" w:eastAsia="仿宋_GB2312"/>
                      <w:sz w:val="21"/>
                    </w:rPr>
                    <w:t>原样</w:t>
                  </w:r>
                  <w:r>
                    <w:rPr>
                      <w:rFonts w:ascii="仿宋_GB2312" w:hAnsi="仿宋_GB2312" w:cs="仿宋_GB2312" w:eastAsia="仿宋_GB2312"/>
                      <w:sz w:val="21"/>
                    </w:rPr>
                    <w:t>。过学校大门时，采用过学校外道路绕行敷设再引回。主线采用</w:t>
                  </w:r>
                  <w:r>
                    <w:rPr>
                      <w:rFonts w:ascii="仿宋_GB2312" w:hAnsi="仿宋_GB2312" w:cs="仿宋_GB2312" w:eastAsia="仿宋_GB2312"/>
                      <w:sz w:val="21"/>
                    </w:rPr>
                    <w:t>RVV-2*4电缆。</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体育场</w:t>
                  </w:r>
                </w:p>
                <w:p>
                  <w:pPr>
                    <w:pStyle w:val="null3"/>
                    <w:jc w:val="center"/>
                  </w:pPr>
                  <w:r>
                    <w:rPr>
                      <w:rFonts w:ascii="仿宋_GB2312" w:hAnsi="仿宋_GB2312" w:cs="仿宋_GB2312" w:eastAsia="仿宋_GB2312"/>
                      <w:sz w:val="21"/>
                    </w:rPr>
                    <w:t>照明灯</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1.额定电压：AC220V；</w:t>
                  </w:r>
                </w:p>
                <w:p>
                  <w:pPr>
                    <w:pStyle w:val="null3"/>
                    <w:jc w:val="both"/>
                  </w:pPr>
                  <w:r>
                    <w:rPr>
                      <w:rFonts w:ascii="仿宋_GB2312" w:hAnsi="仿宋_GB2312" w:cs="仿宋_GB2312" w:eastAsia="仿宋_GB2312"/>
                      <w:sz w:val="21"/>
                    </w:rPr>
                    <w:t>2.额定功率：100W；</w:t>
                  </w:r>
                </w:p>
                <w:p>
                  <w:pPr>
                    <w:pStyle w:val="null3"/>
                    <w:jc w:val="both"/>
                  </w:pPr>
                  <w:r>
                    <w:rPr>
                      <w:rFonts w:ascii="仿宋_GB2312" w:hAnsi="仿宋_GB2312" w:cs="仿宋_GB2312" w:eastAsia="仿宋_GB2312"/>
                      <w:sz w:val="21"/>
                    </w:rPr>
                    <w:t>3.光源：LED光源，灯具为国内知名品牌的照明专业产品，按照校园风格定制；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温度范围：</w:t>
                  </w:r>
                  <w:r>
                    <w:rPr>
                      <w:rFonts w:ascii="仿宋_GB2312" w:hAnsi="仿宋_GB2312" w:cs="仿宋_GB2312" w:eastAsia="仿宋_GB2312"/>
                      <w:sz w:val="21"/>
                    </w:rPr>
                    <w:t>-20℃～+40℃；湿度范围：10%-95%；5.L</w:t>
                  </w:r>
                  <w:r>
                    <w:rPr>
                      <w:rFonts w:ascii="仿宋_GB2312" w:hAnsi="仿宋_GB2312" w:cs="仿宋_GB2312" w:eastAsia="仿宋_GB2312"/>
                      <w:sz w:val="21"/>
                    </w:rPr>
                    <w:t>ED</w:t>
                  </w:r>
                  <w:r>
                    <w:rPr>
                      <w:rFonts w:ascii="仿宋_GB2312" w:hAnsi="仿宋_GB2312" w:cs="仿宋_GB2312" w:eastAsia="仿宋_GB2312"/>
                      <w:sz w:val="21"/>
                    </w:rPr>
                    <w:t>光源寿命</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万小时；光源效率</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0Lm/W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.功率因数：&gt;0.95；</w:t>
                  </w:r>
                </w:p>
                <w:p>
                  <w:pPr>
                    <w:pStyle w:val="null3"/>
                    <w:jc w:val="both"/>
                  </w:pPr>
                  <w:r>
                    <w:rPr>
                      <w:rFonts w:ascii="仿宋_GB2312" w:hAnsi="仿宋_GB2312" w:cs="仿宋_GB2312" w:eastAsia="仿宋_GB2312"/>
                      <w:sz w:val="21"/>
                    </w:rPr>
                    <w:t>7.整体光效：&gt;120lm/W；</w:t>
                  </w:r>
                </w:p>
                <w:p>
                  <w:pPr>
                    <w:pStyle w:val="null3"/>
                    <w:jc w:val="both"/>
                  </w:pPr>
                  <w:r>
                    <w:rPr>
                      <w:rFonts w:ascii="仿宋_GB2312" w:hAnsi="仿宋_GB2312" w:cs="仿宋_GB2312" w:eastAsia="仿宋_GB2312"/>
                      <w:sz w:val="21"/>
                    </w:rPr>
                    <w:t>8.防护等级：≥IP65；</w:t>
                  </w:r>
                </w:p>
                <w:p>
                  <w:pPr>
                    <w:pStyle w:val="null3"/>
                    <w:jc w:val="both"/>
                  </w:pPr>
                  <w:r>
                    <w:rPr>
                      <w:rFonts w:ascii="仿宋_GB2312" w:hAnsi="仿宋_GB2312" w:cs="仿宋_GB2312" w:eastAsia="仿宋_GB2312"/>
                      <w:sz w:val="21"/>
                    </w:rPr>
                    <w:t>9.防腐等级：≥WF2；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.光源色温：≥5</w:t>
                  </w:r>
                  <w:r>
                    <w:rPr>
                      <w:rFonts w:ascii="仿宋_GB2312" w:hAnsi="仿宋_GB2312" w:cs="仿宋_GB2312" w:eastAsia="仿宋_GB2312"/>
                      <w:sz w:val="21"/>
                    </w:rPr>
                    <w:t>7</w:t>
                  </w:r>
                  <w:r>
                    <w:rPr>
                      <w:rFonts w:ascii="仿宋_GB2312" w:hAnsi="仿宋_GB2312" w:cs="仿宋_GB2312" w:eastAsia="仿宋_GB2312"/>
                      <w:sz w:val="21"/>
                    </w:rPr>
                    <w:t>00K白光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.显色指数：&gt;90</w:t>
                  </w:r>
                </w:p>
                <w:p>
                  <w:pPr>
                    <w:pStyle w:val="null3"/>
                    <w:jc w:val="both"/>
                  </w:pPr>
                  <w:r>
                    <w:rPr>
                      <w:rFonts w:ascii="仿宋_GB2312" w:hAnsi="仿宋_GB2312" w:cs="仿宋_GB2312" w:eastAsia="仿宋_GB2312"/>
                      <w:sz w:val="21"/>
                    </w:rPr>
                    <w:t>12.安装高度：</w:t>
                  </w:r>
                  <w:r>
                    <w:rPr>
                      <w:rFonts w:ascii="仿宋_GB2312" w:hAnsi="仿宋_GB2312" w:cs="仿宋_GB2312" w:eastAsia="仿宋_GB2312"/>
                      <w:sz w:val="21"/>
                    </w:rPr>
                    <w:t>其中</w:t>
                  </w:r>
                  <w:r>
                    <w:rPr>
                      <w:rFonts w:ascii="仿宋_GB2312" w:hAnsi="仿宋_GB2312" w:cs="仿宋_GB2312" w:eastAsia="仿宋_GB2312"/>
                      <w:sz w:val="21"/>
                    </w:rPr>
                    <w:t>40套灯具中带灯杆</w:t>
                  </w:r>
                  <w:r>
                    <w:rPr>
                      <w:rFonts w:ascii="仿宋_GB2312" w:hAnsi="仿宋_GB2312" w:cs="仿宋_GB2312" w:eastAsia="仿宋_GB2312"/>
                      <w:sz w:val="21"/>
                    </w:rPr>
                    <w:t>的共</w:t>
                  </w:r>
                  <w:r>
                    <w:rPr>
                      <w:rFonts w:ascii="仿宋_GB2312" w:hAnsi="仿宋_GB2312" w:cs="仿宋_GB2312" w:eastAsia="仿宋_GB2312"/>
                      <w:sz w:val="21"/>
                    </w:rPr>
                    <w:t>10套，</w:t>
                  </w:r>
                  <w:r>
                    <w:rPr>
                      <w:rFonts w:ascii="仿宋_GB2312" w:hAnsi="仿宋_GB2312" w:cs="仿宋_GB2312" w:eastAsia="仿宋_GB2312"/>
                      <w:sz w:val="21"/>
                    </w:rPr>
                    <w:t>安装</w:t>
                  </w:r>
                  <w:r>
                    <w:rPr>
                      <w:rFonts w:ascii="仿宋_GB2312" w:hAnsi="仿宋_GB2312" w:cs="仿宋_GB2312" w:eastAsia="仿宋_GB2312"/>
                      <w:sz w:val="21"/>
                    </w:rPr>
                    <w:t>灯杆高</w:t>
                  </w:r>
                  <w:r>
                    <w:rPr>
                      <w:rFonts w:ascii="仿宋_GB2312" w:hAnsi="仿宋_GB2312" w:cs="仿宋_GB2312" w:eastAsia="仿宋_GB2312"/>
                      <w:sz w:val="21"/>
                    </w:rPr>
                    <w:t>4</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另外</w:t>
                  </w:r>
                  <w:r>
                    <w:rPr>
                      <w:rFonts w:ascii="仿宋_GB2312" w:hAnsi="仿宋_GB2312" w:cs="仿宋_GB2312" w:eastAsia="仿宋_GB2312"/>
                      <w:sz w:val="21"/>
                    </w:rPr>
                    <w:t>30套不带灯杆，安装在围墙护栏4</w:t>
                  </w:r>
                  <w:r>
                    <w:rPr>
                      <w:rFonts w:ascii="仿宋_GB2312" w:hAnsi="仿宋_GB2312" w:cs="仿宋_GB2312" w:eastAsia="仿宋_GB2312"/>
                      <w:sz w:val="21"/>
                    </w:rPr>
                    <w:t>米</w:t>
                  </w:r>
                  <w:r>
                    <w:rPr>
                      <w:rFonts w:ascii="仿宋_GB2312" w:hAnsi="仿宋_GB2312" w:cs="仿宋_GB2312" w:eastAsia="仿宋_GB2312"/>
                      <w:sz w:val="21"/>
                    </w:rPr>
                    <w:t>高处。</w:t>
                  </w:r>
                </w:p>
                <w:p>
                  <w:pPr>
                    <w:pStyle w:val="null3"/>
                    <w:jc w:val="both"/>
                  </w:pPr>
                  <w:r>
                    <w:rPr>
                      <w:rFonts w:ascii="仿宋_GB2312" w:hAnsi="仿宋_GB2312" w:cs="仿宋_GB2312" w:eastAsia="仿宋_GB2312"/>
                      <w:sz w:val="21"/>
                    </w:rPr>
                    <w:t>13.安装要求：线路敷设采穿线管地埋敷设。主线采用YJV-5*4电缆。从配电箱引出后至操场围栏末端引入埋地敷设。由于体育场照明灯安装地埋处均已铺设人工草坪，为保证人工草坪的完整性，电缆须沿围墙外敷设，从配电箱引出后采用埋地敷设。需要跨路的，破路埋穿线管后恢复路面</w:t>
                  </w:r>
                  <w:r>
                    <w:rPr>
                      <w:rFonts w:ascii="仿宋_GB2312" w:hAnsi="仿宋_GB2312" w:cs="仿宋_GB2312" w:eastAsia="仿宋_GB2312"/>
                      <w:sz w:val="21"/>
                    </w:rPr>
                    <w:t>原样</w:t>
                  </w:r>
                  <w:r>
                    <w:rPr>
                      <w:rFonts w:ascii="仿宋_GB2312" w:hAnsi="仿宋_GB2312" w:cs="仿宋_GB2312" w:eastAsia="仿宋_GB2312"/>
                      <w:sz w:val="21"/>
                    </w:rPr>
                    <w:t>，</w:t>
                  </w:r>
                  <w:r>
                    <w:rPr>
                      <w:rFonts w:ascii="仿宋_GB2312" w:hAnsi="仿宋_GB2312" w:cs="仿宋_GB2312" w:eastAsia="仿宋_GB2312"/>
                      <w:sz w:val="21"/>
                    </w:rPr>
                    <w:t>拆除人工草坪开槽敷设后恢复草坪。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p>
                  <w:pPr>
                    <w:pStyle w:val="null3"/>
                    <w:jc w:val="center"/>
                  </w:pP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灯具控制配电箱</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安装在控制配电室、含断路器、接触器等设备，包含老配电设备的拆除及线路改造；</w:t>
                  </w:r>
                  <w:r>
                    <w:rPr>
                      <w:rFonts w:ascii="仿宋_GB2312" w:hAnsi="仿宋_GB2312" w:cs="仿宋_GB2312" w:eastAsia="仿宋_GB2312"/>
                      <w:sz w:val="21"/>
                    </w:rPr>
                    <w:t>主进线从总配电箱引，主线采用</w:t>
                  </w:r>
                  <w:r>
                    <w:rPr>
                      <w:rFonts w:ascii="仿宋_GB2312" w:hAnsi="仿宋_GB2312" w:cs="仿宋_GB2312" w:eastAsia="仿宋_GB2312"/>
                      <w:sz w:val="21"/>
                    </w:rPr>
                    <w:t>YJV-5*10电缆</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电力线缆</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YJV</w:t>
                  </w:r>
                  <w:r>
                    <w:rPr>
                      <w:rFonts w:ascii="仿宋_GB2312" w:hAnsi="仿宋_GB2312" w:cs="仿宋_GB2312" w:eastAsia="仿宋_GB2312"/>
                      <w:sz w:val="21"/>
                    </w:rPr>
                    <w:t>-5*10国标电缆；满足标准</w:t>
                  </w:r>
                  <w:r>
                    <w:rPr>
                      <w:rFonts w:ascii="仿宋_GB2312" w:hAnsi="仿宋_GB2312" w:cs="仿宋_GB2312" w:eastAsia="仿宋_GB2312"/>
                      <w:sz w:val="21"/>
                    </w:rPr>
                    <w:t>GB/T 19666-20</w:t>
                  </w:r>
                  <w:r>
                    <w:rPr>
                      <w:rFonts w:ascii="仿宋_GB2312" w:hAnsi="仿宋_GB2312" w:cs="仿宋_GB2312" w:eastAsia="仿宋_GB2312"/>
                      <w:sz w:val="21"/>
                    </w:rPr>
                    <w:t>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电力线缆</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YJV</w:t>
                  </w:r>
                  <w:r>
                    <w:rPr>
                      <w:rFonts w:ascii="仿宋_GB2312" w:hAnsi="仿宋_GB2312" w:cs="仿宋_GB2312" w:eastAsia="仿宋_GB2312"/>
                      <w:sz w:val="21"/>
                    </w:rPr>
                    <w:t>-3*2.5国标电缆；满足标准</w:t>
                  </w:r>
                  <w:r>
                    <w:rPr>
                      <w:rFonts w:ascii="仿宋_GB2312" w:hAnsi="仿宋_GB2312" w:cs="仿宋_GB2312" w:eastAsia="仿宋_GB2312"/>
                      <w:sz w:val="21"/>
                    </w:rPr>
                    <w:t>GB/T 19666-20</w:t>
                  </w:r>
                  <w:r>
                    <w:rPr>
                      <w:rFonts w:ascii="仿宋_GB2312" w:hAnsi="仿宋_GB2312" w:cs="仿宋_GB2312" w:eastAsia="仿宋_GB2312"/>
                      <w:sz w:val="21"/>
                    </w:rPr>
                    <w:t>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电力线缆</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YJV</w:t>
                  </w:r>
                  <w:r>
                    <w:rPr>
                      <w:rFonts w:ascii="仿宋_GB2312" w:hAnsi="仿宋_GB2312" w:cs="仿宋_GB2312" w:eastAsia="仿宋_GB2312"/>
                      <w:sz w:val="21"/>
                    </w:rPr>
                    <w:t>-5*4国标电缆；满足标准GB/T 19666-2019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绝缘导线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RVV-2*2.5国标电缆；满足标准GB/T 19666-2019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绝缘导线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BV-4 国标电缆；满足标准GB/T 19666-2019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绝缘导线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BV-2.5国标电缆</w:t>
                  </w:r>
                  <w:r>
                    <w:rPr>
                      <w:rFonts w:ascii="仿宋_GB2312" w:hAnsi="仿宋_GB2312" w:cs="仿宋_GB2312" w:eastAsia="仿宋_GB2312"/>
                      <w:sz w:val="21"/>
                    </w:rPr>
                    <w:t>；</w:t>
                  </w:r>
                  <w:r>
                    <w:rPr>
                      <w:rFonts w:ascii="仿宋_GB2312" w:hAnsi="仿宋_GB2312" w:cs="仿宋_GB2312" w:eastAsia="仿宋_GB2312"/>
                      <w:sz w:val="21"/>
                    </w:rPr>
                    <w:t>满足标准</w:t>
                  </w:r>
                  <w:r>
                    <w:rPr>
                      <w:rFonts w:ascii="仿宋_GB2312" w:hAnsi="仿宋_GB2312" w:cs="仿宋_GB2312" w:eastAsia="仿宋_GB2312"/>
                      <w:sz w:val="21"/>
                    </w:rPr>
                    <w:t>GB/T 19666-2019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保护管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DN-32   满足标准GB/T 3091-1993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保护管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pvc-32 满足标准JG3050-1998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保护管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pvc-25  满足标准JG3050-1998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保护管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pvc-20满足标准JG3050-1998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1205</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保护管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pvc-2线槽（喷漆）满足标准JG3050-1998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电缆头制作</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现场加工</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沟槽开挖</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含恢复深度</w:t>
                  </w:r>
                  <w:r>
                    <w:rPr>
                      <w:rFonts w:ascii="仿宋_GB2312" w:hAnsi="仿宋_GB2312" w:cs="仿宋_GB2312" w:eastAsia="仿宋_GB2312"/>
                      <w:sz w:val="21"/>
                    </w:rPr>
                    <w:t>350mm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670</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混凝土路面</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切除开挖、恢复</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庭院双头灯基础</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黄土开挖、基础制作</w:t>
                  </w:r>
                  <w:r>
                    <w:rPr>
                      <w:rFonts w:ascii="仿宋_GB2312" w:hAnsi="仿宋_GB2312" w:cs="仿宋_GB2312" w:eastAsia="仿宋_GB2312"/>
                      <w:sz w:val="21"/>
                    </w:rPr>
                    <w:t>.</w:t>
                  </w:r>
                  <w:r>
                    <w:rPr>
                      <w:rFonts w:ascii="仿宋_GB2312" w:hAnsi="仿宋_GB2312" w:cs="仿宋_GB2312" w:eastAsia="仿宋_GB2312"/>
                      <w:sz w:val="21"/>
                    </w:rPr>
                    <w:t>庭院灯基础采用开挖后直接现浇的方式，庭院灯基础保证</w:t>
                  </w:r>
                  <w:r>
                    <w:rPr>
                      <w:rFonts w:ascii="仿宋_GB2312" w:hAnsi="仿宋_GB2312" w:cs="仿宋_GB2312" w:eastAsia="仿宋_GB2312"/>
                      <w:sz w:val="21"/>
                    </w:rPr>
                    <w:t>400*400*800尺寸。混凝土规格C30。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庭院双头灯基础</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混凝土路面切除开挖、基础制作</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花园草坪灯</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黄土开挖、基础制作</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14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过墙孔</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50mm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整体施工后亮度要求</w:t>
            </w:r>
          </w:p>
        </w:tc>
        <w:tc>
          <w:tcPr>
            <w:tcW w:type="dxa" w:w="2076"/>
          </w:tcPr>
          <w:p>
            <w:pPr>
              <w:pStyle w:val="null3"/>
              <w:jc w:val="both"/>
            </w:pPr>
            <w:r>
              <w:rPr>
                <w:rFonts w:ascii="仿宋_GB2312" w:hAnsi="仿宋_GB2312" w:cs="仿宋_GB2312" w:eastAsia="仿宋_GB2312"/>
                <w:sz w:val="24"/>
              </w:rPr>
              <w:t>校园灯具改造完后，要求校园道路区域内平均照度大于</w:t>
            </w:r>
            <w:r>
              <w:rPr>
                <w:rFonts w:ascii="仿宋_GB2312" w:hAnsi="仿宋_GB2312" w:cs="仿宋_GB2312" w:eastAsia="仿宋_GB2312"/>
                <w:sz w:val="24"/>
              </w:rPr>
              <w:t xml:space="preserve">200 </w:t>
            </w:r>
            <w:r>
              <w:rPr>
                <w:rFonts w:ascii="仿宋_GB2312" w:hAnsi="仿宋_GB2312" w:cs="仿宋_GB2312" w:eastAsia="仿宋_GB2312"/>
                <w:sz w:val="24"/>
              </w:rPr>
              <w:t>LUX；均匀度（最小照度/平均照度）大于0.9；体育场</w:t>
            </w:r>
            <w:r>
              <w:rPr>
                <w:rFonts w:ascii="仿宋_GB2312" w:hAnsi="仿宋_GB2312" w:cs="仿宋_GB2312" w:eastAsia="仿宋_GB2312"/>
                <w:sz w:val="24"/>
              </w:rPr>
              <w:t>区域内平均照度大于</w:t>
            </w:r>
            <w:r>
              <w:rPr>
                <w:rFonts w:ascii="仿宋_GB2312" w:hAnsi="仿宋_GB2312" w:cs="仿宋_GB2312" w:eastAsia="仿宋_GB2312"/>
                <w:sz w:val="24"/>
              </w:rPr>
              <w:t xml:space="preserve">500 </w:t>
            </w:r>
            <w:r>
              <w:rPr>
                <w:rFonts w:ascii="仿宋_GB2312" w:hAnsi="仿宋_GB2312" w:cs="仿宋_GB2312" w:eastAsia="仿宋_GB2312"/>
                <w:sz w:val="24"/>
              </w:rPr>
              <w:t>LUX；均匀度（最小照度/平均照度）大于0.9；眩光指数（GR）小于30，花园区域</w:t>
            </w:r>
            <w:r>
              <w:rPr>
                <w:rFonts w:ascii="仿宋_GB2312" w:hAnsi="仿宋_GB2312" w:cs="仿宋_GB2312" w:eastAsia="仿宋_GB2312"/>
                <w:sz w:val="24"/>
              </w:rPr>
              <w:t>平均照度大于</w:t>
            </w:r>
            <w:r>
              <w:rPr>
                <w:rFonts w:ascii="仿宋_GB2312" w:hAnsi="仿宋_GB2312" w:cs="仿宋_GB2312" w:eastAsia="仿宋_GB2312"/>
                <w:sz w:val="24"/>
              </w:rPr>
              <w:t xml:space="preserve">150 </w:t>
            </w:r>
            <w:r>
              <w:rPr>
                <w:rFonts w:ascii="仿宋_GB2312" w:hAnsi="仿宋_GB2312" w:cs="仿宋_GB2312" w:eastAsia="仿宋_GB2312"/>
                <w:sz w:val="24"/>
              </w:rPr>
              <w:t>LUX；均匀度（最小照度/平均照度）大于 0.9。</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控制系统及电缆铺设要求</w:t>
            </w:r>
          </w:p>
        </w:tc>
        <w:tc>
          <w:tcPr>
            <w:tcW w:type="dxa" w:w="2076"/>
          </w:tcPr>
          <w:p>
            <w:pPr>
              <w:pStyle w:val="null3"/>
              <w:ind w:firstLine="480"/>
            </w:pPr>
            <w:r>
              <w:rPr>
                <w:rFonts w:ascii="仿宋_GB2312" w:hAnsi="仿宋_GB2312" w:cs="仿宋_GB2312" w:eastAsia="仿宋_GB2312"/>
                <w:sz w:val="24"/>
              </w:rPr>
              <w:t>1）电缆铺设要求：按照设计的布线方式进行电缆铺设，</w:t>
            </w:r>
            <w:r>
              <w:rPr>
                <w:rFonts w:ascii="仿宋_GB2312" w:hAnsi="仿宋_GB2312" w:cs="仿宋_GB2312" w:eastAsia="仿宋_GB2312"/>
                <w:sz w:val="24"/>
              </w:rPr>
              <w:t>所有电缆及辅助材料必须满足国标标准，国内正规品牌。</w:t>
            </w:r>
          </w:p>
          <w:p>
            <w:pPr>
              <w:pStyle w:val="null3"/>
              <w:ind w:firstLine="480"/>
            </w:pPr>
            <w:r>
              <w:rPr>
                <w:rFonts w:ascii="仿宋_GB2312" w:hAnsi="仿宋_GB2312" w:cs="仿宋_GB2312" w:eastAsia="仿宋_GB2312"/>
                <w:sz w:val="24"/>
              </w:rPr>
              <w:t>2）配电柜要求：满足照明供电控制系统设计要求；配电柜元器件设备品牌要求为国内一线品牌。</w:t>
            </w:r>
          </w:p>
          <w:p>
            <w:pPr>
              <w:pStyle w:val="null3"/>
              <w:jc w:val="both"/>
            </w:pPr>
            <w:r>
              <w:rPr>
                <w:rFonts w:ascii="仿宋_GB2312" w:hAnsi="仿宋_GB2312" w:cs="仿宋_GB2312" w:eastAsia="仿宋_GB2312"/>
                <w:sz w:val="24"/>
              </w:rPr>
              <w:t>3）控制系统要求：定时+光控+</w:t>
            </w:r>
            <w:r>
              <w:rPr>
                <w:rFonts w:ascii="仿宋_GB2312" w:hAnsi="仿宋_GB2312" w:cs="仿宋_GB2312" w:eastAsia="仿宋_GB2312"/>
                <w:sz w:val="24"/>
              </w:rPr>
              <w:t>手动控制。</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施工要求</w:t>
            </w:r>
          </w:p>
        </w:tc>
        <w:tc>
          <w:tcPr>
            <w:tcW w:type="dxa" w:w="2076"/>
          </w:tcPr>
          <w:p>
            <w:pPr>
              <w:pStyle w:val="null3"/>
              <w:ind w:firstLine="480"/>
            </w:pPr>
            <w:r>
              <w:rPr>
                <w:rFonts w:ascii="仿宋_GB2312" w:hAnsi="仿宋_GB2312" w:cs="仿宋_GB2312" w:eastAsia="仿宋_GB2312"/>
                <w:sz w:val="24"/>
              </w:rPr>
              <w:t>1）施工标准：供应商针对本项目的施工，必须达到国家及行业现行技术规范标准，符合国家及行业验收合格标准（GB50303-2002）</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按照国家标准</w:t>
            </w:r>
            <w:r>
              <w:rPr>
                <w:rFonts w:ascii="仿宋_GB2312" w:hAnsi="仿宋_GB2312" w:cs="仿宋_GB2312" w:eastAsia="仿宋_GB2312"/>
                <w:sz w:val="24"/>
              </w:rPr>
              <w:t>GB/T31832 LED城市道路照明应用技术规范和JGJ153-2016体育场馆照明设计及检测标准</w:t>
            </w:r>
            <w:r>
              <w:rPr>
                <w:rFonts w:ascii="仿宋_GB2312" w:hAnsi="仿宋_GB2312" w:cs="仿宋_GB2312" w:eastAsia="仿宋_GB2312"/>
                <w:sz w:val="24"/>
              </w:rPr>
              <w:t>进行。</w:t>
            </w:r>
          </w:p>
          <w:p>
            <w:pPr>
              <w:pStyle w:val="null3"/>
              <w:ind w:firstLine="480"/>
              <w:jc w:val="both"/>
            </w:pPr>
            <w:r>
              <w:rPr>
                <w:rFonts w:ascii="仿宋_GB2312" w:hAnsi="仿宋_GB2312" w:cs="仿宋_GB2312" w:eastAsia="仿宋_GB2312"/>
                <w:sz w:val="24"/>
              </w:rPr>
              <w:t>2）路面开挖深度不低于30cm、预埋线深度不低于25cm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庭院灯安装保持直线，偏差＜</w:t>
            </w:r>
            <w:r>
              <w:rPr>
                <w:rFonts w:ascii="仿宋_GB2312" w:hAnsi="仿宋_GB2312" w:cs="仿宋_GB2312" w:eastAsia="仿宋_GB2312"/>
                <w:sz w:val="24"/>
              </w:rPr>
              <w:t>5CM，壁灯保持水平一致，偏差＜2CM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color w:val="000000"/>
              </w:rPr>
              <w:t>所有出线口</w:t>
            </w:r>
            <w:r>
              <w:rPr>
                <w:rFonts w:ascii="仿宋_GB2312" w:hAnsi="仿宋_GB2312" w:cs="仿宋_GB2312" w:eastAsia="仿宋_GB2312"/>
                <w:sz w:val="24"/>
                <w:color w:val="000000"/>
              </w:rPr>
              <w:t>须</w:t>
            </w:r>
            <w:r>
              <w:rPr>
                <w:rFonts w:ascii="仿宋_GB2312" w:hAnsi="仿宋_GB2312" w:cs="仿宋_GB2312" w:eastAsia="仿宋_GB2312"/>
                <w:sz w:val="24"/>
                <w:color w:val="000000"/>
              </w:rPr>
              <w:t>用专业接线盒连接，接线盒与保护管连接牢固</w:t>
            </w:r>
            <w:r>
              <w:rPr>
                <w:rFonts w:ascii="仿宋_GB2312" w:hAnsi="仿宋_GB2312" w:cs="仿宋_GB2312" w:eastAsia="仿宋_GB2312"/>
                <w:sz w:val="24"/>
                <w:color w:val="000000"/>
              </w:rPr>
              <w:t>，</w:t>
            </w:r>
            <w:r>
              <w:rPr>
                <w:rFonts w:ascii="仿宋_GB2312" w:hAnsi="仿宋_GB2312" w:cs="仿宋_GB2312" w:eastAsia="仿宋_GB2312"/>
                <w:sz w:val="24"/>
                <w:color w:val="000000"/>
              </w:rPr>
              <w:t>所有保护管的弯管处</w:t>
            </w:r>
            <w:r>
              <w:rPr>
                <w:rFonts w:ascii="仿宋_GB2312" w:hAnsi="仿宋_GB2312" w:cs="仿宋_GB2312" w:eastAsia="仿宋_GB2312"/>
                <w:sz w:val="24"/>
                <w:color w:val="000000"/>
              </w:rPr>
              <w:t>须</w:t>
            </w:r>
            <w:r>
              <w:rPr>
                <w:rFonts w:ascii="仿宋_GB2312" w:hAnsi="仿宋_GB2312" w:cs="仿宋_GB2312" w:eastAsia="仿宋_GB2312"/>
                <w:sz w:val="24"/>
                <w:color w:val="000000"/>
              </w:rPr>
              <w:t>采用专业弯管对接</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由于操场庭院灯安装地埋均已铺设人工草坪，拆除人工草坪开槽敷设后恢复草坪。</w:t>
            </w:r>
            <w:r>
              <w:rPr>
                <w:rFonts w:ascii="仿宋_GB2312" w:hAnsi="仿宋_GB2312" w:cs="仿宋_GB2312" w:eastAsia="仿宋_GB2312"/>
                <w:sz w:val="24"/>
              </w:rPr>
              <w:t>所有需要</w:t>
            </w:r>
            <w:r>
              <w:rPr>
                <w:rFonts w:ascii="仿宋_GB2312" w:hAnsi="仿宋_GB2312" w:cs="仿宋_GB2312" w:eastAsia="仿宋_GB2312"/>
                <w:sz w:val="24"/>
              </w:rPr>
              <w:t>破路埋穿线管</w:t>
            </w:r>
            <w:r>
              <w:rPr>
                <w:rFonts w:ascii="仿宋_GB2312" w:hAnsi="仿宋_GB2312" w:cs="仿宋_GB2312" w:eastAsia="仿宋_GB2312"/>
                <w:sz w:val="24"/>
              </w:rPr>
              <w:t>的施工，须完成</w:t>
            </w:r>
            <w:r>
              <w:rPr>
                <w:rFonts w:ascii="仿宋_GB2312" w:hAnsi="仿宋_GB2312" w:cs="仿宋_GB2312" w:eastAsia="仿宋_GB2312"/>
                <w:sz w:val="24"/>
              </w:rPr>
              <w:t>后恢复路面</w:t>
            </w:r>
            <w:r>
              <w:rPr>
                <w:rFonts w:ascii="仿宋_GB2312" w:hAnsi="仿宋_GB2312" w:cs="仿宋_GB2312" w:eastAsia="仿宋_GB2312"/>
                <w:sz w:val="24"/>
              </w:rPr>
              <w:t>原样</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合同签订后25日历天完成项目供货、施工、安装调试完毕，交付采购人验收合格。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西安市大明宫中学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合同签订后，乙方完成项目供货、施工、安装调试完毕，待甲方验收合格后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1、本项目核心产品为：庭院双头路灯。 2、售后服务要求：所有设备由成交供应商负责供货、施工、安装、调试、售后服务，并培训操作人员。 2.1电话咨询： 供应商或厂家应当为采购人提供技术援助电话，解答采购人在使用中遇到的问题，及时为采购人提出解决问题的建议。 现场响应采购人遇到的使用及技术问题，电话咨询不能解决的，供应商或厂家应在 2小时内采取相应措施，8小时内提供上门服务，无法在24小时内排除故障的，应在48小时内提供备用设备，使采购人能够正常使用。 2.2质保期外服务要求 2.2.1质量保证期过后，供应商或厂家应同样提供免费电话咨询服务，并应承诺提供上门维修服务。 2.2.2质量保证期过后，采购人需要继续由供应商或厂家提供售后服务的，该供应商或厂家应以优惠价格提供售后服务 。 3、本项目采购标的所属行业为：工业。（按照《工信部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供应商需要在线提交所有通过电子化交易平台实施的政府采购项目的响应文件，同时，线下提交纸质响应文件正本壹份、副本贰份、电子版壹份（U盘壹份）。纸质响应文件正本、副本、电子版，标明供应商名称分开密封递交。线下纸质文件递交截止时间：同在线递交电子响应文件截止时间一致。线下递交地点：西安市雁塔区雁南二路西京公司西京科创园三号楼25楼。 5、本项目组织现场踏勘，请各供应商报名后尽快致电代理机构确认现场踏勘事宜，逾期未联系代理机构视为放弃踏勘。 踏勘时间：2025-04-11 14:30:00；踏勘地点：西安市大明宫中学；联系人：卢工；联系电话号码：029-88210791转809。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（1）《财政部 发展改革委 生态环境部 市场监管总局关于调整优化节能产品、环境标志产品政府采购执行机制的通知》（财库〔2019〕9号）； （2）国务院办公厅《关于建立政府强制采购节能产品制度的通知》（国办发〔2007〕51号）； （3）《关于印发节能产品政府采购品目清单的通知》（财库〔2019〕19号）； （4）《关于印发环境标志产品政府采购品目清单的通知》（财库〔2019〕18号） （5）《政府采购促进中小企业发展管理办法》（财库〔2020〕46号）； （6）《关于政府采购支持监狱企业发展有关问题的通知》（财库〔2014〕68号）； （7）《关于促进残疾人就业政府采购政策的通知》（财库〔2017〕141号）； （8）《关于进一步加大政府采购支持中小企业力度的通知》（财库〔2022〕19号）； （9）《陕西省财政厅关于进一步落实政府采购支持中小企业相关政策的通知》（陕财办采〔2023〕3号）； （10）《陕西省中小企业政府采购信用融资办法》（陕财办采〔2018〕23号）； （11）《财政部 农业农村部 国家乡村振兴局关于运用政府采购政策支持乡村产业振兴的通知》（财库〔2021〕19 号）； （12）《陕西省财政厅关于加快推进我省中小企业政府采购信用融资工作的通知》（陕财办采〔2020〕15号）； （13）其他需要落实的政府采购政策。</w:t>
            </w:r>
          </w:p>
        </w:tc>
        <w:tc>
          <w:tcPr>
            <w:tcW w:type="dxa" w:w="1661"/>
          </w:tcPr>
          <w:p>
            <w:pPr>
              <w:pStyle w:val="null3"/>
            </w:pPr>
            <w:r>
              <w:rPr>
                <w:rFonts w:ascii="仿宋_GB2312" w:hAnsi="仿宋_GB2312" w:cs="仿宋_GB2312" w:eastAsia="仿宋_GB2312"/>
              </w:rPr>
              <w:t>供应商特定资格证明文件.docx 人员配备.docx 商务应答表 报价表 产品技术参数.docx 分项报价表.docx 产品技术参数表 供应商需要说明的其他内容.docx 施工机械配置和材料投入计划.docx 业绩证明材料.docx 标的清单 售后服务及承诺.docx 监狱企业的证明文件 法定代表人身份证明书和授权书.docx 进度计划.docx 确保安全生产的技术组织措施.docx 中小企业声明函 安装、调试、验收方案.docx 供应商应提交的相关资格证明材料 供应商承诺书.docx 响应文件封面 文明施工及环境保护组织措施.docx 确保工程质量的技术组织措施.docx 残疾人福利性单位声明函 施工方案.docx 节能环境标志产品.docx 产品证书.docx 应急处理.docx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法定代表人直接参加磋商的须提交法定代表人证明书；法定代表人授权代表参加磋商的，须出具法定代表人证明书及授权书。</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供应商须提供2023年度或2024年度经会计师事务所审计的审计报告（新成立企业可从成立当年开始提供相对应的财务报表）或其磋商前三个月内基本存款账户开户银行出具的资信证明。</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供应商须提供磋商截止时间前半年内任意一个月的税收缴纳证明（依法免税或零申报的供应商须提供相关文件证明；若为新成立企业可提供相应月度的缴税证明）。</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供应商须提供磋商截止时间前半年内任意一个月的社会保障资金缴纳证明（依法不需要缴纳社会保障资金的供应商应提供相关文件证明；若为新成立企业可提供相应月度的社会保险缴纳证明）。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的主营业务成本、税金及附加、销售费用、管理费用、财务费用等成本构成事项详细陈述。 2.供应商提交的相关证明材料，应当加盖供应商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分项报价表.docx 产品技术参数表 供应商需要说明的其他内容.docx 商务应答表 标的清单 报价表 响应函 供应商承诺书.docx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响应内容与要求</w:t>
            </w:r>
          </w:p>
        </w:tc>
        <w:tc>
          <w:tcPr>
            <w:tcW w:type="dxa" w:w="3322"/>
          </w:tcPr>
          <w:p>
            <w:pPr>
              <w:pStyle w:val="null3"/>
            </w:pPr>
            <w:r>
              <w:rPr>
                <w:rFonts w:ascii="仿宋_GB2312" w:hAnsi="仿宋_GB2312" w:cs="仿宋_GB2312" w:eastAsia="仿宋_GB2312"/>
              </w:rPr>
              <w:t>磋商响应内容未出现漏项；数量与要求相符；</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响应产品的技术指标</w:t>
            </w:r>
          </w:p>
        </w:tc>
        <w:tc>
          <w:tcPr>
            <w:tcW w:type="dxa" w:w="3322"/>
          </w:tcPr>
          <w:p>
            <w:pPr>
              <w:pStyle w:val="null3"/>
            </w:pPr>
            <w:r>
              <w:rPr>
                <w:rFonts w:ascii="仿宋_GB2312" w:hAnsi="仿宋_GB2312" w:cs="仿宋_GB2312" w:eastAsia="仿宋_GB2312"/>
              </w:rPr>
              <w:t>响应产品的技术指标无重大偏离，未造成产品档次降低或严重影响产品质量；</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供应商需要说明的其他内容.docx 响应函 供应商承诺书.docx 法定代表人身份证明书和授权书.docx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内容包括但不限于①施工准备；②施工进度安排；③施工方法；④重点难点工程分析及解决措施；⑤影响正常施工外在因素分析及对应预案等。 （1）施工方案专门针对本项目编制，符合项目实际情况及实施要求，内容详尽且涵盖角度全面，合理性和可行性强，能够保障项目顺利实施的得5分； （2）施工方案基本能够针对本项目编制，基本符合项目实际情况及实施要求，内容较宽泛，涵盖角度不够全面，内容基本合理可行的得3分； （3）具有方案内容但内容未贴合本项目，内容涵盖角度不够全面且实施有难度的得2分； （4）具有方案内容但内容未针对本项目，内容空洞宽泛，基本不具有可实施性得1分。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内容包括但不限于①质量管理工作流程；②工程质量保障方案；③工程质量控制体系；④材料和构配件的质量控制等。 （1）措施内容专门针对本项目编制，符合项目实际情况及实施要求，内容详尽且涵盖角度全面，合理性和可行性强，能够保障项目顺利实施的，得5分； （2）措施内容基本能够针对本项目编制，基本符合项目实际情况及实施要求，内容较详细，涵盖角度较全面，基本合理可行的，得3分； （3）具有措施内容但措施内容未贴合本项目，措施内容涵盖角度不全面且实施有难度的，得2分； （4）具有措施内容但内容未针对本项目，内容空洞宽泛，可实施性不强，得1分。未提供不得分。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提供确保安全生产的技术组织措施： （1）措施内容专门针对本项目编制，符合项目实际情况及实施要求，内容详尽且涵盖角度全面，合理性和可行性强，能够保障项目顺利实施的 得5分； （2）措施内容基本符合项目实际情况及实施要求，内容较详细，涵盖角度较全面，基本合理可行的得3分； （3）具有措施内容但内容未贴合本项目，涵盖角度不全面且实施有难度的得2分； （4）措施内容简单笼统，实施难度大的得1分。未提供不得分。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内容包括但不限于①施工总平面布置；②进度安排计划； ③交货期目标控制和保证措施；④成品、半成品供应措施等。 （1）网络图或进度表内容详尽、工期目标及措施安排合理且实施性强得5分； （2）提供网络图或进度表，工期目标及措施内容不够全面，实施性一般得3分； （3）提供网络图或进度表，工期目标及措施内容不合理，实施性差计2分； （4）网络图或进度表不全，工期目标不合理，没有实施性得1分。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进度计划.docx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内容包括但不限于①文明及环境保护管理制度；②防尘降噪措施； ③节能减排措施；④文明及环境保护施工监督检查机制等。 （1）措施内容专门针对本项目编制，符合项目实际情况及实施要求，内容详尽且涵盖角度全面，合理性和可行性强，能够保障项目顺利实施的得5分； （2）措施内容基本能够针对本项目编制，基本符合项目实际情况及实施要求，内容较详细，涵盖角度较全面，基本合理可行的得3分； （3）具有措施内容但措施内容未贴合本项目，措施内容涵盖角度不全面且实施有难度的得2分； （4）具有措施内容但内容未针对本项目，内容空洞宽泛，可实施性不强得1分。未提供不得分。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文明施工及环境保护组织措施.docx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内容包括但不限于①施工机械配置计划； ②施工材料投入计划；③施工机械的维护保养和材料的贮存；④施工机械、材料的监督和检查等。 （1）投入计划专门针对本项目编制，符合项目实际情况及实施要求，内容详尽且涵盖角度全面，合理性和可行性强，能够保障项目顺利实施的得5分； （2）投入计划能够针对本项目编制，基本符合项目实际情况及实施要求，内容较详细，涵盖角度较全面但略有不完善，基本合理可行的得3分； （3）提供投入计划，但内容涵盖角度不够全面且实施具有一定难度得2分； （4）投入计划内容简单笼统，实施难度大的得1分。未提供不得分。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施工机械配置和材料投入计划.docx</w:t>
            </w:r>
          </w:p>
        </w:tc>
      </w:tr>
      <w:tr>
        <w:tc>
          <w:tcPr>
            <w:tcW w:type="dxa" w:w="831"/>
            <w:vMerge/>
          </w:tcPr>
          <w:p/>
        </w:tc>
        <w:tc>
          <w:tcPr>
            <w:tcW w:type="dxa" w:w="1661"/>
          </w:tcPr>
          <w:p>
            <w:pPr>
              <w:pStyle w:val="null3"/>
            </w:pPr>
            <w:r>
              <w:rPr>
                <w:rFonts w:ascii="仿宋_GB2312" w:hAnsi="仿宋_GB2312" w:cs="仿宋_GB2312" w:eastAsia="仿宋_GB2312"/>
              </w:rPr>
              <w:t>安装、调试、验收方案</w:t>
            </w:r>
          </w:p>
        </w:tc>
        <w:tc>
          <w:tcPr>
            <w:tcW w:type="dxa" w:w="2492"/>
          </w:tcPr>
          <w:p>
            <w:pPr>
              <w:pStyle w:val="null3"/>
            </w:pPr>
            <w:r>
              <w:rPr>
                <w:rFonts w:ascii="仿宋_GB2312" w:hAnsi="仿宋_GB2312" w:cs="仿宋_GB2312" w:eastAsia="仿宋_GB2312"/>
              </w:rPr>
              <w:t>供应商针对本项目提供产品安装、调试、验收技术方案： （1）方案详细、完整、科学合理，能确保项目顺利实施的计4分； （2）方案不够详细、完整，基本能保证项目顺利的计3分； （3）方案简单笼统，不够完整，合理性一般，很难确保项目顺利实施的计1分。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安装、调试、验收方案.docx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供应商针对本项目提供人员配备计划： （1）人员配置充足，组成科学合理，有详细的人员配置清单，针对性强，能够很好的满足项目需求得3分； （2）人员配置一般，合理性一般，有基本的人员清单，基本能符合项目需求得2分； （3）项目部组成人员缺乏科学合理性，配置清单前后不一致、不合理，无法满足项目需求得1分。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供应商针对本项目提供全面详细的售后服务方案及承诺（包括但不限于售后服务方式、定期巡检、日常维护保障方案、产品质量承诺等）： （1）售后服务方案及承诺详细专业合理，能满足采购需求的得3分； （2）售后服务方案及承诺不够详细、合理，基本能满足项目需求的得2分。 （3）售后服务方案及承诺简单笼统，不合理，不能满足项目需求的得1分。未提供不得分。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售后服务及承诺.docx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供应商针对本项目提供突发事件及日常故障处理的应急措施和解决方案： （1）措施合理、详细，严谨，能确保突发事件的科学处理计3分； （2）措施不够严谨，基本能处理突发事件的计2分。 （3）措施简单、笼统，不能处理突发事件的计1分。未提供不得分。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应急处理.docx</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响应产品选型符合使用需求，配置合理，其型号、技术参数清晰明确，整体功能或技术参数完全满足磋商文件要求计20分，其响应技术指标和性能出现非▲号项技术参数负偏离的，每项扣除0.5分，出现▲号项技术参数负偏离的，每项扣除1分，扣完为止。 注：▲号项技术参数偏离情况除偏离表响应外还须提供相应的参数指标证明文件包括但不限于制造商出具的参数证明文件、产品彩页、功能截图、检测报告等证明文件，否则不计分。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提供2022年3月1日至今所投核心产品业绩，须提供完整合同复印件并加盖供应商公章，以合同签订时间为准，每提供一个业绩计1分，最高得3分。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产品证书</w:t>
            </w:r>
          </w:p>
        </w:tc>
        <w:tc>
          <w:tcPr>
            <w:tcW w:type="dxa" w:w="2492"/>
          </w:tcPr>
          <w:p>
            <w:pPr>
              <w:pStyle w:val="null3"/>
            </w:pPr>
            <w:r>
              <w:rPr>
                <w:rFonts w:ascii="仿宋_GB2312" w:hAnsi="仿宋_GB2312" w:cs="仿宋_GB2312" w:eastAsia="仿宋_GB2312"/>
              </w:rPr>
              <w:t>所投产品生产厂家具有计算机软件著作权登记证书： 1.LED路灯控制系统相关软件著作权。 2.智慧照明管理系统相关软件著作权。 每提供一个证书得1分，最高得2分。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产品证书.docx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详见附件：进度计划.docx</w:t>
      </w:r>
    </w:p>
    <w:p>
      <w:pPr>
        <w:pStyle w:val="null3"/>
        <w:ind w:firstLine="960"/>
      </w:pPr>
      <w:r>
        <w:rPr>
          <w:rFonts w:ascii="仿宋_GB2312" w:hAnsi="仿宋_GB2312" w:cs="仿宋_GB2312" w:eastAsia="仿宋_GB2312"/>
        </w:rPr>
        <w:t>详见附件：文明施工及环境保护组织措施.docx</w:t>
      </w:r>
    </w:p>
    <w:p>
      <w:pPr>
        <w:pStyle w:val="null3"/>
        <w:ind w:firstLine="960"/>
      </w:pPr>
      <w:r>
        <w:rPr>
          <w:rFonts w:ascii="仿宋_GB2312" w:hAnsi="仿宋_GB2312" w:cs="仿宋_GB2312" w:eastAsia="仿宋_GB2312"/>
        </w:rPr>
        <w:t>详见附件：施工机械配置和材料投入计划.docx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详见附件：节能环境标志产品.docx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详见附件：安装、调试、验收方案.docx</w:t>
      </w:r>
    </w:p>
    <w:p>
      <w:pPr>
        <w:pStyle w:val="null3"/>
        <w:ind w:firstLine="960"/>
      </w:pPr>
      <w:r>
        <w:rPr>
          <w:rFonts w:ascii="仿宋_GB2312" w:hAnsi="仿宋_GB2312" w:cs="仿宋_GB2312" w:eastAsia="仿宋_GB2312"/>
        </w:rPr>
        <w:t>详见附件：产品证书.docx</w:t>
      </w:r>
    </w:p>
    <w:p>
      <w:pPr>
        <w:pStyle w:val="null3"/>
        <w:ind w:firstLine="960"/>
      </w:pPr>
      <w:r>
        <w:rPr>
          <w:rFonts w:ascii="仿宋_GB2312" w:hAnsi="仿宋_GB2312" w:cs="仿宋_GB2312" w:eastAsia="仿宋_GB2312"/>
        </w:rPr>
        <w:t>详见附件：售后服务及承诺.docx</w:t>
      </w:r>
    </w:p>
    <w:p>
      <w:pPr>
        <w:pStyle w:val="null3"/>
        <w:ind w:firstLine="960"/>
      </w:pPr>
      <w:r>
        <w:rPr>
          <w:rFonts w:ascii="仿宋_GB2312" w:hAnsi="仿宋_GB2312" w:cs="仿宋_GB2312" w:eastAsia="仿宋_GB2312"/>
        </w:rPr>
        <w:t>详见附件：应急处理.docx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