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pPr>
        <w:pStyle w:val="15"/>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pPr>
        <w:pStyle w:val="15"/>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p>
    <w:p>
      <w:pPr>
        <w:pStyle w:val="15"/>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3、</w:t>
      </w:r>
      <w:r>
        <w:rPr>
          <w:rFonts w:hint="eastAsia" w:ascii="仿宋" w:hAnsi="仿宋" w:eastAsia="仿宋" w:cs="仿宋"/>
          <w:sz w:val="24"/>
          <w:szCs w:val="24"/>
        </w:rPr>
        <w:t>具有履行合同所必需的设备和专业技术能力的书面声明（格式详见附件）；</w:t>
      </w:r>
    </w:p>
    <w:p>
      <w:pPr>
        <w:pStyle w:val="15"/>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4、有依法缴纳税收和社会保障资金的良好记录（提供开标前12个月内任一月份的社保和缴纳税收的证明，依法不需要缴纳社会保障资金、免税或无须缴纳税款的供应商，应提供相关证明文件)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5、参加政府采购活动前 3 年内在经营活动中没有重大违法记录的书面声明（格式详见附件）</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7、</w:t>
      </w:r>
      <w:r>
        <w:rPr>
          <w:rFonts w:hint="eastAsia" w:ascii="仿宋" w:hAnsi="仿宋" w:eastAsia="仿宋" w:cs="仿宋"/>
          <w:sz w:val="24"/>
          <w:szCs w:val="24"/>
        </w:rPr>
        <w:t>供应商具备有效的建筑工程施工总承包三级或以上资质（含三级），且具备有效的安全生产许可证</w:t>
      </w:r>
      <w:r>
        <w:rPr>
          <w:rFonts w:hint="eastAsia" w:ascii="仿宋" w:hAnsi="仿宋" w:eastAsia="仿宋" w:cs="仿宋"/>
          <w:sz w:val="24"/>
          <w:szCs w:val="24"/>
          <w:lang w:eastAsia="zh-CN"/>
        </w:rPr>
        <w:t>；提供在“西安市公共资源交易中心工程建设交易平台”可查询的网页截图</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8、项目经理要求：拟派项目经理须具备建筑工程专业二级以上（含二级）注册建造师证书和建安B证，且无在建项目（以承诺书为准）；</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lang w:eastAsia="zh-CN"/>
        </w:rPr>
        <w:t>本项目不接受联合体磋商。</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pPr>
        <w:spacing w:line="360" w:lineRule="auto"/>
        <w:ind w:firstLine="480" w:firstLineChars="200"/>
        <w:rPr>
          <w:rFonts w:hint="eastAsia" w:ascii="仿宋" w:hAnsi="仿宋" w:eastAsia="仿宋" w:cs="仿宋"/>
          <w:color w:val="36363D"/>
          <w:sz w:val="24"/>
          <w:szCs w:val="24"/>
        </w:rPr>
      </w:pPr>
    </w:p>
    <w:p>
      <w:pPr>
        <w:spacing w:line="360" w:lineRule="auto"/>
        <w:ind w:firstLine="480" w:firstLineChars="200"/>
        <w:rPr>
          <w:rFonts w:hint="eastAsia" w:ascii="仿宋" w:hAnsi="仿宋" w:eastAsia="仿宋" w:cs="仿宋"/>
          <w:color w:val="36363D"/>
          <w:sz w:val="24"/>
          <w:szCs w:val="24"/>
        </w:rPr>
      </w:pPr>
    </w:p>
    <w:p>
      <w:pPr>
        <w:pStyle w:val="2"/>
        <w:spacing w:line="360" w:lineRule="auto"/>
        <w:ind w:left="0" w:leftChars="0" w:firstLine="0" w:firstLineChars="0"/>
        <w:rPr>
          <w:rFonts w:hint="eastAsia" w:ascii="仿宋" w:hAnsi="仿宋" w:eastAsia="仿宋" w:cs="仿宋"/>
          <w:color w:val="36363D"/>
          <w:sz w:val="24"/>
          <w:szCs w:val="24"/>
        </w:rPr>
      </w:pPr>
    </w:p>
    <w:p>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7604"/>
      <w:bookmarkStart w:id="1" w:name="_Toc21200"/>
      <w:bookmarkStart w:id="2" w:name="_Toc27886"/>
      <w:bookmarkStart w:id="3" w:name="_Toc5759"/>
      <w:bookmarkStart w:id="4" w:name="_Toc9245"/>
      <w:bookmarkStart w:id="5" w:name="_Toc6704"/>
      <w:bookmarkStart w:id="6" w:name="_Toc25776"/>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5390"/>
      <w:bookmarkStart w:id="8" w:name="_Toc6501"/>
      <w:bookmarkStart w:id="9" w:name="_Toc21467"/>
      <w:bookmarkStart w:id="10" w:name="_Toc959"/>
      <w:bookmarkStart w:id="11" w:name="_Toc29152"/>
      <w:bookmarkStart w:id="12" w:name="_Toc7020"/>
      <w:bookmarkStart w:id="13" w:name="_Toc10566"/>
      <w:bookmarkStart w:id="14" w:name="_Toc27860"/>
      <w:bookmarkStart w:id="15" w:name="_Toc14555"/>
      <w:bookmarkStart w:id="16" w:name="_Toc9655"/>
      <w:bookmarkStart w:id="17" w:name="_Toc295"/>
      <w:bookmarkStart w:id="18" w:name="_Toc249"/>
      <w:bookmarkStart w:id="19" w:name="_Toc20620"/>
      <w:r>
        <w:rPr>
          <w:rFonts w:hint="eastAsia" w:ascii="仿宋" w:hAnsi="仿宋" w:eastAsia="仿宋" w:cs="仿宋"/>
          <w:color w:val="0D0D0D"/>
          <w:kern w:val="1"/>
          <w:sz w:val="24"/>
          <w:szCs w:val="24"/>
          <w:lang w:val="en-US" w:eastAsia="zh-CN"/>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10778"/>
      <w:bookmarkStart w:id="21" w:name="_Toc4788"/>
      <w:bookmarkStart w:id="22" w:name="_Toc13233"/>
      <w:bookmarkStart w:id="23" w:name="_Toc7791"/>
      <w:bookmarkStart w:id="24" w:name="_Toc13516"/>
      <w:bookmarkStart w:id="25" w:name="_Toc5468"/>
      <w:bookmarkStart w:id="26" w:name="_Toc13195"/>
      <w:bookmarkStart w:id="27" w:name="_Toc20375"/>
      <w:bookmarkStart w:id="28" w:name="_Toc15615"/>
      <w:bookmarkStart w:id="29" w:name="_Toc27097"/>
      <w:bookmarkStart w:id="30" w:name="_Toc31455"/>
      <w:bookmarkStart w:id="31" w:name="_Toc30477"/>
      <w:bookmarkStart w:id="32" w:name="_Toc2910"/>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西安市第八十九中学</w:t>
      </w:r>
      <w:r>
        <w:rPr>
          <w:rFonts w:hint="eastAsia" w:ascii="仿宋" w:hAnsi="仿宋" w:eastAsia="仿宋" w:cs="仿宋"/>
          <w:spacing w:val="4"/>
          <w:sz w:val="24"/>
          <w:szCs w:val="24"/>
          <w:u w:val="single"/>
        </w:rPr>
        <w:t>：</w:t>
      </w:r>
    </w:p>
    <w:p>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bl>
    <w:p>
      <w:pPr>
        <w:spacing w:before="312" w:beforeLines="100" w:after="156" w:afterLines="50" w:line="360" w:lineRule="auto"/>
        <w:ind w:firstLine="170"/>
        <w:rPr>
          <w:rFonts w:hint="eastAsia" w:ascii="仿宋" w:hAnsi="仿宋" w:eastAsia="仿宋" w:cs="仿宋"/>
          <w:spacing w:val="4"/>
          <w:sz w:val="24"/>
          <w:szCs w:val="24"/>
        </w:rPr>
      </w:pPr>
    </w:p>
    <w:p>
      <w:pPr>
        <w:pStyle w:val="6"/>
        <w:spacing w:line="360" w:lineRule="auto"/>
        <w:rPr>
          <w:rFonts w:hint="eastAsia" w:ascii="仿宋" w:hAnsi="仿宋" w:eastAsia="仿宋" w:cs="仿宋"/>
          <w:b w:val="0"/>
          <w:bCs w:val="0"/>
          <w:spacing w:val="4"/>
          <w:sz w:val="24"/>
          <w:szCs w:val="24"/>
        </w:rPr>
      </w:pPr>
    </w:p>
    <w:p>
      <w:pPr>
        <w:spacing w:line="360" w:lineRule="auto"/>
        <w:rPr>
          <w:rFonts w:hint="eastAsia" w:ascii="仿宋" w:hAnsi="仿宋" w:eastAsia="仿宋" w:cs="仿宋"/>
          <w:sz w:val="24"/>
          <w:szCs w:val="24"/>
        </w:rPr>
      </w:pPr>
    </w:p>
    <w:p>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eastAsia" w:ascii="仿宋" w:hAnsi="仿宋" w:eastAsia="仿宋" w:cs="仿宋"/>
          <w:sz w:val="24"/>
          <w:szCs w:val="24"/>
          <w:lang w:val="en-US" w:eastAsia="zh-Hans"/>
        </w:rPr>
        <w:t>有依法缴纳税收和社会保障资金的良好记录（提供开标前12个月内任一月份的社保和缴纳税收的证明，依法不需要缴纳社会保障资金、免税或无须缴纳税款的供应商，应提供相关证明文件)</w:t>
      </w:r>
    </w:p>
    <w:p>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说明：</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p>
    <w:p>
      <w:pPr>
        <w:rPr>
          <w:rFonts w:hint="eastAsia" w:ascii="仿宋" w:hAnsi="仿宋" w:eastAsia="仿宋" w:cs="仿宋"/>
          <w:sz w:val="24"/>
          <w:szCs w:val="24"/>
        </w:rPr>
      </w:pPr>
    </w:p>
    <w:p>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pPr>
        <w:ind w:firstLine="480" w:firstLineChars="200"/>
        <w:jc w:val="cente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说明：</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4842"/>
      <w:bookmarkStart w:id="36" w:name="_Toc15791"/>
      <w:bookmarkStart w:id="37" w:name="_Toc29806"/>
      <w:bookmarkStart w:id="38" w:name="_Toc13583"/>
      <w:bookmarkStart w:id="39" w:name="_Toc2140"/>
      <w:bookmarkStart w:id="40" w:name="_Toc7403"/>
      <w:bookmarkStart w:id="41" w:name="_Toc19143"/>
      <w:bookmarkStart w:id="42" w:name="_Toc30844"/>
      <w:bookmarkStart w:id="43" w:name="_Toc26845"/>
      <w:bookmarkStart w:id="44" w:name="_Toc28034"/>
      <w:bookmarkStart w:id="45" w:name="_Toc28669"/>
      <w:bookmarkStart w:id="46" w:name="_Toc20233"/>
      <w:bookmarkStart w:id="47" w:name="_Toc1448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西安市第八十九中学</w:t>
      </w:r>
      <w:r>
        <w:rPr>
          <w:rFonts w:hint="eastAsia" w:ascii="仿宋" w:hAnsi="仿宋" w:eastAsia="仿宋" w:cs="仿宋"/>
          <w:sz w:val="24"/>
          <w:szCs w:val="24"/>
          <w:u w:val="single"/>
          <w:shd w:val="clear" w:color="auto" w:fill="FFFFFF"/>
        </w:rPr>
        <w:t>：</w:t>
      </w:r>
    </w:p>
    <w:p>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特此声明。 </w:t>
      </w:r>
    </w:p>
    <w:p>
      <w:pPr>
        <w:pStyle w:val="10"/>
        <w:wordWrap w:val="0"/>
        <w:spacing w:before="0" w:beforeAutospacing="0" w:after="0" w:afterAutospacing="0" w:line="360" w:lineRule="auto"/>
        <w:jc w:val="both"/>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w:t>
      </w:r>
    </w:p>
    <w:p>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pPr>
        <w:spacing w:line="360" w:lineRule="auto"/>
        <w:ind w:right="-161"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法定代表人或被授权代表（签字或盖章）：</w:t>
      </w:r>
      <w:r>
        <w:rPr>
          <w:rFonts w:hint="eastAsia" w:ascii="仿宋" w:hAnsi="仿宋" w:eastAsia="仿宋" w:cs="仿宋"/>
          <w:b/>
          <w:bCs/>
          <w:sz w:val="24"/>
          <w:szCs w:val="24"/>
          <w:u w:val="single"/>
        </w:rPr>
        <w:t xml:space="preserve">       </w:t>
      </w:r>
    </w:p>
    <w:p>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48" w:name="_Toc23663"/>
      <w:bookmarkStart w:id="49" w:name="_Toc11164"/>
      <w:bookmarkStart w:id="50" w:name="_Toc26030"/>
      <w:bookmarkStart w:id="51" w:name="_Toc24784"/>
      <w:bookmarkStart w:id="52" w:name="_Toc8420"/>
      <w:bookmarkStart w:id="53" w:name="_Toc14908"/>
      <w:bookmarkStart w:id="54" w:name="_Toc1536"/>
      <w:bookmarkStart w:id="55" w:name="_Toc23126"/>
      <w:bookmarkStart w:id="56" w:name="_Toc28388"/>
      <w:bookmarkStart w:id="57" w:name="_Toc9399"/>
      <w:bookmarkStart w:id="58" w:name="_Toc27868"/>
      <w:bookmarkStart w:id="59" w:name="_Toc7290"/>
      <w:bookmarkStart w:id="60" w:name="_Toc22176"/>
      <w:r>
        <w:rPr>
          <w:rFonts w:hint="eastAsia" w:ascii="仿宋" w:hAnsi="仿宋" w:eastAsia="仿宋" w:cs="仿宋"/>
          <w:color w:val="0D0D0D"/>
          <w:kern w:val="1"/>
          <w:sz w:val="24"/>
          <w:szCs w:val="24"/>
          <w:lang w:val="en-US" w:eastAsia="zh-CN"/>
        </w:rPr>
        <w:t>6</w:t>
      </w:r>
      <w:bookmarkEnd w:id="48"/>
      <w:bookmarkEnd w:id="49"/>
      <w:bookmarkEnd w:id="50"/>
      <w:bookmarkEnd w:id="51"/>
      <w:bookmarkEnd w:id="52"/>
      <w:bookmarkEnd w:id="53"/>
      <w:bookmarkEnd w:id="54"/>
      <w:bookmarkEnd w:id="55"/>
      <w:bookmarkEnd w:id="56"/>
      <w:bookmarkEnd w:id="57"/>
      <w:bookmarkEnd w:id="58"/>
      <w:bookmarkEnd w:id="59"/>
      <w:bookmarkEnd w:id="60"/>
      <w:bookmarkStart w:id="61" w:name="_Toc17352"/>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color w:val="0D0D0D"/>
          <w:kern w:val="1"/>
          <w:sz w:val="24"/>
          <w:szCs w:val="24"/>
          <w:lang w:val="en-US" w:eastAsia="zh-CN"/>
        </w:rPr>
        <w:t>；</w:t>
      </w:r>
    </w:p>
    <w:p>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spacing w:line="360" w:lineRule="auto"/>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pPr>
              <w:spacing w:line="360" w:lineRule="auto"/>
              <w:jc w:val="center"/>
              <w:rPr>
                <w:rFonts w:hint="eastAsia" w:ascii="仿宋" w:hAnsi="仿宋" w:eastAsia="仿宋" w:cs="仿宋"/>
                <w:sz w:val="24"/>
                <w:szCs w:val="24"/>
              </w:rPr>
            </w:pPr>
          </w:p>
        </w:tc>
        <w:tc>
          <w:tcPr>
            <w:tcW w:w="3740" w:type="dxa"/>
            <w:tcBorders>
              <w:bottom w:val="dashed" w:color="auto" w:sz="4" w:space="0"/>
            </w:tcBorders>
            <w:noWrap w:val="0"/>
            <w:vAlign w:val="top"/>
          </w:tcPr>
          <w:p>
            <w:pPr>
              <w:spacing w:line="360" w:lineRule="auto"/>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pPr>
              <w:spacing w:line="360" w:lineRule="auto"/>
              <w:jc w:val="center"/>
              <w:rPr>
                <w:rFonts w:hint="eastAsia" w:ascii="仿宋" w:hAnsi="仿宋" w:eastAsia="仿宋" w:cs="仿宋"/>
                <w:sz w:val="24"/>
                <w:szCs w:val="24"/>
              </w:rPr>
            </w:pPr>
          </w:p>
        </w:tc>
        <w:tc>
          <w:tcPr>
            <w:tcW w:w="3740" w:type="dxa"/>
            <w:tcBorders>
              <w:top w:val="dashed" w:color="auto" w:sz="4" w:space="0"/>
            </w:tcBorders>
            <w:noWrap w:val="0"/>
            <w:vAlign w:val="top"/>
          </w:tcPr>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pPr>
              <w:spacing w:line="360" w:lineRule="auto"/>
              <w:jc w:val="center"/>
              <w:rPr>
                <w:rFonts w:hint="eastAsia" w:ascii="仿宋" w:hAnsi="仿宋" w:eastAsia="仿宋" w:cs="仿宋"/>
                <w:sz w:val="24"/>
                <w:szCs w:val="24"/>
              </w:rPr>
            </w:pPr>
          </w:p>
        </w:tc>
      </w:tr>
    </w:tbl>
    <w:p>
      <w:pPr>
        <w:spacing w:line="360" w:lineRule="auto"/>
        <w:rPr>
          <w:rFonts w:hint="eastAsia" w:ascii="仿宋" w:hAnsi="仿宋" w:eastAsia="仿宋" w:cs="仿宋"/>
          <w:b/>
          <w:sz w:val="24"/>
          <w:szCs w:val="24"/>
        </w:rPr>
      </w:pPr>
      <w:r>
        <w:rPr>
          <w:rFonts w:hint="eastAsia" w:ascii="仿宋" w:hAnsi="仿宋" w:eastAsia="仿宋" w:cs="仿宋"/>
          <w:b/>
          <w:sz w:val="24"/>
          <w:szCs w:val="24"/>
        </w:rPr>
        <w:t>。</w:t>
      </w:r>
    </w:p>
    <w:p>
      <w:pPr>
        <w:pStyle w:val="6"/>
        <w:spacing w:line="360" w:lineRule="auto"/>
        <w:rPr>
          <w:rFonts w:hint="eastAsia" w:ascii="仿宋" w:hAnsi="仿宋" w:eastAsia="仿宋" w:cs="仿宋"/>
          <w:sz w:val="24"/>
          <w:szCs w:val="24"/>
        </w:rPr>
      </w:pPr>
    </w:p>
    <w:p>
      <w:pPr>
        <w:spacing w:line="360" w:lineRule="auto"/>
        <w:ind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pPr>
        <w:spacing w:line="360" w:lineRule="auto"/>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pPr>
        <w:outlineLvl w:val="2"/>
        <w:rPr>
          <w:rFonts w:hint="eastAsia" w:ascii="仿宋" w:hAnsi="仿宋" w:eastAsia="仿宋" w:cs="仿宋"/>
          <w:b/>
          <w:bCs/>
          <w:color w:val="0D0D0D"/>
          <w:kern w:val="1"/>
          <w:sz w:val="24"/>
          <w:szCs w:val="24"/>
          <w:lang w:val="en-US" w:eastAsia="zh-CN" w:bidi="ar-SA"/>
        </w:rPr>
      </w:pPr>
      <w:bookmarkStart w:id="62" w:name="_Toc1080"/>
      <w:bookmarkStart w:id="63" w:name="_Toc27008"/>
      <w:r>
        <w:rPr>
          <w:rFonts w:hint="eastAsia" w:ascii="仿宋" w:hAnsi="仿宋" w:eastAsia="仿宋" w:cs="仿宋"/>
          <w:sz w:val="24"/>
          <w:szCs w:val="24"/>
        </w:rPr>
        <w:br w:type="page"/>
      </w:r>
      <w:bookmarkEnd w:id="62"/>
      <w:bookmarkEnd w:id="63"/>
      <w:r>
        <w:rPr>
          <w:rFonts w:hint="eastAsia" w:ascii="仿宋" w:hAnsi="仿宋" w:eastAsia="仿宋" w:cs="仿宋"/>
          <w:b/>
          <w:bCs/>
          <w:color w:val="0D0D0D"/>
          <w:kern w:val="1"/>
          <w:sz w:val="24"/>
          <w:szCs w:val="24"/>
          <w:lang w:val="en-US" w:eastAsia="zh-CN" w:bidi="ar-SA"/>
        </w:rPr>
        <w:t>7供应商具备有效的建筑工程施工总承包三级或以上资质（含三级），且具备有效的安全生产许可证；提供在“西安市公共资源交易中心工程建设交易平台”可查询的网页截图</w:t>
      </w:r>
    </w:p>
    <w:p>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pPr>
        <w:outlineLvl w:val="2"/>
        <w:rPr>
          <w:rFonts w:hint="eastAsia" w:ascii="仿宋" w:hAnsi="仿宋" w:eastAsia="仿宋" w:cs="仿宋"/>
          <w:color w:val="0D0D0D"/>
          <w:kern w:val="1"/>
          <w:sz w:val="24"/>
          <w:szCs w:val="24"/>
          <w:lang w:val="en-US" w:eastAsia="zh-CN"/>
        </w:rPr>
      </w:pPr>
      <w:r>
        <w:rPr>
          <w:rFonts w:hint="eastAsia" w:ascii="仿宋" w:hAnsi="仿宋" w:eastAsia="仿宋" w:cs="仿宋"/>
          <w:b/>
          <w:bCs/>
          <w:sz w:val="24"/>
          <w:szCs w:val="24"/>
          <w:lang w:val="en-US" w:eastAsia="zh-CN"/>
        </w:rPr>
        <w:t>8项目经理要求：拟派项目经理须具备建筑工程专业二级以上（含二级）注册建造师证书和建安B证，且无在建项目（以承诺书为准）</w:t>
      </w:r>
      <w:r>
        <w:rPr>
          <w:rFonts w:hint="eastAsia" w:ascii="仿宋" w:hAnsi="仿宋" w:eastAsia="仿宋" w:cs="仿宋"/>
          <w:color w:val="0D0D0D"/>
          <w:kern w:val="1"/>
          <w:sz w:val="24"/>
          <w:szCs w:val="24"/>
          <w:lang w:val="en-US" w:eastAsia="zh-CN"/>
        </w:rPr>
        <w:br w:type="page"/>
      </w:r>
    </w:p>
    <w:bookmarkEnd w:id="61"/>
    <w:p>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b/>
          <w:bCs w:val="0"/>
          <w:i w:val="0"/>
          <w:iCs w:val="0"/>
          <w:caps w:val="0"/>
          <w:color w:val="auto"/>
          <w:spacing w:val="0"/>
          <w:sz w:val="24"/>
          <w:szCs w:val="24"/>
          <w:highlight w:val="none"/>
          <w:shd w:val="clear" w:color="auto" w:fill="FFFFFF"/>
          <w:lang w:val="en-US" w:eastAsia="zh-CN"/>
        </w:rPr>
        <w:t>9</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pPr>
        <w:rPr>
          <w:rFonts w:hint="eastAsia" w:ascii="仿宋" w:hAnsi="仿宋" w:eastAsia="仿宋" w:cs="仿宋"/>
          <w:sz w:val="24"/>
          <w:szCs w:val="24"/>
        </w:rPr>
      </w:pPr>
    </w:p>
    <w:p>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pPr>
        <w:widowControl/>
        <w:jc w:val="center"/>
        <w:rPr>
          <w:rFonts w:hint="eastAsia" w:ascii="仿宋" w:hAnsi="仿宋" w:eastAsia="仿宋" w:cs="仿宋"/>
          <w:kern w:val="0"/>
          <w:sz w:val="24"/>
          <w:szCs w:val="24"/>
          <w:lang w:bidi="ar"/>
        </w:rPr>
      </w:pPr>
    </w:p>
    <w:p>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pPr>
        <w:widowControl/>
        <w:ind w:firstLine="480" w:firstLineChars="200"/>
        <w:rPr>
          <w:rFonts w:hint="eastAsia" w:ascii="仿宋" w:hAnsi="仿宋" w:eastAsia="仿宋" w:cs="仿宋"/>
          <w:color w:val="000000"/>
          <w:kern w:val="0"/>
          <w:sz w:val="24"/>
          <w:szCs w:val="24"/>
        </w:rPr>
      </w:pPr>
    </w:p>
    <w:p>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64" w:name="_Toc13186"/>
      <w:bookmarkStart w:id="65" w:name="_Toc2879"/>
    </w:p>
    <w:bookmarkEnd w:id="64"/>
    <w:bookmarkEnd w:id="65"/>
    <w:p>
      <w:pPr>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10关于联合体磋商要求：本项目不接受联合体磋商。</w:t>
      </w:r>
    </w:p>
    <w:p>
      <w:pPr>
        <w:rPr>
          <w:rFonts w:hint="eastAsia" w:ascii="仿宋" w:hAnsi="仿宋" w:eastAsia="仿宋" w:cs="仿宋"/>
          <w:sz w:val="24"/>
          <w:szCs w:val="24"/>
        </w:rPr>
      </w:pPr>
    </w:p>
    <w:p>
      <w:pPr>
        <w:pStyle w:val="10"/>
        <w:wordWrap w:val="0"/>
        <w:spacing w:before="0" w:beforeAutospacing="0" w:after="0" w:afterAutospacing="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西安市第八十九中学</w:t>
      </w:r>
      <w:r>
        <w:rPr>
          <w:rFonts w:hint="eastAsia" w:ascii="仿宋" w:hAnsi="仿宋" w:eastAsia="仿宋" w:cs="仿宋"/>
          <w:b/>
          <w:bCs/>
          <w:color w:val="36363D"/>
          <w:sz w:val="24"/>
          <w:szCs w:val="24"/>
          <w:shd w:val="clear" w:color="auto" w:fill="FFFFFF"/>
        </w:rPr>
        <w:t>：</w:t>
      </w:r>
    </w:p>
    <w:p>
      <w:pPr>
        <w:pStyle w:val="10"/>
        <w:wordWrap w:val="0"/>
        <w:spacing w:before="0" w:beforeAutospacing="0" w:after="0" w:afterAutospacing="0" w:line="600" w:lineRule="auto"/>
        <w:ind w:right="185"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10"/>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10"/>
        <w:wordWrap w:val="0"/>
        <w:spacing w:before="0" w:beforeAutospacing="0" w:after="0" w:afterAutospacing="0"/>
        <w:ind w:firstLine="420"/>
        <w:rPr>
          <w:rFonts w:hint="eastAsia" w:ascii="仿宋" w:hAnsi="仿宋" w:eastAsia="仿宋" w:cs="仿宋"/>
          <w:sz w:val="24"/>
          <w:szCs w:val="24"/>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6"/>
        <w:rPr>
          <w:rFonts w:hint="eastAsia" w:ascii="仿宋" w:hAnsi="仿宋" w:eastAsia="仿宋" w:cs="仿宋"/>
        </w:rPr>
      </w:pPr>
    </w:p>
    <w:p>
      <w:pPr>
        <w:rPr>
          <w:rFonts w:hint="eastAsia" w:ascii="仿宋" w:hAnsi="仿宋" w:cs="仿宋"/>
        </w:rPr>
      </w:pPr>
    </w:p>
    <w:p>
      <w:pPr>
        <w:pStyle w:val="6"/>
        <w:rPr>
          <w:rFonts w:hint="eastAsia" w:ascii="仿宋" w:hAnsi="仿宋" w:eastAsia="仿宋" w:cs="仿宋"/>
        </w:rPr>
      </w:pPr>
    </w:p>
    <w:p>
      <w:pPr>
        <w:rPr>
          <w:rFonts w:hint="eastAsia" w:ascii="仿宋" w:hAnsi="仿宋" w:cs="仿宋"/>
        </w:rPr>
      </w:pPr>
    </w:p>
    <w:p>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pPr>
        <w:ind w:firstLine="2640" w:firstLineChars="1100"/>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bookmarkStart w:id="66" w:name="_GoBack"/>
      <w:bookmarkEnd w:id="66"/>
      <w:r>
        <w:rPr>
          <w:rFonts w:hint="eastAsia" w:ascii="仿宋" w:hAnsi="仿宋" w:eastAsia="仿宋" w:cs="仿宋"/>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9452F1A"/>
    <w:rsid w:val="28E379B7"/>
    <w:rsid w:val="30782FDA"/>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3428</Words>
  <Characters>3490</Characters>
  <Lines>0</Lines>
  <Paragraphs>0</Paragraphs>
  <TotalTime>0</TotalTime>
  <ScaleCrop>false</ScaleCrop>
  <LinksUpToDate>false</LinksUpToDate>
  <CharactersWithSpaces>4157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2024-07-01T09:26:25Z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CE5EC91810A149C58095A7A56480B9C3_11</vt:lpwstr>
  </property>
</Properties>
</file>