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版本号：LBZB-CG202550420250408001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西安市城市轨道交通设施设备安全专项检查项目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LBZB-CG2025504</w:t>
      </w:r>
      <w:r>
        <w:br/>
      </w:r>
      <w:r>
        <w:br/>
      </w:r>
      <w:r>
        <w:br/>
      </w:r>
    </w:p>
    <w:p>
      <w:pPr>
        <w:pStyle w:val="null3"/>
        <w:jc w:val="center"/>
        <w:outlineLvl w:val="2"/>
      </w:pPr>
      <w:r>
        <w:rPr>
          <w:rFonts w:ascii="仿宋_GB2312" w:hAnsi="仿宋_GB2312" w:cs="仿宋_GB2312" w:eastAsia="仿宋_GB2312"/>
          <w:sz w:val="28"/>
          <w:b/>
        </w:rPr>
        <w:t>西安市交通运输局（本级）</w:t>
      </w:r>
    </w:p>
    <w:p>
      <w:pPr>
        <w:pStyle w:val="null3"/>
        <w:jc w:val="center"/>
        <w:outlineLvl w:val="2"/>
      </w:pPr>
      <w:r>
        <w:rPr>
          <w:rFonts w:ascii="仿宋_GB2312" w:hAnsi="仿宋_GB2312" w:cs="仿宋_GB2312" w:eastAsia="仿宋_GB2312"/>
          <w:sz w:val="28"/>
          <w:b/>
        </w:rPr>
        <w:t>陕西立标项目管理咨询有限公司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陕西立标项目管理咨询有限公司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西安市交通运输局（本级）</w:t>
      </w:r>
      <w:r>
        <w:rPr>
          <w:rFonts w:ascii="仿宋_GB2312" w:hAnsi="仿宋_GB2312" w:cs="仿宋_GB2312" w:eastAsia="仿宋_GB2312"/>
        </w:rPr>
        <w:t>委托，拟对</w:t>
      </w:r>
      <w:r>
        <w:rPr>
          <w:rFonts w:ascii="仿宋_GB2312" w:hAnsi="仿宋_GB2312" w:cs="仿宋_GB2312" w:eastAsia="仿宋_GB2312"/>
        </w:rPr>
        <w:t>西安市城市轨道交通设施设备安全专项检查项目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LBZB-CG2025504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西安市城市轨道交通设施设备安全专项检查项目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西安市现有地铁运营线路11条，开通总里程403公里，运营车站总数236座，其中换乘站34座，最小行车间隔2分13秒，最大运营服务时长18小时44分。 根据《国务院办公厅关于保障城市轨道交通安全运行的意见》(国办发〔2018〕13号)、《城市轨道交通运营管理规定》(交通运输部2018年第8号令)等文件要求，拟通过竞争性磋商采购方式确定一名供应商组织开展西安市城市轨道交通设施设备安全专项检查，按季度和关键节点组织专家检查，并根据检查内容出具专家检查报告，同时复核检查问题整改情况。</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6、控股管理关系：若与其他供应商存在单位负责人为同一人或者存在直接控股、管理关系的，则磋商无效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8、法定代表人（单位负责人）授权委托书：法定代表人（单位负责人）授权书及被授权人身份证复印件或扫描件（法人参加只需提供法定代表人（单位负责人）身份证明）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西安市凤城八路109号市行政中心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西安市交通运输局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029-86787358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陕西立标项目管理咨询有限公司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西安市未央区陕西省西安市经济技术开发区元鼎路明丰伯马都A座1103/1104室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15336181988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中标单位在领取中标通知书前，须向采购代理机构支付招标代理服务费，招标代理服务费参照《国家计委关于印发&lt;招标代理服务收费管理暂行办法&gt;的通知》（计价格[2002]1980号）和国家发展改革委员会办公厅颁发的《关于招标代理服务收费有关问题的通知》（发改办价格[2003]857号）规定标准收取。 采购代理服务费以对公账户汇到以下账号： 采购代理机构开户名称：陕西立标项目管理咨询有限公司 开户银行：中国建设银行西安长庆支行 账号：6105 0190 5500 0000 2924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西安市交通运输局（本级）</w:t>
      </w:r>
      <w:r>
        <w:rPr>
          <w:rFonts w:ascii="仿宋_GB2312" w:hAnsi="仿宋_GB2312" w:cs="仿宋_GB2312" w:eastAsia="仿宋_GB2312"/>
        </w:rPr>
        <w:t>和</w:t>
      </w:r>
      <w:r>
        <w:rPr>
          <w:rFonts w:ascii="仿宋_GB2312" w:hAnsi="仿宋_GB2312" w:cs="仿宋_GB2312" w:eastAsia="仿宋_GB2312"/>
        </w:rPr>
        <w:t>陕西立标项目管理咨询有限公司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陕西立标项目管理咨询有限公司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陕西立标项目管理咨询有限公司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陕西立标项目管理咨询有限公司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联系人：温经理</w:t>
      </w:r>
    </w:p>
    <w:p>
      <w:pPr>
        <w:pStyle w:val="null3"/>
      </w:pPr>
      <w:r>
        <w:rPr>
          <w:rFonts w:ascii="仿宋_GB2312" w:hAnsi="仿宋_GB2312" w:cs="仿宋_GB2312" w:eastAsia="仿宋_GB2312"/>
        </w:rPr>
        <w:t>联系电话：15336181988</w:t>
      </w:r>
    </w:p>
    <w:p>
      <w:pPr>
        <w:pStyle w:val="null3"/>
      </w:pPr>
      <w:r>
        <w:rPr>
          <w:rFonts w:ascii="仿宋_GB2312" w:hAnsi="仿宋_GB2312" w:cs="仿宋_GB2312" w:eastAsia="仿宋_GB2312"/>
        </w:rPr>
        <w:t>地址：西安市经济技术开发区元鼎路明丰伯马都A座1103/1104室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西安市现有地铁运营线路11条，开通总里程403公里，运营车站总数236座，其中换乘站34座，最小行车间隔2分13秒，最大运营服务时长18小时44分。 根据《国务院办公厅关于保障城市轨道交通安全运行的意见》(国办发〔2018〕13号)、《城市轨道交通运营管理规定》(交通运输部2018年第8号令)等文件要求，拟通过竞争性磋商采购方式确定一名供应商组织开展西安市城市轨道交通设施设备安全专项检查，按季度和关键节点组织专家检查，并根据检查内容出具专家检查报告，同时复核检查问题整改情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西安市城市轨道交通设施设备安全专项检查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标的名称：西安市城市轨道交通设施设备安全专项检查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一、项目概况：</w:t>
            </w:r>
          </w:p>
          <w:p>
            <w:pPr>
              <w:pStyle w:val="null3"/>
              <w:ind w:firstLine="480"/>
            </w:pPr>
            <w:r>
              <w:rPr>
                <w:rFonts w:ascii="仿宋_GB2312" w:hAnsi="仿宋_GB2312" w:cs="仿宋_GB2312" w:eastAsia="仿宋_GB2312"/>
              </w:rPr>
              <w:t>西安市现有地铁运营线路</w:t>
            </w:r>
            <w:r>
              <w:rPr>
                <w:rFonts w:ascii="仿宋_GB2312" w:hAnsi="仿宋_GB2312" w:cs="仿宋_GB2312" w:eastAsia="仿宋_GB2312"/>
              </w:rPr>
              <w:t>11</w:t>
            </w:r>
            <w:r>
              <w:rPr>
                <w:rFonts w:ascii="仿宋_GB2312" w:hAnsi="仿宋_GB2312" w:cs="仿宋_GB2312" w:eastAsia="仿宋_GB2312"/>
              </w:rPr>
              <w:t>条，开通总里程</w:t>
            </w:r>
            <w:r>
              <w:rPr>
                <w:rFonts w:ascii="仿宋_GB2312" w:hAnsi="仿宋_GB2312" w:cs="仿宋_GB2312" w:eastAsia="仿宋_GB2312"/>
              </w:rPr>
              <w:t>403</w:t>
            </w:r>
            <w:r>
              <w:rPr>
                <w:rFonts w:ascii="仿宋_GB2312" w:hAnsi="仿宋_GB2312" w:cs="仿宋_GB2312" w:eastAsia="仿宋_GB2312"/>
              </w:rPr>
              <w:t>公里，运营车站总数</w:t>
            </w:r>
            <w:r>
              <w:rPr>
                <w:rFonts w:ascii="仿宋_GB2312" w:hAnsi="仿宋_GB2312" w:cs="仿宋_GB2312" w:eastAsia="仿宋_GB2312"/>
              </w:rPr>
              <w:t>236</w:t>
            </w:r>
            <w:r>
              <w:rPr>
                <w:rFonts w:ascii="仿宋_GB2312" w:hAnsi="仿宋_GB2312" w:cs="仿宋_GB2312" w:eastAsia="仿宋_GB2312"/>
              </w:rPr>
              <w:t>座，其中换乘站</w:t>
            </w:r>
            <w:r>
              <w:rPr>
                <w:rFonts w:ascii="仿宋_GB2312" w:hAnsi="仿宋_GB2312" w:cs="仿宋_GB2312" w:eastAsia="仿宋_GB2312"/>
              </w:rPr>
              <w:t>34</w:t>
            </w:r>
            <w:r>
              <w:rPr>
                <w:rFonts w:ascii="仿宋_GB2312" w:hAnsi="仿宋_GB2312" w:cs="仿宋_GB2312" w:eastAsia="仿宋_GB2312"/>
              </w:rPr>
              <w:t>座，最小行车间隔</w:t>
            </w:r>
            <w:r>
              <w:rPr>
                <w:rFonts w:ascii="仿宋_GB2312" w:hAnsi="仿宋_GB2312" w:cs="仿宋_GB2312" w:eastAsia="仿宋_GB2312"/>
              </w:rPr>
              <w:t>2</w:t>
            </w:r>
            <w:r>
              <w:rPr>
                <w:rFonts w:ascii="仿宋_GB2312" w:hAnsi="仿宋_GB2312" w:cs="仿宋_GB2312" w:eastAsia="仿宋_GB2312"/>
              </w:rPr>
              <w:t>分</w:t>
            </w:r>
            <w:r>
              <w:rPr>
                <w:rFonts w:ascii="仿宋_GB2312" w:hAnsi="仿宋_GB2312" w:cs="仿宋_GB2312" w:eastAsia="仿宋_GB2312"/>
              </w:rPr>
              <w:t>13</w:t>
            </w:r>
            <w:r>
              <w:rPr>
                <w:rFonts w:ascii="仿宋_GB2312" w:hAnsi="仿宋_GB2312" w:cs="仿宋_GB2312" w:eastAsia="仿宋_GB2312"/>
              </w:rPr>
              <w:t>秒，最大运营服务时长</w:t>
            </w:r>
            <w:r>
              <w:rPr>
                <w:rFonts w:ascii="仿宋_GB2312" w:hAnsi="仿宋_GB2312" w:cs="仿宋_GB2312" w:eastAsia="仿宋_GB2312"/>
              </w:rPr>
              <w:t>18</w:t>
            </w:r>
            <w:r>
              <w:rPr>
                <w:rFonts w:ascii="仿宋_GB2312" w:hAnsi="仿宋_GB2312" w:cs="仿宋_GB2312" w:eastAsia="仿宋_GB2312"/>
              </w:rPr>
              <w:t>小时</w:t>
            </w:r>
            <w:r>
              <w:rPr>
                <w:rFonts w:ascii="仿宋_GB2312" w:hAnsi="仿宋_GB2312" w:cs="仿宋_GB2312" w:eastAsia="仿宋_GB2312"/>
              </w:rPr>
              <w:t>44</w:t>
            </w:r>
            <w:r>
              <w:rPr>
                <w:rFonts w:ascii="仿宋_GB2312" w:hAnsi="仿宋_GB2312" w:cs="仿宋_GB2312" w:eastAsia="仿宋_GB2312"/>
              </w:rPr>
              <w:t>分。</w:t>
            </w:r>
          </w:p>
          <w:p>
            <w:pPr>
              <w:pStyle w:val="null3"/>
              <w:ind w:firstLine="400"/>
            </w:pPr>
            <w:r>
              <w:rPr>
                <w:rFonts w:ascii="仿宋_GB2312" w:hAnsi="仿宋_GB2312" w:cs="仿宋_GB2312" w:eastAsia="仿宋_GB2312"/>
              </w:rPr>
              <w:t>城市轨道交通设施指投入运营的土建设施及附属软硬件监测设备，包括桥梁、隧道、轨道、路基、车站、控制中心和车辆基地等。</w:t>
            </w:r>
          </w:p>
          <w:p>
            <w:pPr>
              <w:pStyle w:val="null3"/>
              <w:ind w:firstLine="400"/>
            </w:pPr>
            <w:r>
              <w:rPr>
                <w:rFonts w:ascii="仿宋_GB2312" w:hAnsi="仿宋_GB2312" w:cs="仿宋_GB2312" w:eastAsia="仿宋_GB2312"/>
              </w:rPr>
              <w:t>城市轨道交通设备指投入运营的各类机械、电气、自动化设备及软件系统，包括车辆、通风空调与供暖、给水与排水、供电、通信、信号、自动售检票、综合监控、环境与设备监控、乘客信息、门禁、站台门、车辆基地检修设备、工程车和相关检测监测设备等。</w:t>
            </w:r>
          </w:p>
          <w:p>
            <w:pPr>
              <w:pStyle w:val="null3"/>
              <w:ind w:firstLine="480"/>
            </w:pPr>
            <w:r>
              <w:rPr>
                <w:rFonts w:ascii="仿宋_GB2312" w:hAnsi="仿宋_GB2312" w:cs="仿宋_GB2312" w:eastAsia="仿宋_GB2312"/>
                <w:color w:val="000000"/>
              </w:rPr>
              <w:t>根据《国务院办公厅关于保障城市轨道交通安全运行的意见》</w:t>
            </w:r>
            <w:r>
              <w:rPr>
                <w:rFonts w:ascii="仿宋_GB2312" w:hAnsi="仿宋_GB2312" w:cs="仿宋_GB2312" w:eastAsia="仿宋_GB2312"/>
                <w:color w:val="000000"/>
              </w:rPr>
              <w:t>(</w:t>
            </w:r>
            <w:r>
              <w:rPr>
                <w:rFonts w:ascii="仿宋_GB2312" w:hAnsi="仿宋_GB2312" w:cs="仿宋_GB2312" w:eastAsia="仿宋_GB2312"/>
                <w:color w:val="000000"/>
              </w:rPr>
              <w:t>国办发〔</w:t>
            </w:r>
            <w:r>
              <w:rPr>
                <w:rFonts w:ascii="仿宋_GB2312" w:hAnsi="仿宋_GB2312" w:cs="仿宋_GB2312" w:eastAsia="仿宋_GB2312"/>
                <w:color w:val="000000"/>
              </w:rPr>
              <w:t>2018</w:t>
            </w:r>
            <w:r>
              <w:rPr>
                <w:rFonts w:ascii="仿宋_GB2312" w:hAnsi="仿宋_GB2312" w:cs="仿宋_GB2312" w:eastAsia="仿宋_GB2312"/>
                <w:color w:val="000000"/>
              </w:rPr>
              <w:t>〕</w:t>
            </w:r>
            <w:r>
              <w:rPr>
                <w:rFonts w:ascii="仿宋_GB2312" w:hAnsi="仿宋_GB2312" w:cs="仿宋_GB2312" w:eastAsia="仿宋_GB2312"/>
                <w:color w:val="000000"/>
              </w:rPr>
              <w:t>13</w:t>
            </w:r>
            <w:r>
              <w:rPr>
                <w:rFonts w:ascii="仿宋_GB2312" w:hAnsi="仿宋_GB2312" w:cs="仿宋_GB2312" w:eastAsia="仿宋_GB2312"/>
                <w:color w:val="000000"/>
              </w:rPr>
              <w:t>号</w:t>
            </w:r>
            <w:r>
              <w:rPr>
                <w:rFonts w:ascii="仿宋_GB2312" w:hAnsi="仿宋_GB2312" w:cs="仿宋_GB2312" w:eastAsia="仿宋_GB2312"/>
                <w:color w:val="000000"/>
              </w:rPr>
              <w:t>)</w:t>
            </w:r>
            <w:r>
              <w:rPr>
                <w:rFonts w:ascii="仿宋_GB2312" w:hAnsi="仿宋_GB2312" w:cs="仿宋_GB2312" w:eastAsia="仿宋_GB2312"/>
                <w:color w:val="000000"/>
              </w:rPr>
              <w:t>《城市轨道交通运营管理规定》</w:t>
            </w:r>
            <w:r>
              <w:rPr>
                <w:rFonts w:ascii="仿宋_GB2312" w:hAnsi="仿宋_GB2312" w:cs="仿宋_GB2312" w:eastAsia="仿宋_GB2312"/>
                <w:color w:val="000000"/>
              </w:rPr>
              <w:t>(</w:t>
            </w:r>
            <w:r>
              <w:rPr>
                <w:rFonts w:ascii="仿宋_GB2312" w:hAnsi="仿宋_GB2312" w:cs="仿宋_GB2312" w:eastAsia="仿宋_GB2312"/>
                <w:color w:val="000000"/>
              </w:rPr>
              <w:t>交通运输部</w:t>
            </w:r>
            <w:r>
              <w:rPr>
                <w:rFonts w:ascii="仿宋_GB2312" w:hAnsi="仿宋_GB2312" w:cs="仿宋_GB2312" w:eastAsia="仿宋_GB2312"/>
                <w:color w:val="000000"/>
              </w:rPr>
              <w:t>2018</w:t>
            </w:r>
            <w:r>
              <w:rPr>
                <w:rFonts w:ascii="仿宋_GB2312" w:hAnsi="仿宋_GB2312" w:cs="仿宋_GB2312" w:eastAsia="仿宋_GB2312"/>
                <w:color w:val="000000"/>
              </w:rPr>
              <w:t>年第</w:t>
            </w:r>
            <w:r>
              <w:rPr>
                <w:rFonts w:ascii="仿宋_GB2312" w:hAnsi="仿宋_GB2312" w:cs="仿宋_GB2312" w:eastAsia="仿宋_GB2312"/>
                <w:color w:val="000000"/>
              </w:rPr>
              <w:t>8</w:t>
            </w:r>
            <w:r>
              <w:rPr>
                <w:rFonts w:ascii="仿宋_GB2312" w:hAnsi="仿宋_GB2312" w:cs="仿宋_GB2312" w:eastAsia="仿宋_GB2312"/>
                <w:color w:val="000000"/>
              </w:rPr>
              <w:t>号令</w:t>
            </w:r>
            <w:r>
              <w:rPr>
                <w:rFonts w:ascii="仿宋_GB2312" w:hAnsi="仿宋_GB2312" w:cs="仿宋_GB2312" w:eastAsia="仿宋_GB2312"/>
                <w:color w:val="000000"/>
              </w:rPr>
              <w:t xml:space="preserve">) </w:t>
            </w:r>
            <w:r>
              <w:rPr>
                <w:rFonts w:ascii="仿宋_GB2312" w:hAnsi="仿宋_GB2312" w:cs="仿宋_GB2312" w:eastAsia="仿宋_GB2312"/>
                <w:color w:val="000000"/>
              </w:rPr>
              <w:t>《城市轨道交通运营安全风险分级管控和隐患排查治理管理办法》《城市轨道交通设施设备运行维护管理办法》《城市轨道交通全自动运行系统运营技术和管理规范（试行）》等规定以及各专业领域如《城市轨道交通通信系统运营技术规范（试行）》等规范要求，拟通过竞争性磋商采购方式确定一名供应商组织开展西安市城市轨道交通设施设备安全专项检查服务，按季度和关键节点开展专家检查，并根据检查内容出具季度专家检查报告，</w:t>
            </w:r>
            <w:r>
              <w:rPr>
                <w:rFonts w:ascii="仿宋_GB2312" w:hAnsi="仿宋_GB2312" w:cs="仿宋_GB2312" w:eastAsia="仿宋_GB2312"/>
              </w:rPr>
              <w:t>同时复核检查问题整改情况。</w:t>
            </w:r>
          </w:p>
          <w:p>
            <w:pPr>
              <w:pStyle w:val="null3"/>
              <w:ind w:left="105"/>
              <w:jc w:val="both"/>
            </w:pPr>
            <w:r>
              <w:rPr>
                <w:rFonts w:ascii="仿宋_GB2312" w:hAnsi="仿宋_GB2312" w:cs="仿宋_GB2312" w:eastAsia="仿宋_GB2312"/>
              </w:rPr>
              <w:t>交付期：按照季度提交检查报告，</w:t>
            </w:r>
            <w:r>
              <w:rPr>
                <w:rFonts w:ascii="仿宋_GB2312" w:hAnsi="仿宋_GB2312" w:cs="仿宋_GB2312" w:eastAsia="仿宋_GB2312"/>
                <w:color w:val="000000"/>
              </w:rPr>
              <w:t>且于</w:t>
            </w:r>
            <w:r>
              <w:rPr>
                <w:rFonts w:ascii="仿宋_GB2312" w:hAnsi="仿宋_GB2312" w:cs="仿宋_GB2312" w:eastAsia="仿宋_GB2312"/>
                <w:color w:val="000000"/>
              </w:rPr>
              <w:t>2025</w:t>
            </w:r>
            <w:r>
              <w:rPr>
                <w:rFonts w:ascii="仿宋_GB2312" w:hAnsi="仿宋_GB2312" w:cs="仿宋_GB2312" w:eastAsia="仿宋_GB2312"/>
                <w:color w:val="000000"/>
              </w:rPr>
              <w:t>年</w:t>
            </w:r>
            <w:r>
              <w:rPr>
                <w:rFonts w:ascii="仿宋_GB2312" w:hAnsi="仿宋_GB2312" w:cs="仿宋_GB2312" w:eastAsia="仿宋_GB2312"/>
                <w:color w:val="000000"/>
              </w:rPr>
              <w:t>12</w:t>
            </w:r>
            <w:r>
              <w:rPr>
                <w:rFonts w:ascii="仿宋_GB2312" w:hAnsi="仿宋_GB2312" w:cs="仿宋_GB2312" w:eastAsia="仿宋_GB2312"/>
                <w:color w:val="000000"/>
              </w:rPr>
              <w:t>月</w:t>
            </w:r>
            <w:r>
              <w:rPr>
                <w:rFonts w:ascii="仿宋_GB2312" w:hAnsi="仿宋_GB2312" w:cs="仿宋_GB2312" w:eastAsia="仿宋_GB2312"/>
                <w:color w:val="000000"/>
              </w:rPr>
              <w:t>30</w:t>
            </w:r>
            <w:r>
              <w:rPr>
                <w:rFonts w:ascii="仿宋_GB2312" w:hAnsi="仿宋_GB2312" w:cs="仿宋_GB2312" w:eastAsia="仿宋_GB2312"/>
                <w:color w:val="000000"/>
              </w:rPr>
              <w:t>日前完成安全专项检查和问题复核。</w:t>
            </w:r>
          </w:p>
          <w:p>
            <w:pPr>
              <w:pStyle w:val="null3"/>
            </w:pPr>
            <w:r>
              <w:rPr>
                <w:rFonts w:ascii="仿宋_GB2312" w:hAnsi="仿宋_GB2312" w:cs="仿宋_GB2312" w:eastAsia="仿宋_GB2312"/>
              </w:rPr>
              <w:t>服务质量：</w:t>
            </w:r>
            <w:r>
              <w:rPr>
                <w:rFonts w:ascii="仿宋_GB2312" w:hAnsi="仿宋_GB2312" w:cs="仿宋_GB2312" w:eastAsia="仿宋_GB2312"/>
                <w:color w:val="000000"/>
              </w:rPr>
              <w:t>1.</w:t>
            </w:r>
            <w:r>
              <w:rPr>
                <w:rFonts w:ascii="仿宋_GB2312" w:hAnsi="仿宋_GB2312" w:cs="仿宋_GB2312" w:eastAsia="仿宋_GB2312"/>
                <w:color w:val="000000"/>
              </w:rPr>
              <w:t xml:space="preserve">按照城市轨道交通运营安全相关法律法规及技术文件要求，全面、认真细致地组织组织专家检查。 </w:t>
            </w:r>
            <w:r>
              <w:rPr>
                <w:rFonts w:ascii="仿宋_GB2312" w:hAnsi="仿宋_GB2312" w:cs="仿宋_GB2312" w:eastAsia="仿宋_GB2312"/>
                <w:color w:val="000000"/>
              </w:rPr>
              <w:t>2.</w:t>
            </w:r>
            <w:r>
              <w:rPr>
                <w:rFonts w:ascii="仿宋_GB2312" w:hAnsi="仿宋_GB2312" w:cs="仿宋_GB2312" w:eastAsia="仿宋_GB2312"/>
                <w:color w:val="000000"/>
              </w:rPr>
              <w:t xml:space="preserve">检查结果报告编写要认真，评价结论要严谨，对采购人后续线网运营监管检查有参考意义。 </w:t>
            </w:r>
            <w:r>
              <w:rPr>
                <w:rFonts w:ascii="仿宋_GB2312" w:hAnsi="仿宋_GB2312" w:cs="仿宋_GB2312" w:eastAsia="仿宋_GB2312"/>
                <w:color w:val="000000"/>
              </w:rPr>
              <w:t>3.</w:t>
            </w:r>
            <w:r>
              <w:rPr>
                <w:rFonts w:ascii="仿宋_GB2312" w:hAnsi="仿宋_GB2312" w:cs="仿宋_GB2312" w:eastAsia="仿宋_GB2312"/>
                <w:color w:val="000000"/>
              </w:rPr>
              <w:t xml:space="preserve">项目组成员应对城市轨道交通类项目较为熟悉，与采购人要加强沟通和技术交流，要有主动服务意识和问题发现意识，能积极提出创新的建议。 </w:t>
            </w:r>
            <w:r>
              <w:rPr>
                <w:rFonts w:ascii="仿宋_GB2312" w:hAnsi="仿宋_GB2312" w:cs="仿宋_GB2312" w:eastAsia="仿宋_GB2312"/>
                <w:color w:val="000000"/>
              </w:rPr>
              <w:t>4.</w:t>
            </w:r>
            <w:r>
              <w:rPr>
                <w:rFonts w:ascii="仿宋_GB2312" w:hAnsi="仿宋_GB2312" w:cs="仿宋_GB2312" w:eastAsia="仿宋_GB2312"/>
                <w:color w:val="000000"/>
              </w:rPr>
              <w:t xml:space="preserve">每次检查完成后须向采购人提供检查结果报告等成果资料，应包含检查发现问题台账、相关建议措施、问题整改期限等内容。成果资料纸质一份，电子文件一份。 </w:t>
            </w:r>
            <w:r>
              <w:rPr>
                <w:rFonts w:ascii="仿宋_GB2312" w:hAnsi="仿宋_GB2312" w:cs="仿宋_GB2312" w:eastAsia="仿宋_GB2312"/>
                <w:color w:val="000000"/>
              </w:rPr>
              <w:t>5.</w:t>
            </w:r>
            <w:r>
              <w:rPr>
                <w:rFonts w:ascii="仿宋_GB2312" w:hAnsi="仿宋_GB2312" w:cs="仿宋_GB2312" w:eastAsia="仿宋_GB2312"/>
                <w:color w:val="000000"/>
              </w:rPr>
              <w:t>检查发现问题台账须由相关专家签字确认。</w:t>
            </w:r>
          </w:p>
          <w:p>
            <w:pPr>
              <w:pStyle w:val="null3"/>
              <w:jc w:val="both"/>
            </w:pPr>
            <w:r>
              <w:rPr>
                <w:rFonts w:ascii="仿宋_GB2312" w:hAnsi="仿宋_GB2312" w:cs="仿宋_GB2312" w:eastAsia="仿宋_GB2312"/>
              </w:rPr>
              <w:t>服务地点：采购人指定地点</w:t>
            </w:r>
          </w:p>
          <w:p>
            <w:pPr>
              <w:pStyle w:val="null3"/>
              <w:jc w:val="both"/>
            </w:pPr>
            <w:r>
              <w:rPr>
                <w:rFonts w:ascii="仿宋_GB2312" w:hAnsi="仿宋_GB2312" w:cs="仿宋_GB2312" w:eastAsia="仿宋_GB2312"/>
              </w:rPr>
              <w:t>采购预算：</w:t>
            </w:r>
            <w:r>
              <w:rPr>
                <w:rFonts w:ascii="仿宋_GB2312" w:hAnsi="仿宋_GB2312" w:cs="仿宋_GB2312" w:eastAsia="仿宋_GB2312"/>
              </w:rPr>
              <w:t>350,000.00</w:t>
            </w:r>
            <w:r>
              <w:rPr>
                <w:rFonts w:ascii="仿宋_GB2312" w:hAnsi="仿宋_GB2312" w:cs="仿宋_GB2312" w:eastAsia="仿宋_GB2312"/>
              </w:rPr>
              <w:t>元</w:t>
            </w:r>
          </w:p>
          <w:p>
            <w:pPr>
              <w:pStyle w:val="null3"/>
              <w:jc w:val="both"/>
            </w:pPr>
            <w:r>
              <w:rPr>
                <w:rFonts w:ascii="仿宋_GB2312" w:hAnsi="仿宋_GB2312" w:cs="仿宋_GB2312" w:eastAsia="仿宋_GB2312"/>
              </w:rPr>
              <w:t>二、检查主要内容：</w:t>
            </w:r>
          </w:p>
          <w:p>
            <w:pPr>
              <w:pStyle w:val="null3"/>
              <w:jc w:val="both"/>
            </w:pPr>
            <w:r>
              <w:rPr>
                <w:rFonts w:ascii="仿宋_GB2312" w:hAnsi="仿宋_GB2312" w:cs="仿宋_GB2312" w:eastAsia="仿宋_GB2312"/>
              </w:rPr>
              <w:t>遵照</w:t>
            </w:r>
            <w:r>
              <w:rPr>
                <w:rFonts w:ascii="仿宋_GB2312" w:hAnsi="仿宋_GB2312" w:cs="仿宋_GB2312" w:eastAsia="仿宋_GB2312"/>
                <w:color w:val="000000"/>
              </w:rPr>
              <w:t>《国务院办公厅关于保障城市轨道交通安全运行的意见》</w:t>
            </w:r>
            <w:r>
              <w:rPr>
                <w:rFonts w:ascii="仿宋_GB2312" w:hAnsi="仿宋_GB2312" w:cs="仿宋_GB2312" w:eastAsia="仿宋_GB2312"/>
                <w:color w:val="000000"/>
              </w:rPr>
              <w:t>(</w:t>
            </w:r>
            <w:r>
              <w:rPr>
                <w:rFonts w:ascii="仿宋_GB2312" w:hAnsi="仿宋_GB2312" w:cs="仿宋_GB2312" w:eastAsia="仿宋_GB2312"/>
                <w:color w:val="000000"/>
              </w:rPr>
              <w:t>国办发〔</w:t>
            </w:r>
            <w:r>
              <w:rPr>
                <w:rFonts w:ascii="仿宋_GB2312" w:hAnsi="仿宋_GB2312" w:cs="仿宋_GB2312" w:eastAsia="仿宋_GB2312"/>
                <w:color w:val="000000"/>
              </w:rPr>
              <w:t>2018</w:t>
            </w:r>
            <w:r>
              <w:rPr>
                <w:rFonts w:ascii="仿宋_GB2312" w:hAnsi="仿宋_GB2312" w:cs="仿宋_GB2312" w:eastAsia="仿宋_GB2312"/>
                <w:color w:val="000000"/>
              </w:rPr>
              <w:t>〕</w:t>
            </w:r>
            <w:r>
              <w:rPr>
                <w:rFonts w:ascii="仿宋_GB2312" w:hAnsi="仿宋_GB2312" w:cs="仿宋_GB2312" w:eastAsia="仿宋_GB2312"/>
                <w:color w:val="000000"/>
              </w:rPr>
              <w:t>13</w:t>
            </w:r>
            <w:r>
              <w:rPr>
                <w:rFonts w:ascii="仿宋_GB2312" w:hAnsi="仿宋_GB2312" w:cs="仿宋_GB2312" w:eastAsia="仿宋_GB2312"/>
                <w:color w:val="000000"/>
              </w:rPr>
              <w:t>号</w:t>
            </w:r>
            <w:r>
              <w:rPr>
                <w:rFonts w:ascii="仿宋_GB2312" w:hAnsi="仿宋_GB2312" w:cs="仿宋_GB2312" w:eastAsia="仿宋_GB2312"/>
                <w:color w:val="000000"/>
              </w:rPr>
              <w:t>)</w:t>
            </w:r>
            <w:r>
              <w:rPr>
                <w:rFonts w:ascii="仿宋_GB2312" w:hAnsi="仿宋_GB2312" w:cs="仿宋_GB2312" w:eastAsia="仿宋_GB2312"/>
                <w:color w:val="000000"/>
              </w:rPr>
              <w:t>《城市轨道交通运营管理规定》</w:t>
            </w:r>
            <w:r>
              <w:rPr>
                <w:rFonts w:ascii="仿宋_GB2312" w:hAnsi="仿宋_GB2312" w:cs="仿宋_GB2312" w:eastAsia="仿宋_GB2312"/>
                <w:color w:val="000000"/>
              </w:rPr>
              <w:t>(</w:t>
            </w:r>
            <w:r>
              <w:rPr>
                <w:rFonts w:ascii="仿宋_GB2312" w:hAnsi="仿宋_GB2312" w:cs="仿宋_GB2312" w:eastAsia="仿宋_GB2312"/>
                <w:color w:val="000000"/>
              </w:rPr>
              <w:t>交通运输部</w:t>
            </w:r>
            <w:r>
              <w:rPr>
                <w:rFonts w:ascii="仿宋_GB2312" w:hAnsi="仿宋_GB2312" w:cs="仿宋_GB2312" w:eastAsia="仿宋_GB2312"/>
                <w:color w:val="000000"/>
              </w:rPr>
              <w:t>2018</w:t>
            </w:r>
            <w:r>
              <w:rPr>
                <w:rFonts w:ascii="仿宋_GB2312" w:hAnsi="仿宋_GB2312" w:cs="仿宋_GB2312" w:eastAsia="仿宋_GB2312"/>
                <w:color w:val="000000"/>
              </w:rPr>
              <w:t>年第</w:t>
            </w:r>
            <w:r>
              <w:rPr>
                <w:rFonts w:ascii="仿宋_GB2312" w:hAnsi="仿宋_GB2312" w:cs="仿宋_GB2312" w:eastAsia="仿宋_GB2312"/>
                <w:color w:val="000000"/>
              </w:rPr>
              <w:t>8</w:t>
            </w:r>
            <w:r>
              <w:rPr>
                <w:rFonts w:ascii="仿宋_GB2312" w:hAnsi="仿宋_GB2312" w:cs="仿宋_GB2312" w:eastAsia="仿宋_GB2312"/>
                <w:color w:val="000000"/>
              </w:rPr>
              <w:t>号令</w:t>
            </w:r>
            <w:r>
              <w:rPr>
                <w:rFonts w:ascii="仿宋_GB2312" w:hAnsi="仿宋_GB2312" w:cs="仿宋_GB2312" w:eastAsia="仿宋_GB2312"/>
                <w:color w:val="000000"/>
              </w:rPr>
              <w:t>)</w:t>
            </w:r>
            <w:r>
              <w:rPr>
                <w:rFonts w:ascii="仿宋_GB2312" w:hAnsi="仿宋_GB2312" w:cs="仿宋_GB2312" w:eastAsia="仿宋_GB2312"/>
                <w:color w:val="000000"/>
              </w:rPr>
              <w:t>交通部《城市轨道交通运营安全风险分级管控和隐患排查治理管理办法》《城市轨道交通设施设备运行维护管理办法》《城市轨道交通全自动运行系统运营技术和管理规范（试行）》等规定以及各专业技术规范，安全专项检查的主要内容为：各类设施设备运行维护、风险隐患排查治理、设施设备操作规程和作业标准、应急管理体系建设以及采购人指定的其他运营安全方面等。</w:t>
            </w:r>
          </w:p>
          <w:p>
            <w:pPr>
              <w:pStyle w:val="null3"/>
              <w:jc w:val="both"/>
            </w:pPr>
            <w:r>
              <w:rPr>
                <w:rFonts w:ascii="仿宋_GB2312" w:hAnsi="仿宋_GB2312" w:cs="仿宋_GB2312" w:eastAsia="仿宋_GB2312"/>
              </w:rPr>
              <w:t>三、评估成果：</w:t>
            </w:r>
          </w:p>
          <w:p>
            <w:pPr>
              <w:pStyle w:val="null3"/>
              <w:jc w:val="both"/>
            </w:pPr>
            <w:r>
              <w:rPr>
                <w:rFonts w:ascii="仿宋_GB2312" w:hAnsi="仿宋_GB2312" w:cs="仿宋_GB2312" w:eastAsia="仿宋_GB2312"/>
              </w:rPr>
              <w:t>成交人向采购人提交下列文件：</w:t>
            </w:r>
          </w:p>
          <w:p>
            <w:pPr>
              <w:pStyle w:val="null3"/>
              <w:jc w:val="both"/>
            </w:pPr>
            <w:r>
              <w:rPr>
                <w:rFonts w:ascii="仿宋_GB2312" w:hAnsi="仿宋_GB2312" w:cs="仿宋_GB2312" w:eastAsia="仿宋_GB2312"/>
              </w:rPr>
              <w:t>《西安市城市轨道交通设施设备安全专项检查实施方案》；</w:t>
            </w:r>
          </w:p>
          <w:p>
            <w:pPr>
              <w:pStyle w:val="null3"/>
              <w:jc w:val="both"/>
            </w:pPr>
            <w:r>
              <w:rPr>
                <w:rFonts w:ascii="仿宋_GB2312" w:hAnsi="仿宋_GB2312" w:cs="仿宋_GB2312" w:eastAsia="仿宋_GB2312"/>
              </w:rPr>
              <w:t>《西安市城市轨道交通设施设备安全专项检查报告》（季度和年度）；</w:t>
            </w:r>
          </w:p>
          <w:p>
            <w:pPr>
              <w:pStyle w:val="null3"/>
              <w:jc w:val="both"/>
            </w:pPr>
            <w:r>
              <w:rPr>
                <w:rFonts w:ascii="仿宋_GB2312" w:hAnsi="仿宋_GB2312" w:cs="仿宋_GB2312" w:eastAsia="仿宋_GB2312"/>
              </w:rPr>
              <w:t>《西安市城市轨道交通设施设备安全专项检查发现问题整改复核报告》（季度和年度）。</w:t>
            </w:r>
          </w:p>
          <w:p>
            <w:pPr>
              <w:pStyle w:val="null3"/>
              <w:jc w:val="both"/>
            </w:pPr>
            <w:r>
              <w:rPr>
                <w:rFonts w:ascii="仿宋_GB2312" w:hAnsi="仿宋_GB2312" w:cs="仿宋_GB2312" w:eastAsia="仿宋_GB2312"/>
              </w:rPr>
              <w:t>四、履行期限、地点</w:t>
            </w:r>
          </w:p>
          <w:p>
            <w:pPr>
              <w:pStyle w:val="null3"/>
              <w:jc w:val="both"/>
            </w:pPr>
            <w:r>
              <w:rPr>
                <w:rFonts w:ascii="仿宋_GB2312" w:hAnsi="仿宋_GB2312" w:cs="仿宋_GB2312" w:eastAsia="仿宋_GB2312"/>
              </w:rPr>
              <w:t>本合同自签订之日起至所有检查工作结束；在指定的地点履行。</w:t>
            </w:r>
          </w:p>
          <w:p>
            <w:pPr>
              <w:pStyle w:val="null3"/>
              <w:jc w:val="both"/>
            </w:pPr>
            <w:r>
              <w:rPr>
                <w:rFonts w:ascii="仿宋_GB2312" w:hAnsi="仿宋_GB2312" w:cs="仿宋_GB2312" w:eastAsia="仿宋_GB2312"/>
              </w:rPr>
              <w:t>五、工作进度计划</w:t>
            </w:r>
          </w:p>
          <w:p>
            <w:pPr>
              <w:pStyle w:val="null3"/>
              <w:jc w:val="both"/>
            </w:pPr>
            <w:r>
              <w:rPr>
                <w:rFonts w:ascii="仿宋_GB2312" w:hAnsi="仿宋_GB2312" w:cs="仿宋_GB2312" w:eastAsia="仿宋_GB2312"/>
              </w:rPr>
              <w:t>5.1</w:t>
            </w:r>
            <w:r>
              <w:rPr>
                <w:rFonts w:ascii="仿宋_GB2312" w:hAnsi="仿宋_GB2312" w:cs="仿宋_GB2312" w:eastAsia="仿宋_GB2312"/>
              </w:rPr>
              <w:t>本合同正式签订后</w:t>
            </w:r>
            <w:r>
              <w:rPr>
                <w:rFonts w:ascii="仿宋_GB2312" w:hAnsi="仿宋_GB2312" w:cs="仿宋_GB2312" w:eastAsia="仿宋_GB2312"/>
              </w:rPr>
              <w:t>10</w:t>
            </w:r>
            <w:r>
              <w:rPr>
                <w:rFonts w:ascii="仿宋_GB2312" w:hAnsi="仿宋_GB2312" w:cs="仿宋_GB2312" w:eastAsia="仿宋_GB2312"/>
              </w:rPr>
              <w:t>个工作日内，成交人应提交经采购人认可的安全专项检查实施方案，实施方案包括但不限于以下内容：项目概述、重难点分析、检查范围、检查内容、检查方式、进度安排、项目组投入人员、专家人选、保障措施等；</w:t>
            </w:r>
          </w:p>
          <w:p>
            <w:pPr>
              <w:pStyle w:val="null3"/>
              <w:jc w:val="both"/>
            </w:pPr>
            <w:r>
              <w:rPr>
                <w:rFonts w:ascii="仿宋_GB2312" w:hAnsi="仿宋_GB2312" w:cs="仿宋_GB2312" w:eastAsia="仿宋_GB2312"/>
              </w:rPr>
              <w:t>5.2</w:t>
            </w:r>
            <w:r>
              <w:rPr>
                <w:rFonts w:ascii="仿宋_GB2312" w:hAnsi="仿宋_GB2312" w:cs="仿宋_GB2312" w:eastAsia="仿宋_GB2312"/>
              </w:rPr>
              <w:t>本合同签订后，成交人应组织有关专业专家按季度和采购人指定的关键节点开展安全专项检查，发现存在问题，提出意见建议，复核发现问题整改情况；</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5.3</w:t>
            </w:r>
            <w:r>
              <w:rPr>
                <w:rFonts w:ascii="仿宋_GB2312" w:hAnsi="仿宋_GB2312" w:cs="仿宋_GB2312" w:eastAsia="仿宋_GB2312"/>
              </w:rPr>
              <w:t>成交人每个季度聘请的专家数量不少于</w:t>
            </w:r>
            <w:r>
              <w:rPr>
                <w:rFonts w:ascii="仿宋_GB2312" w:hAnsi="仿宋_GB2312" w:cs="仿宋_GB2312" w:eastAsia="仿宋_GB2312"/>
              </w:rPr>
              <w:t>6</w:t>
            </w:r>
            <w:r>
              <w:rPr>
                <w:rFonts w:ascii="仿宋_GB2312" w:hAnsi="仿宋_GB2312" w:cs="仿宋_GB2312" w:eastAsia="仿宋_GB2312"/>
              </w:rPr>
              <w:t>人，全年检查须覆盖所有设施设备专业领域；</w:t>
            </w:r>
          </w:p>
          <w:p>
            <w:pPr>
              <w:pStyle w:val="null3"/>
              <w:jc w:val="both"/>
            </w:pPr>
            <w:r>
              <w:rPr>
                <w:rFonts w:ascii="仿宋_GB2312" w:hAnsi="仿宋_GB2312" w:cs="仿宋_GB2312" w:eastAsia="仿宋_GB2312"/>
              </w:rPr>
              <w:t>5.4</w:t>
            </w:r>
            <w:r>
              <w:rPr>
                <w:rFonts w:ascii="仿宋_GB2312" w:hAnsi="仿宋_GB2312" w:cs="仿宋_GB2312" w:eastAsia="仿宋_GB2312"/>
              </w:rPr>
              <w:t>成交人按照季度向采购人提交安全专项检查报告和安全专项检查</w:t>
            </w:r>
            <w:r>
              <w:rPr>
                <w:rFonts w:ascii="仿宋_GB2312" w:hAnsi="仿宋_GB2312" w:cs="仿宋_GB2312" w:eastAsia="仿宋_GB2312"/>
              </w:rPr>
              <w:t>发现问题整改复核报告，同时，年终需汇总成册。</w:t>
            </w:r>
          </w:p>
          <w:p>
            <w:pPr>
              <w:pStyle w:val="null3"/>
              <w:jc w:val="both"/>
            </w:pPr>
            <w:r>
              <w:rPr>
                <w:rFonts w:ascii="仿宋_GB2312" w:hAnsi="仿宋_GB2312" w:cs="仿宋_GB2312" w:eastAsia="仿宋_GB2312"/>
              </w:rPr>
              <w:t>六、成交人职责</w:t>
            </w:r>
          </w:p>
          <w:p>
            <w:pPr>
              <w:pStyle w:val="null3"/>
              <w:jc w:val="both"/>
            </w:pPr>
            <w:r>
              <w:rPr>
                <w:rFonts w:ascii="仿宋_GB2312" w:hAnsi="仿宋_GB2312" w:cs="仿宋_GB2312" w:eastAsia="仿宋_GB2312"/>
              </w:rPr>
              <w:t>6.1</w:t>
            </w:r>
            <w:r>
              <w:rPr>
                <w:rFonts w:ascii="仿宋_GB2312" w:hAnsi="仿宋_GB2312" w:cs="仿宋_GB2312" w:eastAsia="仿宋_GB2312"/>
              </w:rPr>
              <w:t>在合同履行期间，成交人应按照采购人确定的时间，按时组织开展城市轨道交通设施设备安全专项检查并承担所有费用，根据检查情况及时提交安全专项检查报告和问题整改复核报告；遴选专家须具有高级及以上专业技术职称专业水平，且涵盖城市轨道交通设施设备所有专业领域；每个季度专家数量不应少于</w:t>
            </w:r>
            <w:r>
              <w:rPr>
                <w:rFonts w:ascii="仿宋_GB2312" w:hAnsi="仿宋_GB2312" w:cs="仿宋_GB2312" w:eastAsia="仿宋_GB2312"/>
              </w:rPr>
              <w:t>6</w:t>
            </w:r>
            <w:r>
              <w:rPr>
                <w:rFonts w:ascii="仿宋_GB2312" w:hAnsi="仿宋_GB2312" w:cs="仿宋_GB2312" w:eastAsia="仿宋_GB2312"/>
              </w:rPr>
              <w:t>名，且应在开展检查</w:t>
            </w:r>
            <w:r>
              <w:rPr>
                <w:rFonts w:ascii="仿宋_GB2312" w:hAnsi="仿宋_GB2312" w:cs="仿宋_GB2312" w:eastAsia="仿宋_GB2312"/>
              </w:rPr>
              <w:t>10</w:t>
            </w:r>
            <w:r>
              <w:rPr>
                <w:rFonts w:ascii="仿宋_GB2312" w:hAnsi="仿宋_GB2312" w:cs="仿宋_GB2312" w:eastAsia="仿宋_GB2312"/>
              </w:rPr>
              <w:t>日前，报采购人审查确认；专家应全程参与安全专项检查工作，不得无故缺席，若有特殊原因请假时须经采购人同意。</w:t>
            </w:r>
          </w:p>
          <w:p>
            <w:pPr>
              <w:pStyle w:val="null3"/>
              <w:jc w:val="both"/>
            </w:pPr>
            <w:r>
              <w:rPr>
                <w:rFonts w:ascii="仿宋_GB2312" w:hAnsi="仿宋_GB2312" w:cs="仿宋_GB2312" w:eastAsia="仿宋_GB2312"/>
              </w:rPr>
              <w:t>6.2</w:t>
            </w:r>
            <w:r>
              <w:rPr>
                <w:rFonts w:ascii="仿宋_GB2312" w:hAnsi="仿宋_GB2312" w:cs="仿宋_GB2312" w:eastAsia="仿宋_GB2312"/>
              </w:rPr>
              <w:t>在项目实施过程中，成交人应按采购人要求配备具有高级职称</w:t>
            </w:r>
            <w:r>
              <w:rPr>
                <w:rFonts w:ascii="仿宋_GB2312" w:hAnsi="仿宋_GB2312" w:cs="仿宋_GB2312" w:eastAsia="仿宋_GB2312"/>
              </w:rPr>
              <w:t>3</w:t>
            </w:r>
            <w:r>
              <w:rPr>
                <w:rFonts w:ascii="仿宋_GB2312" w:hAnsi="仿宋_GB2312" w:cs="仿宋_GB2312" w:eastAsia="仿宋_GB2312"/>
              </w:rPr>
              <w:t>人以上的专业技术人员，并满足本合同所需的工作技能和项目经验；项目须具有高级专业技术职称且担任过类似项目初期运营前安全评估的负责人；项目主要人员在整个项目服务期内原则上不得更换，因特殊原因需发生变更时，须经采购人同意；采购人对成交人专业人员有异议时，成交人应按采购人要求及时调整更换，所更换的人员不应低于原人员的资历，并应在</w:t>
            </w:r>
            <w:r>
              <w:rPr>
                <w:rFonts w:ascii="仿宋_GB2312" w:hAnsi="仿宋_GB2312" w:cs="仿宋_GB2312" w:eastAsia="仿宋_GB2312"/>
              </w:rPr>
              <w:t>5</w:t>
            </w:r>
            <w:r>
              <w:rPr>
                <w:rFonts w:ascii="仿宋_GB2312" w:hAnsi="仿宋_GB2312" w:cs="仿宋_GB2312" w:eastAsia="仿宋_GB2312"/>
              </w:rPr>
              <w:t>个工作日内到岗。</w:t>
            </w:r>
          </w:p>
          <w:p>
            <w:pPr>
              <w:pStyle w:val="null3"/>
              <w:jc w:val="both"/>
            </w:pPr>
            <w:r>
              <w:rPr>
                <w:rFonts w:ascii="仿宋_GB2312" w:hAnsi="仿宋_GB2312" w:cs="仿宋_GB2312" w:eastAsia="仿宋_GB2312"/>
              </w:rPr>
              <w:t>6.3</w:t>
            </w:r>
            <w:r>
              <w:rPr>
                <w:rFonts w:ascii="仿宋_GB2312" w:hAnsi="仿宋_GB2312" w:cs="仿宋_GB2312" w:eastAsia="仿宋_GB2312"/>
              </w:rPr>
              <w:t>在合同履行期间，成交人须根据采购人认可的实施方案的关键节点及工作目标开展相应工作，并按照约定向采购人报送工作进展情况。</w:t>
            </w:r>
          </w:p>
          <w:p>
            <w:pPr>
              <w:pStyle w:val="null3"/>
              <w:jc w:val="both"/>
            </w:pPr>
            <w:r>
              <w:rPr>
                <w:rFonts w:ascii="仿宋_GB2312" w:hAnsi="仿宋_GB2312" w:cs="仿宋_GB2312" w:eastAsia="仿宋_GB2312"/>
              </w:rPr>
              <w:t>64</w:t>
            </w:r>
            <w:r>
              <w:rPr>
                <w:rFonts w:ascii="仿宋_GB2312" w:hAnsi="仿宋_GB2312" w:cs="仿宋_GB2312" w:eastAsia="仿宋_GB2312"/>
              </w:rPr>
              <w:t>成交人为所派驻人员投保雇主责任险、职业责任保险，并处理与之有关的所有保险事项。</w:t>
            </w:r>
          </w:p>
          <w:p>
            <w:pPr>
              <w:pStyle w:val="null3"/>
              <w:jc w:val="both"/>
            </w:pPr>
            <w:r>
              <w:rPr>
                <w:rFonts w:ascii="仿宋_GB2312" w:hAnsi="仿宋_GB2312" w:cs="仿宋_GB2312" w:eastAsia="仿宋_GB2312"/>
              </w:rPr>
              <w:t>6.5</w:t>
            </w:r>
            <w:r>
              <w:rPr>
                <w:rFonts w:ascii="仿宋_GB2312" w:hAnsi="仿宋_GB2312" w:cs="仿宋_GB2312" w:eastAsia="仿宋_GB2312"/>
              </w:rPr>
              <w:t>成交人向采购人免费提交本项目执行及后续执行期间产生的所有影像资料、文本资料。</w:t>
            </w:r>
          </w:p>
          <w:p>
            <w:pPr>
              <w:pStyle w:val="null3"/>
              <w:jc w:val="both"/>
            </w:pPr>
            <w:r>
              <w:rPr>
                <w:rFonts w:ascii="仿宋_GB2312" w:hAnsi="仿宋_GB2312" w:cs="仿宋_GB2312" w:eastAsia="仿宋_GB2312"/>
                <w:sz w:val="21"/>
              </w:rPr>
              <w:t>6.6</w:t>
            </w:r>
            <w:r>
              <w:rPr>
                <w:rFonts w:ascii="仿宋_GB2312" w:hAnsi="仿宋_GB2312" w:cs="仿宋_GB2312" w:eastAsia="仿宋_GB2312"/>
                <w:sz w:val="21"/>
              </w:rPr>
              <w:t>在本合同执行期间，成交人对本机构人员在现场工作过程中的安全负全责。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满足完成采购项目要求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满足完成采购项目要求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交付期为2025年12月31日前完成检查并出具报告。 服务期：本合同自签订之日起至所有工作结束。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乙方提交经甲方认可的安全专项检查实施方案后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乙方向甲方出具年度安全专项检查报告和问题整改复核报告后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资产负债表、利润表，成立时间至提交竞争性磋商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法定代表人（单位负责人）授权书及被授权人身份证复印件或扫描件（法人参加只需提供法定代表人（单位负责人）身份证明）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首次提交的响应文件有下列情况之一，其响应文件无效：(1)响应文件中未按照磋商文件规定要求签署、盖章的；(2)磋商响应有效期不足的或无有效期的；(3)磋商报价超过磋商文件中规定的采购预算或最高限价的；(4)不满足磋商文件中关于交付期（服务期）、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项目负责人职称</w:t>
            </w:r>
          </w:p>
        </w:tc>
        <w:tc>
          <w:tcPr>
            <w:tcW w:type="dxa" w:w="2492"/>
          </w:tcPr>
          <w:p>
            <w:pPr>
              <w:pStyle w:val="null3"/>
            </w:pPr>
            <w:r>
              <w:rPr>
                <w:rFonts w:ascii="仿宋_GB2312" w:hAnsi="仿宋_GB2312" w:cs="仿宋_GB2312" w:eastAsia="仿宋_GB2312"/>
              </w:rPr>
              <w:t>具备高级及以上专业技术职称的，得2分 （提供职称证、2024年6月至今任意一个月社保缴纳证明资料，以上资料复印件或扫描件加盖单位公章，如项目负责人未提供社保缴纳证明资料的此项不得分）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项目负责人经验</w:t>
            </w:r>
          </w:p>
        </w:tc>
        <w:tc>
          <w:tcPr>
            <w:tcW w:type="dxa" w:w="2492"/>
          </w:tcPr>
          <w:p>
            <w:pPr>
              <w:pStyle w:val="null3"/>
            </w:pPr>
            <w:r>
              <w:rPr>
                <w:rFonts w:ascii="仿宋_GB2312" w:hAnsi="仿宋_GB2312" w:cs="仿宋_GB2312" w:eastAsia="仿宋_GB2312"/>
              </w:rPr>
              <w:t>具有20年以上城市轨道交通运营管理经验的，得4分 （提供工作年限证明材料，以上资料复印件或扫描件加盖单位公章，如项目负责人未提供社保缴纳证明资料的此项不得分）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项目负责人业绩</w:t>
            </w:r>
          </w:p>
        </w:tc>
        <w:tc>
          <w:tcPr>
            <w:tcW w:type="dxa" w:w="2492"/>
          </w:tcPr>
          <w:p>
            <w:pPr>
              <w:pStyle w:val="null3"/>
            </w:pPr>
            <w:r>
              <w:rPr>
                <w:rFonts w:ascii="仿宋_GB2312" w:hAnsi="仿宋_GB2312" w:cs="仿宋_GB2312" w:eastAsia="仿宋_GB2312"/>
              </w:rPr>
              <w:t>近三年内负责过同类或类似项目的，每有一项得1分，本项最多得4分 （提供业绩合同，业绩合同中需体现项目负责人姓名，如合同中未体现项目负责人姓名的，可出具甲方的证明材料，以上资料复印件或扫描件加盖单位公章，如项目负责人未提供社保缴纳证明资料的此项不得分）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项目组成员具有运营管理、土建、轨道、车辆、供电、机电、通信、信号、消防、给排水及安全应急等某一专业技术高级及以上职称，且连续从事上述本专业技术工作10年（含）以上的，每符合1人得2分（提供2024年6月至今任意一个月社保缴纳记录、职称、专业、工作经历等证明资料复印件或扫描件加盖单位公章），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自2022年1月1日以来同类或类似项目业绩，每完成1项同类或类似项目业绩的得2分，（需要在相应表格中填报且提供业绩证明资料，业绩证明资料以合同或甲方证明资料为准，合同以签订时间为准，甲方证明资料以项目开始时间为准，资料提供复印件或扫描件加盖单位公章，否则不得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专家组成</w:t>
            </w:r>
          </w:p>
        </w:tc>
        <w:tc>
          <w:tcPr>
            <w:tcW w:type="dxa" w:w="2492"/>
          </w:tcPr>
          <w:p>
            <w:pPr>
              <w:pStyle w:val="null3"/>
            </w:pPr>
            <w:r>
              <w:rPr>
                <w:rFonts w:ascii="仿宋_GB2312" w:hAnsi="仿宋_GB2312" w:cs="仿宋_GB2312" w:eastAsia="仿宋_GB2312"/>
              </w:rPr>
              <w:t>投标人专家库专家涵盖运营管理、土建、轨道、车辆、供电、机电、通信、信号、消防、给排水及安全应急等专业，专业齐全且均为从业资历超过10年的高级及以上专业技术人员，得7≥得分＞3分；已建立专家库的，但专业不齐全，得3≥得分≥1分；没有不得分（须提供相应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专家组成</w:t>
            </w:r>
          </w:p>
        </w:tc>
        <w:tc>
          <w:tcPr>
            <w:tcW w:type="dxa" w:w="2492"/>
          </w:tcPr>
          <w:p>
            <w:pPr>
              <w:pStyle w:val="null3"/>
            </w:pPr>
            <w:r>
              <w:rPr>
                <w:rFonts w:ascii="仿宋_GB2312" w:hAnsi="仿宋_GB2312" w:cs="仿宋_GB2312" w:eastAsia="仿宋_GB2312"/>
              </w:rPr>
              <w:t>承诺参加安全专项检查的专家成员中含有交通部城市轨道交通运营安全管理专家库组成人员的，每含1名加1分，最多4分（须提供相应证明材料）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安全专项检查方案</w:t>
            </w:r>
          </w:p>
        </w:tc>
        <w:tc>
          <w:tcPr>
            <w:tcW w:type="dxa" w:w="2492"/>
          </w:tcPr>
          <w:p>
            <w:pPr>
              <w:pStyle w:val="null3"/>
            </w:pPr>
            <w:r>
              <w:rPr>
                <w:rFonts w:ascii="仿宋_GB2312" w:hAnsi="仿宋_GB2312" w:cs="仿宋_GB2312" w:eastAsia="仿宋_GB2312"/>
              </w:rPr>
              <w:t>目标明确，依据充分，检查范围完整，重难点突出，符合实际情况得26≥得分＞13分；分析欠全面，欠详实，与实际情况略有不符得13≥得分≥1分；没有不得分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安全专项检查方案</w:t>
            </w:r>
          </w:p>
        </w:tc>
        <w:tc>
          <w:tcPr>
            <w:tcW w:type="dxa" w:w="2492"/>
          </w:tcPr>
          <w:p>
            <w:pPr>
              <w:pStyle w:val="null3"/>
            </w:pPr>
            <w:r>
              <w:rPr>
                <w:rFonts w:ascii="仿宋_GB2312" w:hAnsi="仿宋_GB2312" w:cs="仿宋_GB2312" w:eastAsia="仿宋_GB2312"/>
              </w:rPr>
              <w:t>检查流程合理，检查方法规范，设施设备检查指标选择符合规范得26≥得分＞13分；分析欠全面，欠详实，与实际情况略有不符得13≥得分≥1分；没有不得分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安全专项检查顺利开展的各项保障措施全面、切实可行得3≥得分＞2分；各项保证措施一般得2≥得分≥1分；无保障措施不得分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满足竞争性磋商文件要求且最终磋商报价在执行政府采购优惠政策后的最低评审价为评审基准价 磋商报价得分=（评审基准价/评审价）×10×100% 执行政府采购优惠政策标准： 1、享受价格优惠政策的：按照价格扣除计算 2、不享受价格优惠政策的：评审价=最终磋商报价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审价=最终磋商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