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54C75E">
      <w:pPr>
        <w:shd w:val="clear"/>
        <w:jc w:val="right"/>
        <w:rPr>
          <w:rFonts w:hint="eastAsia" w:ascii="仿宋" w:hAnsi="仿宋" w:eastAsia="仿宋" w:cs="仿宋"/>
          <w:b/>
          <w:color w:val="000000" w:themeColor="text1"/>
          <w:spacing w:val="-20"/>
          <w:sz w:val="32"/>
          <w:szCs w:val="32"/>
          <w:highlight w:val="none"/>
          <w:u w:val="none"/>
          <w14:textFill>
            <w14:solidFill>
              <w14:schemeClr w14:val="tx1"/>
            </w14:solidFill>
          </w14:textFill>
        </w:rPr>
      </w:pPr>
      <w:r>
        <w:rPr>
          <w:rFonts w:hint="eastAsia" w:ascii="仿宋" w:hAnsi="仿宋" w:eastAsia="仿宋" w:cs="仿宋"/>
          <w:b/>
          <w:color w:val="000000" w:themeColor="text1"/>
          <w:spacing w:val="-20"/>
          <w:sz w:val="32"/>
          <w:szCs w:val="32"/>
          <w:highlight w:val="none"/>
          <w:u w:val="none"/>
          <w14:textFill>
            <w14:solidFill>
              <w14:schemeClr w14:val="tx1"/>
            </w14:solidFill>
          </w14:textFill>
        </w:rPr>
        <w:t xml:space="preserve"> </w:t>
      </w:r>
      <w:r>
        <w:rPr>
          <w:rFonts w:hint="eastAsia" w:ascii="仿宋" w:hAnsi="仿宋" w:eastAsia="仿宋" w:cs="仿宋"/>
          <w:b/>
          <w:bCs w:val="0"/>
          <w:color w:val="000000" w:themeColor="text1"/>
          <w:spacing w:val="-20"/>
          <w:sz w:val="32"/>
          <w:szCs w:val="32"/>
          <w:highlight w:val="none"/>
          <w:u w:val="none"/>
          <w14:textFill>
            <w14:solidFill>
              <w14:schemeClr w14:val="tx1"/>
            </w14:solidFill>
          </w14:textFill>
        </w:rPr>
        <w:t xml:space="preserve"> </w:t>
      </w:r>
      <w:bookmarkStart w:id="0" w:name="OLE_LINK76"/>
      <w:r>
        <w:rPr>
          <w:rFonts w:hint="eastAsia" w:ascii="仿宋" w:hAnsi="仿宋" w:eastAsia="仿宋" w:cs="仿宋"/>
          <w:b/>
          <w:bCs w:val="0"/>
          <w:color w:val="000000" w:themeColor="text1"/>
          <w:spacing w:val="-20"/>
          <w:sz w:val="32"/>
          <w:szCs w:val="32"/>
          <w:highlight w:val="none"/>
          <w:u w:val="none"/>
          <w:lang w:val="en-US" w:eastAsia="zh-CN"/>
          <w14:textFill>
            <w14:solidFill>
              <w14:schemeClr w14:val="tx1"/>
            </w14:solidFill>
          </w14:textFill>
        </w:rPr>
        <w:t>合同编号:</w:t>
      </w:r>
      <w:r>
        <w:rPr>
          <w:rFonts w:hint="eastAsia" w:ascii="仿宋" w:hAnsi="仿宋" w:eastAsia="仿宋" w:cs="仿宋"/>
          <w:b/>
          <w:bCs w:val="0"/>
          <w:color w:val="000000" w:themeColor="text1"/>
          <w:sz w:val="32"/>
          <w:szCs w:val="32"/>
          <w:highlight w:val="none"/>
          <w:u w:val="none"/>
          <w14:textFill>
            <w14:solidFill>
              <w14:schemeClr w14:val="tx1"/>
            </w14:solidFill>
          </w14:textFill>
        </w:rPr>
        <w:t>招采</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服务</w:t>
      </w:r>
      <w:r>
        <w:rPr>
          <w:rFonts w:hint="eastAsia" w:ascii="仿宋" w:hAnsi="仿宋" w:eastAsia="仿宋" w:cs="仿宋"/>
          <w:b/>
          <w:bCs w:val="0"/>
          <w:color w:val="000000" w:themeColor="text1"/>
          <w:sz w:val="32"/>
          <w:szCs w:val="32"/>
          <w:highlight w:val="none"/>
          <w:u w:val="none"/>
          <w14:textFill>
            <w14:solidFill>
              <w14:schemeClr w14:val="tx1"/>
            </w14:solidFill>
          </w14:textFill>
        </w:rPr>
        <w:t>202</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5</w:t>
      </w:r>
      <w:r>
        <w:rPr>
          <w:rFonts w:hint="eastAsia" w:ascii="仿宋" w:hAnsi="仿宋" w:eastAsia="仿宋" w:cs="仿宋"/>
          <w:b/>
          <w:bCs w:val="0"/>
          <w:color w:val="000000" w:themeColor="text1"/>
          <w:sz w:val="32"/>
          <w:szCs w:val="32"/>
          <w:highlight w:val="none"/>
          <w:u w:val="none"/>
          <w14:textFill>
            <w14:solidFill>
              <w14:schemeClr w14:val="tx1"/>
            </w14:solidFill>
          </w14:textFill>
        </w:rPr>
        <w:t>(</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 xml:space="preserve">    </w:t>
      </w:r>
      <w:r>
        <w:rPr>
          <w:rFonts w:hint="eastAsia" w:ascii="仿宋" w:hAnsi="仿宋" w:eastAsia="仿宋" w:cs="仿宋"/>
          <w:b/>
          <w:bCs w:val="0"/>
          <w:color w:val="000000" w:themeColor="text1"/>
          <w:sz w:val="32"/>
          <w:szCs w:val="32"/>
          <w:highlight w:val="none"/>
          <w:u w:val="none"/>
          <w14:textFill>
            <w14:solidFill>
              <w14:schemeClr w14:val="tx1"/>
            </w14:solidFill>
          </w14:textFill>
        </w:rPr>
        <w:t>)号</w:t>
      </w:r>
    </w:p>
    <w:p w14:paraId="099F8D03">
      <w:pPr>
        <w:shd w:val="clear"/>
        <w:rPr>
          <w:rFonts w:hint="eastAsia" w:ascii="仿宋" w:hAnsi="仿宋" w:eastAsia="仿宋" w:cs="仿宋"/>
          <w:color w:val="000000" w:themeColor="text1"/>
          <w:sz w:val="52"/>
          <w:szCs w:val="52"/>
          <w:highlight w:val="none"/>
          <w:u w:val="none"/>
          <w14:textFill>
            <w14:solidFill>
              <w14:schemeClr w14:val="tx1"/>
            </w14:solidFill>
          </w14:textFill>
        </w:rPr>
      </w:pPr>
    </w:p>
    <w:p w14:paraId="711F03AF">
      <w:pPr>
        <w:shd w:val="clear"/>
        <w:spacing w:line="360" w:lineRule="auto"/>
        <w:jc w:val="center"/>
        <w:rPr>
          <w:rFonts w:hint="eastAsia" w:ascii="仿宋" w:hAnsi="仿宋" w:eastAsia="仿宋" w:cs="仿宋"/>
          <w:b/>
          <w:color w:val="000000" w:themeColor="text1"/>
          <w:sz w:val="48"/>
          <w:szCs w:val="48"/>
          <w:highlight w:val="none"/>
          <w:u w:val="none"/>
          <w14:textFill>
            <w14:solidFill>
              <w14:schemeClr w14:val="tx1"/>
            </w14:solidFill>
          </w14:textFill>
        </w:rPr>
      </w:pPr>
      <w:r>
        <w:rPr>
          <w:rFonts w:hint="eastAsia" w:ascii="仿宋" w:hAnsi="仿宋" w:eastAsia="仿宋" w:cs="仿宋"/>
          <w:b/>
          <w:color w:val="000000" w:themeColor="text1"/>
          <w:sz w:val="48"/>
          <w:szCs w:val="48"/>
          <w:highlight w:val="none"/>
          <w:u w:val="none"/>
          <w:lang w:val="en-US" w:eastAsia="zh-CN"/>
          <w14:textFill>
            <w14:solidFill>
              <w14:schemeClr w14:val="tx1"/>
            </w14:solidFill>
          </w14:textFill>
        </w:rPr>
        <w:t>服 务</w:t>
      </w:r>
      <w:r>
        <w:rPr>
          <w:rFonts w:hint="eastAsia" w:ascii="仿宋" w:hAnsi="仿宋" w:eastAsia="仿宋" w:cs="仿宋"/>
          <w:b/>
          <w:color w:val="000000" w:themeColor="text1"/>
          <w:sz w:val="48"/>
          <w:szCs w:val="48"/>
          <w:highlight w:val="none"/>
          <w:u w:val="none"/>
          <w14:textFill>
            <w14:solidFill>
              <w14:schemeClr w14:val="tx1"/>
            </w14:solidFill>
          </w14:textFill>
        </w:rPr>
        <w:t xml:space="preserve"> 合 同</w:t>
      </w:r>
    </w:p>
    <w:p w14:paraId="119ECCEC">
      <w:pPr>
        <w:shd w:val="clear"/>
        <w:spacing w:line="360" w:lineRule="auto"/>
        <w:jc w:val="center"/>
        <w:rPr>
          <w:rFonts w:hint="eastAsia" w:ascii="仿宋" w:hAnsi="仿宋" w:eastAsia="仿宋" w:cs="仿宋"/>
          <w:color w:val="000000" w:themeColor="text1"/>
          <w:sz w:val="44"/>
          <w:szCs w:val="44"/>
          <w:highlight w:val="none"/>
          <w:u w:val="none"/>
          <w14:textFill>
            <w14:solidFill>
              <w14:schemeClr w14:val="tx1"/>
            </w14:solidFill>
          </w14:textFill>
        </w:rPr>
      </w:pPr>
      <w:r>
        <w:rPr>
          <w:rFonts w:hint="eastAsia" w:ascii="仿宋" w:hAnsi="仿宋" w:eastAsia="仿宋" w:cs="仿宋"/>
          <w:b/>
          <w:bCs/>
          <w:color w:val="000000" w:themeColor="text1"/>
          <w:sz w:val="44"/>
          <w:szCs w:val="44"/>
          <w:highlight w:val="none"/>
          <w:u w:val="none"/>
          <w14:textFill>
            <w14:solidFill>
              <w14:schemeClr w14:val="tx1"/>
            </w14:solidFill>
          </w14:textFill>
        </w:rPr>
        <w:t>(</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项目</w:t>
      </w:r>
      <w:r>
        <w:rPr>
          <w:rFonts w:hint="eastAsia" w:ascii="仿宋" w:hAnsi="仿宋" w:eastAsia="仿宋" w:cs="仿宋"/>
          <w:b/>
          <w:bCs/>
          <w:color w:val="000000" w:themeColor="text1"/>
          <w:sz w:val="44"/>
          <w:szCs w:val="44"/>
          <w:highlight w:val="none"/>
          <w:u w:val="none"/>
          <w14:textFill>
            <w14:solidFill>
              <w14:schemeClr w14:val="tx1"/>
            </w14:solidFill>
          </w14:textFill>
        </w:rPr>
        <w:t>名称:</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bCs/>
          <w:color w:val="000000" w:themeColor="text1"/>
          <w:sz w:val="44"/>
          <w:szCs w:val="44"/>
          <w:highlight w:val="none"/>
          <w:u w:val="none"/>
          <w14:textFill>
            <w14:solidFill>
              <w14:schemeClr w14:val="tx1"/>
            </w14:solidFill>
          </w14:textFill>
        </w:rPr>
        <w:t>)</w:t>
      </w:r>
    </w:p>
    <w:p w14:paraId="3547D285">
      <w:pPr>
        <w:shd w:val="clear"/>
        <w:spacing w:line="510" w:lineRule="atLeast"/>
        <w:rPr>
          <w:rFonts w:hint="eastAsia" w:ascii="仿宋" w:hAnsi="仿宋" w:eastAsia="仿宋" w:cs="仿宋"/>
          <w:b/>
          <w:color w:val="000000" w:themeColor="text1"/>
          <w:sz w:val="30"/>
          <w:szCs w:val="30"/>
          <w:highlight w:val="none"/>
          <w:u w:val="none"/>
          <w14:textFill>
            <w14:solidFill>
              <w14:schemeClr w14:val="tx1"/>
            </w14:solidFill>
          </w14:textFill>
        </w:rPr>
      </w:pPr>
    </w:p>
    <w:p w14:paraId="3B3EA1C0">
      <w:pPr>
        <w:pStyle w:val="5"/>
        <w:shd w:val="clear"/>
        <w:rPr>
          <w:rFonts w:hint="eastAsia" w:ascii="仿宋" w:hAnsi="仿宋" w:eastAsia="仿宋" w:cs="仿宋"/>
          <w:b/>
          <w:color w:val="000000" w:themeColor="text1"/>
          <w:sz w:val="30"/>
          <w:szCs w:val="30"/>
          <w:highlight w:val="none"/>
          <w:u w:val="none"/>
          <w14:textFill>
            <w14:solidFill>
              <w14:schemeClr w14:val="tx1"/>
            </w14:solidFill>
          </w14:textFill>
        </w:rPr>
      </w:pPr>
    </w:p>
    <w:p w14:paraId="38FED1B6">
      <w:pPr>
        <w:shd w:val="clear"/>
        <w:rPr>
          <w:rFonts w:hint="eastAsia" w:ascii="仿宋" w:hAnsi="仿宋" w:eastAsia="仿宋" w:cs="仿宋"/>
          <w:color w:val="000000" w:themeColor="text1"/>
          <w:highlight w:val="none"/>
          <w:u w:val="none"/>
          <w14:textFill>
            <w14:solidFill>
              <w14:schemeClr w14:val="tx1"/>
            </w14:solidFill>
          </w14:textFill>
        </w:rPr>
      </w:pPr>
    </w:p>
    <w:p w14:paraId="70B481E3">
      <w:pPr>
        <w:pStyle w:val="5"/>
        <w:shd w:val="clear"/>
        <w:rPr>
          <w:rFonts w:hint="eastAsia" w:ascii="仿宋" w:hAnsi="仿宋" w:eastAsia="仿宋" w:cs="仿宋"/>
          <w:color w:val="000000" w:themeColor="text1"/>
          <w:highlight w:val="none"/>
          <w:u w:val="none"/>
          <w14:textFill>
            <w14:solidFill>
              <w14:schemeClr w14:val="tx1"/>
            </w14:solidFill>
          </w14:textFill>
        </w:rPr>
      </w:pPr>
    </w:p>
    <w:p w14:paraId="168DCB4D">
      <w:pPr>
        <w:shd w:val="clear"/>
        <w:spacing w:line="510" w:lineRule="atLeast"/>
        <w:jc w:val="center"/>
        <w:rPr>
          <w:rFonts w:hint="eastAsia" w:ascii="仿宋" w:hAnsi="仿宋" w:eastAsia="仿宋" w:cs="仿宋"/>
          <w:b/>
          <w:color w:val="000000" w:themeColor="text1"/>
          <w:sz w:val="30"/>
          <w:szCs w:val="30"/>
          <w:highlight w:val="none"/>
          <w:u w:val="none"/>
          <w14:textFill>
            <w14:solidFill>
              <w14:schemeClr w14:val="tx1"/>
            </w14:solidFill>
          </w14:textFill>
        </w:rPr>
      </w:pPr>
    </w:p>
    <w:p w14:paraId="362B4AFA">
      <w:pPr>
        <w:pStyle w:val="5"/>
        <w:shd w:val="clear"/>
        <w:rPr>
          <w:rFonts w:hint="eastAsia" w:ascii="仿宋" w:hAnsi="仿宋" w:eastAsia="仿宋" w:cs="仿宋"/>
          <w:b/>
          <w:color w:val="000000" w:themeColor="text1"/>
          <w:sz w:val="30"/>
          <w:szCs w:val="30"/>
          <w:highlight w:val="none"/>
          <w:u w:val="none"/>
          <w14:textFill>
            <w14:solidFill>
              <w14:schemeClr w14:val="tx1"/>
            </w14:solidFill>
          </w14:textFill>
        </w:rPr>
      </w:pPr>
    </w:p>
    <w:p w14:paraId="7695AF2C">
      <w:pPr>
        <w:shd w:val="clear"/>
        <w:spacing w:line="510" w:lineRule="atLeast"/>
        <w:jc w:val="both"/>
        <w:rPr>
          <w:rFonts w:hint="eastAsia" w:ascii="仿宋" w:hAnsi="仿宋" w:eastAsia="仿宋" w:cs="仿宋"/>
          <w:b/>
          <w:color w:val="000000" w:themeColor="text1"/>
          <w:sz w:val="30"/>
          <w:szCs w:val="30"/>
          <w:highlight w:val="none"/>
          <w:u w:val="none"/>
          <w14:textFill>
            <w14:solidFill>
              <w14:schemeClr w14:val="tx1"/>
            </w14:solidFill>
          </w14:textFill>
        </w:rPr>
      </w:pPr>
    </w:p>
    <w:p w14:paraId="5898500A">
      <w:pPr>
        <w:pStyle w:val="5"/>
        <w:shd w:val="clear"/>
        <w:rPr>
          <w:rFonts w:hint="eastAsia" w:ascii="仿宋" w:hAnsi="仿宋" w:eastAsia="仿宋" w:cs="仿宋"/>
          <w:color w:val="000000" w:themeColor="text1"/>
          <w:highlight w:val="none"/>
          <w:u w:val="none"/>
          <w14:textFill>
            <w14:solidFill>
              <w14:schemeClr w14:val="tx1"/>
            </w14:solidFill>
          </w14:textFill>
        </w:rPr>
      </w:pPr>
    </w:p>
    <w:p w14:paraId="7EE01BE8">
      <w:pPr>
        <w:shd w:val="clear"/>
        <w:spacing w:line="510" w:lineRule="atLeast"/>
        <w:rPr>
          <w:rFonts w:hint="eastAsia" w:ascii="仿宋" w:hAnsi="仿宋" w:eastAsia="仿宋" w:cs="仿宋"/>
          <w:b/>
          <w:color w:val="000000" w:themeColor="text1"/>
          <w:sz w:val="30"/>
          <w:szCs w:val="30"/>
          <w:highlight w:val="none"/>
          <w:u w:val="none"/>
          <w14:textFill>
            <w14:solidFill>
              <w14:schemeClr w14:val="tx1"/>
            </w14:solidFill>
          </w14:textFill>
        </w:rPr>
      </w:pPr>
    </w:p>
    <w:p w14:paraId="01B5C57C">
      <w:pPr>
        <w:shd w:val="clear"/>
        <w:snapToGrid w:val="0"/>
        <w:spacing w:line="360" w:lineRule="auto"/>
        <w:ind w:firstLine="1325" w:firstLineChars="300"/>
        <w:rPr>
          <w:rFonts w:hint="eastAsia" w:ascii="仿宋" w:hAnsi="仿宋" w:eastAsia="仿宋" w:cs="仿宋"/>
          <w:b/>
          <w:color w:val="000000" w:themeColor="text1"/>
          <w:sz w:val="44"/>
          <w:szCs w:val="44"/>
          <w:highlight w:val="none"/>
          <w:u w:val="none"/>
          <w:lang w:eastAsia="zh-CN"/>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甲  方:</w:t>
      </w:r>
      <w:r>
        <w:rPr>
          <w:rFonts w:hint="eastAsia" w:ascii="仿宋" w:hAnsi="仿宋" w:eastAsia="仿宋" w:cs="仿宋"/>
          <w:b/>
          <w:color w:val="000000" w:themeColor="text1"/>
          <w:sz w:val="44"/>
          <w:szCs w:val="44"/>
          <w:highlight w:val="none"/>
          <w:u w:val="none"/>
          <w:lang w:eastAsia="zh-CN"/>
          <w14:textFill>
            <w14:solidFill>
              <w14:schemeClr w14:val="tx1"/>
            </w14:solidFill>
          </w14:textFill>
        </w:rPr>
        <w:t xml:space="preserve">西安市文化和旅游局 </w:t>
      </w:r>
    </w:p>
    <w:p w14:paraId="126457CE">
      <w:pPr>
        <w:shd w:val="clear"/>
        <w:tabs>
          <w:tab w:val="left" w:pos="480"/>
        </w:tabs>
        <w:snapToGrid w:val="0"/>
        <w:spacing w:line="360" w:lineRule="auto"/>
        <w:ind w:firstLine="1325" w:firstLineChars="300"/>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乙  方:</w:t>
      </w:r>
    </w:p>
    <w:p w14:paraId="516568A9">
      <w:pPr>
        <w:shd w:val="clear"/>
        <w:snapToGrid w:val="0"/>
        <w:spacing w:line="360" w:lineRule="auto"/>
        <w:ind w:firstLine="883" w:firstLineChars="200"/>
        <w:rPr>
          <w:rFonts w:hint="eastAsia" w:ascii="仿宋" w:hAnsi="仿宋" w:eastAsia="仿宋" w:cs="仿宋"/>
          <w:b/>
          <w:color w:val="000000" w:themeColor="text1"/>
          <w:sz w:val="32"/>
          <w:szCs w:val="32"/>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 xml:space="preserve">  鉴证方:</w:t>
      </w: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华夏国际项目管理有限公司</w:t>
      </w:r>
    </w:p>
    <w:p w14:paraId="76F07C3A">
      <w:pPr>
        <w:shd w:val="clear"/>
        <w:spacing w:line="510" w:lineRule="atLeast"/>
        <w:jc w:val="center"/>
        <w:rPr>
          <w:rFonts w:hint="eastAsia" w:ascii="仿宋" w:hAnsi="仿宋" w:eastAsia="仿宋" w:cs="仿宋"/>
          <w:b/>
          <w:color w:val="000000" w:themeColor="text1"/>
          <w:sz w:val="30"/>
          <w:szCs w:val="30"/>
          <w:highlight w:val="none"/>
          <w:u w:val="none"/>
          <w14:textFill>
            <w14:solidFill>
              <w14:schemeClr w14:val="tx1"/>
            </w14:solidFill>
          </w14:textFill>
        </w:rPr>
      </w:pPr>
    </w:p>
    <w:p w14:paraId="037913B2">
      <w:pPr>
        <w:shd w:val="clear"/>
        <w:snapToGrid w:val="0"/>
        <w:spacing w:line="360" w:lineRule="auto"/>
        <w:ind w:firstLine="3092" w:firstLineChars="700"/>
        <w:jc w:val="both"/>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年</w:t>
      </w: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月</w:t>
      </w:r>
    </w:p>
    <w:p w14:paraId="37A690DE">
      <w:pPr>
        <w:shd w:val="clear"/>
        <w:snapToGrid w:val="0"/>
        <w:spacing w:line="360" w:lineRule="auto"/>
        <w:ind w:firstLine="3092" w:firstLineChars="700"/>
        <w:jc w:val="both"/>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中国  西安</w:t>
      </w:r>
    </w:p>
    <w:p w14:paraId="34F067D0">
      <w:pPr>
        <w:pStyle w:val="2"/>
        <w:numPr>
          <w:ilvl w:val="0"/>
          <w:numId w:val="0"/>
        </w:numPr>
        <w:shd w:val="clear"/>
        <w:jc w:val="center"/>
        <w:outlineLvl w:val="0"/>
        <w:rPr>
          <w:rFonts w:hint="eastAsia" w:ascii="仿宋" w:hAnsi="仿宋" w:eastAsia="仿宋" w:cs="仿宋"/>
          <w:bCs/>
          <w:color w:val="000000" w:themeColor="text1"/>
          <w:sz w:val="36"/>
          <w:szCs w:val="36"/>
          <w:highlight w:val="none"/>
          <w:u w:val="none"/>
          <w14:textFill>
            <w14:solidFill>
              <w14:schemeClr w14:val="tx1"/>
            </w14:solidFill>
          </w14:textFill>
        </w:rPr>
      </w:pPr>
      <w:r>
        <w:rPr>
          <w:rFonts w:hint="eastAsia" w:ascii="仿宋" w:hAnsi="仿宋" w:eastAsia="仿宋" w:cs="仿宋"/>
          <w:bCs/>
          <w:color w:val="000000" w:themeColor="text1"/>
          <w:sz w:val="36"/>
          <w:szCs w:val="36"/>
          <w:highlight w:val="none"/>
          <w:u w:val="none"/>
          <w14:textFill>
            <w14:solidFill>
              <w14:schemeClr w14:val="tx1"/>
            </w14:solidFill>
          </w14:textFill>
        </w:rPr>
        <w:t>合同条款及格式</w:t>
      </w:r>
    </w:p>
    <w:p w14:paraId="3B315BA2">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采购人(以下简称甲方):</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 xml:space="preserve">                         </w:t>
      </w:r>
    </w:p>
    <w:p w14:paraId="262FF4D9">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 xml:space="preserve">供应商(以下简称乙方):                         </w:t>
      </w:r>
    </w:p>
    <w:p w14:paraId="0690D298">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鉴证方:</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华夏国际项目管理有限公司</w:t>
      </w:r>
    </w:p>
    <w:p w14:paraId="66791F30">
      <w:pPr>
        <w:pStyle w:val="5"/>
        <w:shd w:val="clear"/>
        <w:rPr>
          <w:rFonts w:hint="eastAsia" w:ascii="仿宋" w:hAnsi="仿宋" w:eastAsia="仿宋" w:cs="仿宋"/>
          <w:color w:val="000000" w:themeColor="text1"/>
          <w:u w:val="none"/>
          <w:lang w:val="en-US" w:eastAsia="zh-CN"/>
          <w14:textFill>
            <w14:solidFill>
              <w14:schemeClr w14:val="tx1"/>
            </w14:solidFill>
          </w14:textFill>
        </w:rPr>
      </w:pPr>
    </w:p>
    <w:p w14:paraId="71D872C2">
      <w:pPr>
        <w:shd w:val="clear"/>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鉴证方就甲方所需2025年西安丝博会布展项目,按照政府采购程序组织竞争性磋商,确定乙方为中标供应商｡根据《中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政府采购</w:t>
      </w:r>
      <w:r>
        <w:rPr>
          <w:rFonts w:hint="eastAsia" w:ascii="仿宋" w:hAnsi="仿宋" w:eastAsia="仿宋" w:cs="仿宋"/>
          <w:color w:val="000000" w:themeColor="text1"/>
          <w:sz w:val="24"/>
          <w:szCs w:val="24"/>
          <w:highlight w:val="none"/>
          <w:u w:val="none"/>
          <w14:textFill>
            <w14:solidFill>
              <w14:schemeClr w14:val="tx1"/>
            </w14:solidFill>
          </w14:textFill>
        </w:rPr>
        <w:t>法》《中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民法典</w:t>
      </w:r>
      <w:r>
        <w:rPr>
          <w:rFonts w:hint="eastAsia" w:ascii="仿宋" w:hAnsi="仿宋" w:eastAsia="仿宋" w:cs="仿宋"/>
          <w:color w:val="000000" w:themeColor="text1"/>
          <w:sz w:val="24"/>
          <w:szCs w:val="24"/>
          <w:highlight w:val="none"/>
          <w:u w:val="none"/>
          <w14:textFill>
            <w14:solidFill>
              <w14:schemeClr w14:val="tx1"/>
            </w14:solidFill>
          </w14:textFill>
        </w:rPr>
        <w:t>》及相关法律法规,甲､乙双方就</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西安市文化和旅游局 2025年西安丝博会布展项目</w:t>
      </w:r>
      <w:r>
        <w:rPr>
          <w:rFonts w:hint="eastAsia" w:ascii="仿宋" w:hAnsi="仿宋" w:eastAsia="仿宋" w:cs="仿宋"/>
          <w:color w:val="000000" w:themeColor="text1"/>
          <w:sz w:val="24"/>
          <w:szCs w:val="24"/>
          <w:highlight w:val="none"/>
          <w:u w:val="none"/>
          <w14:textFill>
            <w14:solidFill>
              <w14:schemeClr w14:val="tx1"/>
            </w14:solidFill>
          </w14:textFill>
        </w:rPr>
        <w:t>事宜,经协商一致,</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鉴证方确认,</w:t>
      </w:r>
      <w:r>
        <w:rPr>
          <w:rFonts w:hint="eastAsia" w:ascii="仿宋" w:hAnsi="仿宋" w:eastAsia="仿宋" w:cs="仿宋"/>
          <w:color w:val="000000" w:themeColor="text1"/>
          <w:sz w:val="24"/>
          <w:szCs w:val="24"/>
          <w:highlight w:val="none"/>
          <w:u w:val="none"/>
          <w14:textFill>
            <w14:solidFill>
              <w14:schemeClr w14:val="tx1"/>
            </w14:solidFill>
          </w14:textFill>
        </w:rPr>
        <w:t>达成如下协议:</w:t>
      </w:r>
    </w:p>
    <w:p w14:paraId="0C5E7951">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一、</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合同内容</w:t>
      </w:r>
    </w:p>
    <w:p w14:paraId="0FBF0364">
      <w:pPr>
        <w:pStyle w:val="9"/>
        <w:shd w:val="clear"/>
        <w:spacing w:line="360" w:lineRule="auto"/>
        <w:ind w:firstLine="0"/>
        <w:jc w:val="left"/>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西安市文化和旅游局 2025年西安丝博会布展项目等,具体内容:</w:t>
      </w:r>
    </w:p>
    <w:tbl>
      <w:tblPr>
        <w:tblStyle w:val="7"/>
        <w:tblW w:w="9438" w:type="dxa"/>
        <w:tblInd w:w="0" w:type="dxa"/>
        <w:tblLayout w:type="fixed"/>
        <w:tblCellMar>
          <w:top w:w="0" w:type="dxa"/>
          <w:left w:w="28" w:type="dxa"/>
          <w:bottom w:w="0" w:type="dxa"/>
          <w:right w:w="28" w:type="dxa"/>
        </w:tblCellMar>
      </w:tblPr>
      <w:tblGrid>
        <w:gridCol w:w="770"/>
        <w:gridCol w:w="1679"/>
        <w:gridCol w:w="1607"/>
        <w:gridCol w:w="1510"/>
        <w:gridCol w:w="1715"/>
        <w:gridCol w:w="1460"/>
        <w:gridCol w:w="697"/>
      </w:tblGrid>
      <w:tr w14:paraId="59EA0441">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49CC7F77">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序号</w:t>
            </w:r>
          </w:p>
        </w:tc>
        <w:tc>
          <w:tcPr>
            <w:tcW w:w="1679" w:type="dxa"/>
            <w:tcBorders>
              <w:top w:val="single" w:color="auto" w:sz="6" w:space="0"/>
              <w:left w:val="single" w:color="auto" w:sz="6" w:space="0"/>
              <w:bottom w:val="single" w:color="auto" w:sz="6" w:space="0"/>
              <w:right w:val="single" w:color="auto" w:sz="6" w:space="0"/>
            </w:tcBorders>
            <w:noWrap w:val="0"/>
            <w:vAlign w:val="center"/>
          </w:tcPr>
          <w:p w14:paraId="22809B7E">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服务</w:t>
            </w:r>
            <w:r>
              <w:rPr>
                <w:rFonts w:hint="eastAsia" w:ascii="仿宋" w:hAnsi="仿宋" w:eastAsia="仿宋" w:cs="仿宋"/>
                <w:color w:val="000000" w:themeColor="text1"/>
                <w:sz w:val="24"/>
                <w:szCs w:val="24"/>
                <w:highlight w:val="none"/>
                <w:u w:val="none"/>
                <w14:textFill>
                  <w14:solidFill>
                    <w14:schemeClr w14:val="tx1"/>
                  </w14:solidFill>
                </w14:textFill>
              </w:rPr>
              <w:t>名称</w:t>
            </w:r>
          </w:p>
        </w:tc>
        <w:tc>
          <w:tcPr>
            <w:tcW w:w="1607" w:type="dxa"/>
            <w:tcBorders>
              <w:top w:val="single" w:color="auto" w:sz="6" w:space="0"/>
              <w:left w:val="single" w:color="auto" w:sz="6" w:space="0"/>
              <w:bottom w:val="single" w:color="auto" w:sz="6" w:space="0"/>
              <w:right w:val="single" w:color="auto" w:sz="6" w:space="0"/>
            </w:tcBorders>
            <w:noWrap w:val="0"/>
            <w:vAlign w:val="center"/>
          </w:tcPr>
          <w:p w14:paraId="44CFDB32">
            <w:pPr>
              <w:shd w:val="clear"/>
              <w:snapToGrid w:val="0"/>
              <w:spacing w:line="240" w:lineRule="auto"/>
              <w:jc w:val="center"/>
              <w:rPr>
                <w:rFonts w:hint="default"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计量单位</w:t>
            </w:r>
          </w:p>
        </w:tc>
        <w:tc>
          <w:tcPr>
            <w:tcW w:w="1510" w:type="dxa"/>
            <w:tcBorders>
              <w:top w:val="single" w:color="auto" w:sz="6" w:space="0"/>
              <w:left w:val="single" w:color="auto" w:sz="6" w:space="0"/>
              <w:bottom w:val="single" w:color="auto" w:sz="6" w:space="0"/>
              <w:right w:val="single" w:color="auto" w:sz="4" w:space="0"/>
            </w:tcBorders>
            <w:noWrap w:val="0"/>
            <w:vAlign w:val="center"/>
          </w:tcPr>
          <w:p w14:paraId="635FC4CD">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数量</w:t>
            </w:r>
          </w:p>
        </w:tc>
        <w:tc>
          <w:tcPr>
            <w:tcW w:w="1715" w:type="dxa"/>
            <w:tcBorders>
              <w:top w:val="single" w:color="auto" w:sz="6" w:space="0"/>
              <w:left w:val="single" w:color="auto" w:sz="4" w:space="0"/>
              <w:bottom w:val="single" w:color="auto" w:sz="6" w:space="0"/>
              <w:right w:val="single" w:color="auto" w:sz="6" w:space="0"/>
            </w:tcBorders>
            <w:noWrap w:val="0"/>
            <w:vAlign w:val="center"/>
          </w:tcPr>
          <w:p w14:paraId="3EEAF088">
            <w:pPr>
              <w:shd w:val="clear"/>
              <w:snapToGrid w:val="0"/>
              <w:spacing w:line="240" w:lineRule="auto"/>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单价（元）</w:t>
            </w:r>
          </w:p>
        </w:tc>
        <w:tc>
          <w:tcPr>
            <w:tcW w:w="1460" w:type="dxa"/>
            <w:tcBorders>
              <w:top w:val="single" w:color="auto" w:sz="6" w:space="0"/>
              <w:left w:val="single" w:color="auto" w:sz="6" w:space="0"/>
              <w:bottom w:val="single" w:color="auto" w:sz="6" w:space="0"/>
              <w:right w:val="single" w:color="auto" w:sz="4" w:space="0"/>
            </w:tcBorders>
            <w:noWrap w:val="0"/>
            <w:vAlign w:val="center"/>
          </w:tcPr>
          <w:p w14:paraId="4BC55943">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金额(元)</w:t>
            </w:r>
          </w:p>
        </w:tc>
        <w:tc>
          <w:tcPr>
            <w:tcW w:w="697" w:type="dxa"/>
            <w:tcBorders>
              <w:top w:val="single" w:color="auto" w:sz="6" w:space="0"/>
              <w:left w:val="single" w:color="auto" w:sz="4" w:space="0"/>
              <w:bottom w:val="single" w:color="auto" w:sz="6" w:space="0"/>
              <w:right w:val="single" w:color="auto" w:sz="6" w:space="0"/>
            </w:tcBorders>
            <w:noWrap w:val="0"/>
            <w:vAlign w:val="center"/>
          </w:tcPr>
          <w:p w14:paraId="7E0D2ED6">
            <w:pPr>
              <w:shd w:val="clear"/>
              <w:snapToGrid w:val="0"/>
              <w:spacing w:line="240" w:lineRule="auto"/>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备注</w:t>
            </w:r>
          </w:p>
        </w:tc>
      </w:tr>
      <w:tr w14:paraId="710A6D5C">
        <w:tblPrEx>
          <w:tblCellMar>
            <w:top w:w="0" w:type="dxa"/>
            <w:left w:w="28" w:type="dxa"/>
            <w:bottom w:w="0" w:type="dxa"/>
            <w:right w:w="28" w:type="dxa"/>
          </w:tblCellMar>
        </w:tblPrEx>
        <w:trPr>
          <w:trHeight w:val="484" w:hRule="atLeast"/>
        </w:trPr>
        <w:tc>
          <w:tcPr>
            <w:tcW w:w="770" w:type="dxa"/>
            <w:tcBorders>
              <w:top w:val="single" w:color="auto" w:sz="6" w:space="0"/>
              <w:left w:val="single" w:color="auto" w:sz="6" w:space="0"/>
              <w:bottom w:val="single" w:color="auto" w:sz="4" w:space="0"/>
            </w:tcBorders>
            <w:noWrap w:val="0"/>
            <w:vAlign w:val="center"/>
          </w:tcPr>
          <w:p w14:paraId="63D9CF87">
            <w:pPr>
              <w:shd w:val="clear"/>
              <w:adjustRightInd w:val="0"/>
              <w:snapToGrid w:val="0"/>
              <w:spacing w:line="360" w:lineRule="auto"/>
              <w:jc w:val="center"/>
              <w:rPr>
                <w:rFonts w:hint="eastAsia" w:ascii="仿宋" w:hAnsi="仿宋" w:eastAsia="仿宋" w:cs="仿宋"/>
                <w:color w:val="000000" w:themeColor="text1"/>
                <w:sz w:val="22"/>
                <w:szCs w:val="22"/>
                <w:highlight w:val="none"/>
                <w:u w:val="none"/>
                <w14:textFill>
                  <w14:solidFill>
                    <w14:schemeClr w14:val="tx1"/>
                  </w14:solidFill>
                </w14:textFill>
              </w:rPr>
            </w:pPr>
            <w:r>
              <w:rPr>
                <w:rFonts w:hint="eastAsia" w:ascii="仿宋" w:hAnsi="仿宋" w:eastAsia="仿宋" w:cs="仿宋"/>
                <w:color w:val="000000" w:themeColor="text1"/>
                <w:sz w:val="22"/>
                <w:szCs w:val="22"/>
                <w:highlight w:val="none"/>
                <w:u w:val="none"/>
                <w14:textFill>
                  <w14:solidFill>
                    <w14:schemeClr w14:val="tx1"/>
                  </w14:solidFill>
                </w14:textFill>
              </w:rPr>
              <w:t>1</w:t>
            </w:r>
          </w:p>
        </w:tc>
        <w:tc>
          <w:tcPr>
            <w:tcW w:w="1679" w:type="dxa"/>
            <w:tcBorders>
              <w:top w:val="single" w:color="auto" w:sz="6" w:space="0"/>
              <w:left w:val="single" w:color="auto" w:sz="6" w:space="0"/>
              <w:bottom w:val="single" w:color="auto" w:sz="4" w:space="0"/>
              <w:right w:val="single" w:color="auto" w:sz="6" w:space="0"/>
            </w:tcBorders>
            <w:noWrap w:val="0"/>
            <w:vAlign w:val="center"/>
          </w:tcPr>
          <w:p w14:paraId="638F1978">
            <w:pPr>
              <w:shd w:val="clear"/>
              <w:snapToGrid w:val="0"/>
              <w:spacing w:line="240" w:lineRule="auto"/>
              <w:jc w:val="center"/>
              <w:rPr>
                <w:rFonts w:hint="eastAsia" w:ascii="仿宋" w:hAnsi="仿宋" w:eastAsia="仿宋" w:cs="仿宋"/>
                <w:color w:val="000000" w:themeColor="text1"/>
                <w:sz w:val="22"/>
                <w:szCs w:val="22"/>
                <w:highlight w:val="none"/>
                <w:u w:val="none"/>
                <w14:textFill>
                  <w14:solidFill>
                    <w14:schemeClr w14:val="tx1"/>
                  </w14:solidFill>
                </w14:textFill>
              </w:rPr>
            </w:pPr>
          </w:p>
        </w:tc>
        <w:tc>
          <w:tcPr>
            <w:tcW w:w="1607" w:type="dxa"/>
            <w:tcBorders>
              <w:top w:val="single" w:color="auto" w:sz="6" w:space="0"/>
              <w:left w:val="single" w:color="auto" w:sz="6" w:space="0"/>
              <w:bottom w:val="single" w:color="auto" w:sz="4" w:space="0"/>
              <w:right w:val="single" w:color="auto" w:sz="6" w:space="0"/>
            </w:tcBorders>
            <w:noWrap w:val="0"/>
            <w:vAlign w:val="center"/>
          </w:tcPr>
          <w:p w14:paraId="15CAB736">
            <w:pPr>
              <w:shd w:val="clear"/>
              <w:snapToGrid w:val="0"/>
              <w:spacing w:line="240" w:lineRule="auto"/>
              <w:jc w:val="center"/>
              <w:rPr>
                <w:rFonts w:hint="eastAsia" w:ascii="仿宋" w:hAnsi="仿宋" w:eastAsia="仿宋" w:cs="仿宋"/>
                <w:color w:val="000000" w:themeColor="text1"/>
                <w:sz w:val="22"/>
                <w:szCs w:val="22"/>
                <w:highlight w:val="none"/>
                <w:u w:val="none"/>
                <w14:textFill>
                  <w14:solidFill>
                    <w14:schemeClr w14:val="tx1"/>
                  </w14:solidFill>
                </w14:textFill>
              </w:rPr>
            </w:pPr>
          </w:p>
        </w:tc>
        <w:tc>
          <w:tcPr>
            <w:tcW w:w="1510" w:type="dxa"/>
            <w:tcBorders>
              <w:top w:val="single" w:color="auto" w:sz="6" w:space="0"/>
              <w:left w:val="single" w:color="auto" w:sz="6" w:space="0"/>
              <w:bottom w:val="single" w:color="auto" w:sz="6" w:space="0"/>
              <w:right w:val="single" w:color="auto" w:sz="4" w:space="0"/>
            </w:tcBorders>
            <w:noWrap w:val="0"/>
            <w:vAlign w:val="center"/>
          </w:tcPr>
          <w:p w14:paraId="622F29DB">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p>
        </w:tc>
        <w:tc>
          <w:tcPr>
            <w:tcW w:w="1715" w:type="dxa"/>
            <w:tcBorders>
              <w:top w:val="single" w:color="auto" w:sz="6" w:space="0"/>
              <w:left w:val="single" w:color="auto" w:sz="4" w:space="0"/>
              <w:bottom w:val="single" w:color="auto" w:sz="6" w:space="0"/>
              <w:right w:val="single" w:color="auto" w:sz="6" w:space="0"/>
            </w:tcBorders>
            <w:noWrap w:val="0"/>
            <w:vAlign w:val="center"/>
          </w:tcPr>
          <w:p w14:paraId="0B000C47">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p>
        </w:tc>
        <w:tc>
          <w:tcPr>
            <w:tcW w:w="1460" w:type="dxa"/>
            <w:tcBorders>
              <w:top w:val="single" w:color="auto" w:sz="6" w:space="0"/>
              <w:left w:val="single" w:color="auto" w:sz="6" w:space="0"/>
              <w:bottom w:val="single" w:color="auto" w:sz="4" w:space="0"/>
              <w:right w:val="single" w:color="auto" w:sz="4" w:space="0"/>
            </w:tcBorders>
            <w:noWrap w:val="0"/>
            <w:vAlign w:val="center"/>
          </w:tcPr>
          <w:p w14:paraId="43C2A080">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p>
        </w:tc>
        <w:tc>
          <w:tcPr>
            <w:tcW w:w="697" w:type="dxa"/>
            <w:tcBorders>
              <w:top w:val="single" w:color="auto" w:sz="6" w:space="0"/>
              <w:left w:val="single" w:color="auto" w:sz="4" w:space="0"/>
              <w:bottom w:val="single" w:color="auto" w:sz="4" w:space="0"/>
              <w:right w:val="single" w:color="auto" w:sz="6" w:space="0"/>
            </w:tcBorders>
            <w:noWrap w:val="0"/>
            <w:vAlign w:val="center"/>
          </w:tcPr>
          <w:p w14:paraId="2FF2E74C">
            <w:pPr>
              <w:shd w:val="clear"/>
              <w:snapToGrid w:val="0"/>
              <w:spacing w:line="24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无</w:t>
            </w:r>
          </w:p>
        </w:tc>
      </w:tr>
      <w:tr w14:paraId="64B521E5">
        <w:tblPrEx>
          <w:tblCellMar>
            <w:top w:w="0" w:type="dxa"/>
            <w:left w:w="28" w:type="dxa"/>
            <w:bottom w:w="0" w:type="dxa"/>
            <w:right w:w="28" w:type="dxa"/>
          </w:tblCellMar>
        </w:tblPrEx>
        <w:trPr>
          <w:trHeight w:val="429" w:hRule="atLeast"/>
        </w:trPr>
        <w:tc>
          <w:tcPr>
            <w:tcW w:w="2449" w:type="dxa"/>
            <w:gridSpan w:val="2"/>
            <w:tcBorders>
              <w:top w:val="single" w:color="auto" w:sz="4" w:space="0"/>
              <w:left w:val="single" w:color="auto" w:sz="6" w:space="0"/>
              <w:bottom w:val="single" w:color="auto" w:sz="4" w:space="0"/>
              <w:right w:val="single" w:color="auto" w:sz="6" w:space="0"/>
            </w:tcBorders>
            <w:noWrap w:val="0"/>
            <w:vAlign w:val="center"/>
          </w:tcPr>
          <w:p w14:paraId="031AAC17">
            <w:pPr>
              <w:shd w:val="clear"/>
              <w:snapToGrid w:val="0"/>
              <w:spacing w:before="249" w:beforeLines="50" w:line="360" w:lineRule="auto"/>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合  计</w:t>
            </w:r>
          </w:p>
        </w:tc>
        <w:tc>
          <w:tcPr>
            <w:tcW w:w="6989" w:type="dxa"/>
            <w:gridSpan w:val="5"/>
            <w:tcBorders>
              <w:top w:val="single" w:color="auto" w:sz="4" w:space="0"/>
              <w:left w:val="single" w:color="auto" w:sz="6" w:space="0"/>
              <w:bottom w:val="single" w:color="auto" w:sz="4" w:space="0"/>
              <w:right w:val="single" w:color="auto" w:sz="4" w:space="0"/>
            </w:tcBorders>
            <w:noWrap w:val="0"/>
            <w:vAlign w:val="center"/>
          </w:tcPr>
          <w:p w14:paraId="567EAD44">
            <w:pPr>
              <w:shd w:val="clear"/>
              <w:snapToGrid w:val="0"/>
              <w:spacing w:before="249" w:beforeLines="50" w:line="360" w:lineRule="auto"/>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 xml:space="preserve">人民币:(大写)        元整 (小写)     元    </w:t>
            </w:r>
          </w:p>
        </w:tc>
      </w:tr>
    </w:tbl>
    <w:p w14:paraId="567CA83C">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二、</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合同组成</w:t>
      </w:r>
    </w:p>
    <w:p w14:paraId="67DA3DFF">
      <w:pPr>
        <w:numPr>
          <w:ilvl w:val="0"/>
          <w:numId w:val="1"/>
        </w:numPr>
        <w:shd w:val="clear"/>
        <w:tabs>
          <w:tab w:val="left" w:pos="735"/>
        </w:tabs>
        <w:adjustRightInd w:val="0"/>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下述文件是构成本合同不可分割的部分:</w:t>
      </w:r>
    </w:p>
    <w:p w14:paraId="4276122C">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本合同条款及其所有附件｡</w:t>
      </w:r>
    </w:p>
    <w:p w14:paraId="58217643">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及澄清文件｡</w:t>
      </w:r>
    </w:p>
    <w:p w14:paraId="12A5D6C6">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w:t>
      </w:r>
    </w:p>
    <w:p w14:paraId="372E9BCD">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u w:val="none"/>
          <w14:textFill>
            <w14:solidFill>
              <w14:schemeClr w14:val="tx1"/>
            </w14:solidFill>
          </w14:textFill>
        </w:rPr>
        <w:t>通知书｡</w:t>
      </w:r>
    </w:p>
    <w:p w14:paraId="6C9A326A">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双方与合同有关的往来信函､传真经双方法定代表人或其授权代表签字并加盖单位公章确认后视为本合同的组成部分｡</w:t>
      </w:r>
    </w:p>
    <w:p w14:paraId="34AAF7A4">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经双方法定代表人或其授权代表签字并加盖单位公章确认的补充协议｡</w:t>
      </w:r>
    </w:p>
    <w:p w14:paraId="18445306">
      <w:pPr>
        <w:numPr>
          <w:ilvl w:val="0"/>
          <w:numId w:val="1"/>
        </w:numPr>
        <w:shd w:val="clear"/>
        <w:tabs>
          <w:tab w:val="left" w:pos="735"/>
        </w:tabs>
        <w:adjustRightInd w:val="0"/>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如果乙方的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及质疑解答文件内容违背或低于甲方</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要求或任何可能导致影响当次采购目的的情形,均应当被视为乙方自动放弃</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及质疑解答文件中相应部分而同意以</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相应内容为准｡如果乙方的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及质疑解答文件内容高于甲方</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要求,则以乙方的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及质疑解答文件内容为准｡如果合同条款与合同附件有矛盾之处,以合同条款内容为准｡如果合同附件之间有矛盾之处,以有利于甲方的附件内容为准｡</w:t>
      </w:r>
    </w:p>
    <w:p w14:paraId="67E418EA">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三、</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合同价款</w:t>
      </w:r>
    </w:p>
    <w:p w14:paraId="09E67212">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合同总价款为人民币(大写)</w:t>
      </w: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人民币:(大写)        元整 (小写)     元</w:t>
      </w:r>
      <w:r>
        <w:rPr>
          <w:rFonts w:hint="eastAsia" w:ascii="仿宋" w:hAnsi="仿宋" w:eastAsia="仿宋" w:cs="仿宋"/>
          <w:color w:val="000000" w:themeColor="text1"/>
          <w:sz w:val="24"/>
          <w:szCs w:val="24"/>
          <w:highlight w:val="none"/>
          <w:u w:val="none"/>
          <w14:textFill>
            <w14:solidFill>
              <w14:schemeClr w14:val="tx1"/>
            </w14:solidFill>
          </w14:textFill>
        </w:rPr>
        <w:t>｡</w:t>
      </w:r>
    </w:p>
    <w:p w14:paraId="45FFF6AC">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合同总价包括:</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场地租赁费、会务费、会议所涉及的工具、会场布置及材料、与本项目服务有关的一切费用。</w:t>
      </w:r>
    </w:p>
    <w:p w14:paraId="3D789962">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合同总价一次性包死,不受市场价格变化因素的影响｡</w:t>
      </w:r>
    </w:p>
    <w:p w14:paraId="58F6ECCE">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甲方不再另付任何费用｡</w:t>
      </w:r>
    </w:p>
    <w:p w14:paraId="55D49F2D">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四、</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合同结算</w:t>
      </w:r>
    </w:p>
    <w:p w14:paraId="68E1A856">
      <w:pPr>
        <w:keepNext w:val="0"/>
        <w:keepLines w:val="0"/>
        <w:pageBreakBefore w:val="0"/>
        <w:numPr>
          <w:ilvl w:val="0"/>
          <w:numId w:val="4"/>
        </w:numPr>
        <w:shd w:val="clear"/>
        <w:tabs>
          <w:tab w:val="left" w:pos="480"/>
        </w:tabs>
        <w:kinsoku/>
        <w:wordWrap/>
        <w:overflowPunct/>
        <w:topLinePunct w:val="0"/>
        <w:bidi w:val="0"/>
        <w:adjustRightInd/>
        <w:snapToGrid w:val="0"/>
        <w:spacing w:line="360" w:lineRule="auto"/>
        <w:ind w:left="0" w:leftChars="0" w:right="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支付方式:银行转帐｡</w:t>
      </w:r>
    </w:p>
    <w:p w14:paraId="77EF69B0">
      <w:pPr>
        <w:keepNext w:val="0"/>
        <w:keepLines w:val="0"/>
        <w:pageBreakBefore w:val="0"/>
        <w:numPr>
          <w:ilvl w:val="0"/>
          <w:numId w:val="4"/>
        </w:numPr>
        <w:shd w:val="clear"/>
        <w:tabs>
          <w:tab w:val="left" w:pos="480"/>
        </w:tabs>
        <w:kinsoku/>
        <w:wordWrap/>
        <w:overflowPunct/>
        <w:topLinePunct w:val="0"/>
        <w:bidi w:val="0"/>
        <w:adjustRightInd/>
        <w:snapToGrid w:val="0"/>
        <w:spacing w:line="360" w:lineRule="auto"/>
        <w:ind w:left="0" w:leftChars="0" w:right="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结算方式:活动结束且经甲方验收合格后，乙方向甲方开具合规等 额的增值税普通发票，甲方在收到乙方开具的发票后30个 工作日内付款。</w:t>
      </w:r>
    </w:p>
    <w:p w14:paraId="4EACF520">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五、</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服务地点及服务期</w:t>
      </w:r>
    </w:p>
    <w:p w14:paraId="26942503">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（一）</w:t>
      </w:r>
      <w:r>
        <w:rPr>
          <w:rFonts w:hint="eastAsia" w:ascii="仿宋" w:hAnsi="仿宋" w:eastAsia="仿宋" w:cs="仿宋"/>
          <w:color w:val="000000" w:themeColor="text1"/>
          <w:sz w:val="24"/>
          <w:szCs w:val="24"/>
          <w:highlight w:val="none"/>
          <w:u w:val="none"/>
          <w14:textFill>
            <w14:solidFill>
              <w14:schemeClr w14:val="tx1"/>
            </w14:solidFill>
          </w14:textFill>
        </w:rPr>
        <w:t>服务地点:西安国际会展中心1号馆、西安市旅游消费聚集区</w:t>
      </w:r>
    </w:p>
    <w:p w14:paraId="352E1970">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bookmarkStart w:id="1" w:name="OLE_LINK13"/>
      <w:r>
        <w:rPr>
          <w:rFonts w:hint="eastAsia" w:ascii="仿宋" w:hAnsi="仿宋" w:eastAsia="仿宋" w:cs="仿宋"/>
          <w:color w:val="000000" w:themeColor="text1"/>
          <w:kern w:val="2"/>
          <w:sz w:val="24"/>
          <w:szCs w:val="24"/>
          <w:lang w:val="en-US" w:eastAsia="zh-CN" w:bidi="ar-SA"/>
          <w14:textFill>
            <w14:solidFill>
              <w14:schemeClr w14:val="tx1"/>
            </w14:solidFill>
          </w14:textFill>
        </w:rPr>
        <w:t>（三）</w:t>
      </w:r>
      <w:r>
        <w:rPr>
          <w:rFonts w:hint="eastAsia" w:ascii="仿宋" w:hAnsi="仿宋" w:eastAsia="仿宋" w:cs="仿宋"/>
          <w:color w:val="000000" w:themeColor="text1"/>
          <w:sz w:val="24"/>
          <w:szCs w:val="24"/>
          <w:highlight w:val="none"/>
          <w:u w:val="none"/>
          <w14:textFill>
            <w14:solidFill>
              <w14:schemeClr w14:val="tx1"/>
            </w14:solidFill>
          </w14:textFill>
        </w:rPr>
        <w:t>服务</w:t>
      </w:r>
      <w:bookmarkEnd w:id="1"/>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期限</w:t>
      </w:r>
      <w:r>
        <w:rPr>
          <w:rFonts w:hint="eastAsia" w:ascii="仿宋" w:hAnsi="仿宋" w:eastAsia="仿宋" w:cs="仿宋"/>
          <w:color w:val="000000" w:themeColor="text1"/>
          <w:sz w:val="24"/>
          <w:szCs w:val="24"/>
          <w:highlight w:val="none"/>
          <w:u w:val="none"/>
          <w14:textFill>
            <w14:solidFill>
              <w14:schemeClr w14:val="tx1"/>
            </w14:solidFill>
          </w14:textFill>
        </w:rPr>
        <w:t>:2025年4月17日至20日</w:t>
      </w:r>
    </w:p>
    <w:p w14:paraId="1DD45B0A">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六、</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双方的权利和义务</w:t>
      </w:r>
    </w:p>
    <w:p w14:paraId="744C3A2F">
      <w:pPr>
        <w:numPr>
          <w:ilvl w:val="0"/>
          <w:numId w:val="5"/>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甲方的权利和义务</w:t>
      </w:r>
    </w:p>
    <w:p w14:paraId="2FE121EB">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67541A79">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2.甲方有权依据双方签订的考评办法对乙方提供的服务进行定期考评。当考评结果未达到标准时，有权依据考评办法约定的数额扣除履约保证金。</w:t>
      </w:r>
    </w:p>
    <w:p w14:paraId="0CB31EBA">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3.负责检查监督乙方管理工作的实施及制度的执行情况。</w:t>
      </w:r>
    </w:p>
    <w:p w14:paraId="1D3C07C3">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4.根据本合同规定，按时向乙方支付应付服务费用。</w:t>
      </w:r>
    </w:p>
    <w:p w14:paraId="47EE3AF0">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5.国家法律、法规所规定由甲方承担的其它责任。</w:t>
      </w:r>
    </w:p>
    <w:p w14:paraId="5FE1BB65">
      <w:pPr>
        <w:numPr>
          <w:ilvl w:val="0"/>
          <w:numId w:val="5"/>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乙方的权利和义务</w:t>
      </w:r>
    </w:p>
    <w:p w14:paraId="27D76DC2">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1.对本合同规定的委托服务范围内的项目享有管理权及服务义务。</w:t>
      </w:r>
    </w:p>
    <w:p w14:paraId="635BC3BA">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2.根据本合同的规定向甲方收取相关服务费用，并有权在本项目管理范围内管理及合理使用。</w:t>
      </w:r>
    </w:p>
    <w:p w14:paraId="6AEDCC49">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3.及时向甲方通告本项目服务范围内有关服务的重大事项，及时配合处理投诉。</w:t>
      </w:r>
    </w:p>
    <w:p w14:paraId="7580280C">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4.接受项目行业管理部门及政府有关部门的指导，接受甲方的监督。</w:t>
      </w:r>
    </w:p>
    <w:p w14:paraId="4A877956">
      <w:pPr>
        <w:pStyle w:val="9"/>
        <w:numPr>
          <w:ilvl w:val="0"/>
          <w:numId w:val="0"/>
        </w:numPr>
        <w:shd w:val="clear"/>
        <w:spacing w:line="360" w:lineRule="auto"/>
        <w:ind w:left="0" w:leftChars="0" w:firstLine="420" w:firstLineChars="0"/>
        <w:jc w:val="left"/>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5.国</w:t>
      </w:r>
      <w:r>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t>家法律、法规所规定由乙方承担的其它责任。</w:t>
      </w:r>
    </w:p>
    <w:p w14:paraId="21D90513">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七、知识产权</w:t>
      </w:r>
    </w:p>
    <w:p w14:paraId="46860A5D">
      <w:pPr>
        <w:tabs>
          <w:tab w:val="left" w:pos="1440"/>
        </w:tabs>
        <w:spacing w:line="360" w:lineRule="auto"/>
        <w:ind w:firstLine="480" w:firstLineChars="200"/>
        <w:outlineLvl w:val="9"/>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t>乙方应保证所提供的服务或其任何一部分均不会侵犯任何第三方的专利权、商标权或著作权。</w:t>
      </w:r>
    </w:p>
    <w:p w14:paraId="06DC5473">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八、无产权瑕疵条款</w:t>
      </w:r>
    </w:p>
    <w:p w14:paraId="68B4A5FC">
      <w:pPr>
        <w:tabs>
          <w:tab w:val="left" w:pos="1440"/>
        </w:tabs>
        <w:spacing w:line="360" w:lineRule="auto"/>
        <w:ind w:firstLine="480" w:firstLineChars="200"/>
        <w:outlineLvl w:val="9"/>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u w:val="none"/>
          <w:lang w:val="en-US" w:eastAsia="zh-CN" w:bidi="ar-SA"/>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23AFF72B">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九、</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验收</w:t>
      </w:r>
    </w:p>
    <w:p w14:paraId="30DCE56F">
      <w:pPr>
        <w:numPr>
          <w:ilvl w:val="0"/>
          <w:numId w:val="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（一）</w:t>
      </w:r>
      <w:r>
        <w:rPr>
          <w:rFonts w:hint="eastAsia" w:ascii="仿宋" w:hAnsi="仿宋" w:eastAsia="仿宋" w:cs="仿宋"/>
          <w:color w:val="000000" w:themeColor="text1"/>
          <w:sz w:val="24"/>
          <w:szCs w:val="24"/>
          <w:highlight w:val="none"/>
          <w:u w:val="none"/>
          <w14:textFill>
            <w14:solidFill>
              <w14:schemeClr w14:val="tx1"/>
            </w14:solidFill>
          </w14:textFill>
        </w:rPr>
        <w:t>活动开始前验收</w:t>
      </w:r>
    </w:p>
    <w:p w14:paraId="5B20EE7D">
      <w:pPr>
        <w:numPr>
          <w:ilvl w:val="0"/>
          <w:numId w:val="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1、</w:t>
      </w:r>
      <w:r>
        <w:rPr>
          <w:rFonts w:hint="eastAsia" w:ascii="仿宋" w:hAnsi="仿宋" w:eastAsia="仿宋" w:cs="仿宋"/>
          <w:color w:val="000000" w:themeColor="text1"/>
          <w:sz w:val="24"/>
          <w:szCs w:val="24"/>
          <w:highlight w:val="none"/>
          <w:u w:val="none"/>
          <w14:textFill>
            <w14:solidFill>
              <w14:schemeClr w14:val="tx1"/>
            </w14:solidFill>
          </w14:textFill>
        </w:rPr>
        <w:t>2025年4月17日，由采购人和成交供应商共同对活动筹备工作进行验收，检查各项筹备工作落实情况，验收合格 后，填写筹备工作验收单。</w:t>
      </w:r>
    </w:p>
    <w:p w14:paraId="38A63E0B">
      <w:pPr>
        <w:numPr>
          <w:ilvl w:val="0"/>
          <w:numId w:val="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2、2025年4月20日，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 磋商响应文件、澄清表(函)、政府采购合同及附件文本、国家相应的标准、规范。</w:t>
      </w:r>
    </w:p>
    <w:p w14:paraId="3B099635">
      <w:pPr>
        <w:numPr>
          <w:ilvl w:val="0"/>
          <w:numId w:val="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（二）</w:t>
      </w:r>
      <w:r>
        <w:rPr>
          <w:rFonts w:hint="eastAsia" w:ascii="仿宋" w:hAnsi="仿宋" w:eastAsia="仿宋" w:cs="仿宋"/>
          <w:color w:val="000000" w:themeColor="text1"/>
          <w:sz w:val="24"/>
          <w:szCs w:val="24"/>
          <w:highlight w:val="none"/>
          <w:u w:val="none"/>
          <w14:textFill>
            <w14:solidFill>
              <w14:schemeClr w14:val="tx1"/>
            </w14:solidFill>
          </w14:textFill>
        </w:rPr>
        <w:t>验收依据:</w:t>
      </w:r>
    </w:p>
    <w:p w14:paraId="4418E8F5">
      <w:pPr>
        <w:numPr>
          <w:ilvl w:val="0"/>
          <w:numId w:val="6"/>
        </w:numPr>
        <w:shd w:val="clear"/>
        <w:tabs>
          <w:tab w:val="left" w:pos="480"/>
        </w:tabs>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､竞争性磋商</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响应</w:t>
      </w:r>
      <w:r>
        <w:rPr>
          <w:rFonts w:hint="eastAsia" w:ascii="仿宋" w:hAnsi="仿宋" w:eastAsia="仿宋" w:cs="仿宋"/>
          <w:color w:val="000000" w:themeColor="text1"/>
          <w:sz w:val="24"/>
          <w:szCs w:val="24"/>
          <w:highlight w:val="none"/>
          <w:u w:val="none"/>
          <w14:textFill>
            <w14:solidFill>
              <w14:schemeClr w14:val="tx1"/>
            </w14:solidFill>
          </w14:textFill>
        </w:rPr>
        <w:t>文件;</w:t>
      </w:r>
    </w:p>
    <w:p w14:paraId="1F5AFA18">
      <w:pPr>
        <w:numPr>
          <w:ilvl w:val="0"/>
          <w:numId w:val="6"/>
        </w:numPr>
        <w:shd w:val="clear"/>
        <w:tabs>
          <w:tab w:val="left" w:pos="480"/>
        </w:tabs>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本合同及附件文本;</w:t>
      </w:r>
    </w:p>
    <w:p w14:paraId="45A98A3D">
      <w:pPr>
        <w:numPr>
          <w:ilvl w:val="0"/>
          <w:numId w:val="6"/>
        </w:numPr>
        <w:shd w:val="clear"/>
        <w:tabs>
          <w:tab w:val="left" w:pos="480"/>
        </w:tabs>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国家相应的标准､规范｡</w:t>
      </w:r>
    </w:p>
    <w:p w14:paraId="4C336C25">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乙方履约延误</w:t>
      </w:r>
    </w:p>
    <w:p w14:paraId="6BB92A2D">
      <w:pPr>
        <w:numPr>
          <w:ilvl w:val="0"/>
          <w:numId w:val="7"/>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如乙方事先未征得甲方同意并得到甲方的谅解而单方面延迟交货,将按违约终止合同｡</w:t>
      </w:r>
    </w:p>
    <w:p w14:paraId="4FA89FD3">
      <w:pPr>
        <w:numPr>
          <w:ilvl w:val="0"/>
          <w:numId w:val="7"/>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误期赔偿金以每周0.5%计｡</w:t>
      </w:r>
    </w:p>
    <w:p w14:paraId="3953D7AE">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十一、</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违约责任</w:t>
      </w:r>
    </w:p>
    <w:p w14:paraId="5FEAC51A">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按《政府采购法》､《</w:t>
      </w:r>
      <w:r>
        <w:rPr>
          <w:rFonts w:hint="eastAsia" w:ascii="仿宋" w:hAnsi="仿宋" w:eastAsia="仿宋" w:cs="仿宋"/>
          <w:color w:val="000000" w:themeColor="text1"/>
          <w:w w:val="95"/>
          <w:sz w:val="24"/>
          <w:szCs w:val="24"/>
          <w:highlight w:val="none"/>
          <w:u w:val="none"/>
          <w:lang w:val="en-US" w:eastAsia="zh-CN"/>
          <w14:textFill>
            <w14:solidFill>
              <w14:schemeClr w14:val="tx1"/>
            </w14:solidFill>
          </w14:textFill>
        </w:rPr>
        <w:t>民法典</w:t>
      </w:r>
      <w:r>
        <w:rPr>
          <w:rFonts w:hint="eastAsia" w:ascii="仿宋" w:hAnsi="仿宋" w:eastAsia="仿宋" w:cs="仿宋"/>
          <w:color w:val="000000" w:themeColor="text1"/>
          <w:w w:val="95"/>
          <w:sz w:val="24"/>
          <w:szCs w:val="24"/>
          <w:highlight w:val="none"/>
          <w:u w:val="none"/>
          <w14:textFill>
            <w14:solidFill>
              <w14:schemeClr w14:val="tx1"/>
            </w14:solidFill>
          </w14:textFill>
        </w:rPr>
        <w:t>》中的相关条款执行｡</w:t>
      </w:r>
    </w:p>
    <w:p w14:paraId="2CA2FEA4">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未按合同要求提供货物或质量不能满足谈判技术要求,乙方必须无条件更换,提高技术,完善质量,否则,甲方会同鉴证方有权终止合同,并对乙方的违约行为报监管机构进行相应的处罚｡</w:t>
      </w:r>
    </w:p>
    <w:p w14:paraId="043609EE">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交货期每超过一天,扣除乙方合同总价款的</w:t>
      </w:r>
      <w:r>
        <w:rPr>
          <w:rFonts w:hint="eastAsia" w:ascii="仿宋" w:hAnsi="仿宋" w:eastAsia="仿宋" w:cs="仿宋"/>
          <w:color w:val="000000" w:themeColor="text1"/>
          <w:w w:val="95"/>
          <w:sz w:val="24"/>
          <w:szCs w:val="24"/>
          <w:highlight w:val="none"/>
          <w:u w:val="none"/>
          <w:lang w:val="en-US" w:eastAsia="zh-CN"/>
          <w14:textFill>
            <w14:solidFill>
              <w14:schemeClr w14:val="tx1"/>
            </w14:solidFill>
          </w14:textFill>
        </w:rPr>
        <w:t>10</w:t>
      </w:r>
      <w:r>
        <w:rPr>
          <w:rFonts w:hint="eastAsia" w:ascii="仿宋" w:hAnsi="仿宋" w:eastAsia="仿宋" w:cs="仿宋"/>
          <w:color w:val="000000" w:themeColor="text1"/>
          <w:w w:val="95"/>
          <w:sz w:val="24"/>
          <w:szCs w:val="24"/>
          <w:highlight w:val="none"/>
          <w:u w:val="none"/>
          <w14:textFill>
            <w14:solidFill>
              <w14:schemeClr w14:val="tx1"/>
            </w14:solidFill>
          </w14:textFill>
        </w:rPr>
        <w:t>‰｡</w:t>
      </w:r>
    </w:p>
    <w:p w14:paraId="50776778">
      <w:pPr>
        <w:numPr>
          <w:ilvl w:val="0"/>
          <w:numId w:val="8"/>
        </w:numPr>
        <w:shd w:val="clear"/>
        <w:tabs>
          <w:tab w:val="left" w:pos="480"/>
        </w:tabs>
        <w:snapToGrid w:val="0"/>
        <w:spacing w:line="360" w:lineRule="auto"/>
        <w:ind w:left="0" w:leftChars="0" w:firstLine="420" w:firstLineChars="0"/>
        <w:rPr>
          <w:rFonts w:hint="eastAsia" w:ascii="仿宋" w:hAnsi="仿宋" w:eastAsia="仿宋" w:cs="仿宋"/>
          <w:color w:val="000000" w:themeColor="text1"/>
          <w:w w:val="95"/>
          <w:sz w:val="24"/>
          <w:szCs w:val="24"/>
          <w:highlight w:val="none"/>
          <w:u w:val="none"/>
          <w14:textFill>
            <w14:solidFill>
              <w14:schemeClr w14:val="tx1"/>
            </w14:solidFill>
          </w14:textFill>
        </w:rPr>
      </w:pPr>
      <w:r>
        <w:rPr>
          <w:rFonts w:hint="eastAsia" w:ascii="仿宋" w:hAnsi="仿宋" w:eastAsia="仿宋" w:cs="仿宋"/>
          <w:color w:val="000000" w:themeColor="text1"/>
          <w:w w:val="95"/>
          <w:sz w:val="24"/>
          <w:szCs w:val="24"/>
          <w:highlight w:val="none"/>
          <w:u w:val="none"/>
          <w14:textFill>
            <w14:solidFill>
              <w14:schemeClr w14:val="tx1"/>
            </w14:solidFill>
          </w14:textFill>
        </w:rPr>
        <w:t>在乙方违约的情况下,甲方报告西安市政府采购管理处后,有权终止合同,并依法向乙方进行索赔｡</w:t>
      </w:r>
    </w:p>
    <w:p w14:paraId="324ECEA3">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十二、</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合同争议解决的方式</w:t>
      </w:r>
    </w:p>
    <w:p w14:paraId="6E90310E">
      <w:pPr>
        <w:shd w:val="clear"/>
        <w:tabs>
          <w:tab w:val="left" w:pos="480"/>
        </w:tabs>
        <w:snapToGrid w:val="0"/>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本合同在履行过程中发生的争议,由甲､乙双方当事人协商解决,协商不成的按下列第二种方式解决:</w:t>
      </w:r>
    </w:p>
    <w:p w14:paraId="47480E78">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提交</w:t>
      </w:r>
      <w:r>
        <w:rPr>
          <w:rFonts w:hint="eastAsia" w:ascii="仿宋" w:hAnsi="仿宋" w:eastAsia="仿宋" w:cs="仿宋"/>
          <w:color w:val="000000" w:themeColor="text1"/>
          <w:sz w:val="24"/>
          <w:szCs w:val="24"/>
          <w:highlight w:val="none"/>
          <w:u w:val="none"/>
          <w14:textFill>
            <w14:solidFill>
              <w14:schemeClr w14:val="tx1"/>
            </w14:solidFill>
          </w14:textFill>
        </w:rPr>
        <w:softHyphen/>
      </w:r>
      <w:r>
        <w:rPr>
          <w:rFonts w:hint="eastAsia" w:ascii="仿宋" w:hAnsi="仿宋" w:eastAsia="仿宋" w:cs="仿宋"/>
          <w:color w:val="000000" w:themeColor="text1"/>
          <w:sz w:val="24"/>
          <w:szCs w:val="24"/>
          <w:highlight w:val="none"/>
          <w:u w:val="none"/>
          <w14:textFill>
            <w14:solidFill>
              <w14:schemeClr w14:val="tx1"/>
            </w14:solidFill>
          </w14:textFill>
        </w:rPr>
        <w:softHyphen/>
      </w:r>
      <w:r>
        <w:rPr>
          <w:rFonts w:hint="eastAsia" w:ascii="仿宋" w:hAnsi="仿宋" w:eastAsia="仿宋" w:cs="仿宋"/>
          <w:color w:val="000000" w:themeColor="text1"/>
          <w:sz w:val="24"/>
          <w:szCs w:val="24"/>
          <w:highlight w:val="none"/>
          <w:u w:val="none"/>
          <w14:textFill>
            <w14:solidFill>
              <w14:schemeClr w14:val="tx1"/>
            </w14:solidFill>
          </w14:textFill>
        </w:rPr>
        <w:softHyphen/>
      </w:r>
      <w:r>
        <w:rPr>
          <w:rFonts w:hint="eastAsia" w:ascii="仿宋" w:hAnsi="仿宋" w:eastAsia="仿宋" w:cs="仿宋"/>
          <w:color w:val="000000" w:themeColor="text1"/>
          <w:sz w:val="24"/>
          <w:szCs w:val="24"/>
          <w:highlight w:val="none"/>
          <w:u w:val="none"/>
          <w14:textFill>
            <w14:solidFill>
              <w14:schemeClr w14:val="tx1"/>
            </w14:solidFill>
          </w14:textFill>
        </w:rPr>
        <w:t>西安仲裁委员会仲裁;</w:t>
      </w:r>
    </w:p>
    <w:p w14:paraId="74B9D7D3">
      <w:pPr>
        <w:numPr>
          <w:ilvl w:val="0"/>
          <w:numId w:val="9"/>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依法向甲方所在地人民法院起诉｡</w:t>
      </w:r>
    </w:p>
    <w:p w14:paraId="47911993">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十三、</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合同生效</w:t>
      </w:r>
    </w:p>
    <w:p w14:paraId="73E3CFF2">
      <w:pPr>
        <w:shd w:val="clear"/>
        <w:snapToGrid w:val="0"/>
        <w:spacing w:line="360" w:lineRule="auto"/>
        <w:ind w:firstLine="470" w:firstLineChars="196"/>
        <w:rPr>
          <w:rFonts w:hint="eastAsia" w:ascii="仿宋" w:hAnsi="仿宋" w:eastAsia="仿宋" w:cs="仿宋"/>
          <w:b w:val="0"/>
          <w:bCs/>
          <w:color w:val="000000" w:themeColor="text1"/>
          <w:sz w:val="24"/>
          <w:szCs w:val="24"/>
          <w:highlight w:val="none"/>
          <w:u w:val="none"/>
          <w14:textFill>
            <w14:solidFill>
              <w14:schemeClr w14:val="tx1"/>
            </w14:solidFill>
          </w14:textFill>
        </w:rPr>
      </w:pPr>
      <w:r>
        <w:rPr>
          <w:rFonts w:hint="eastAsia" w:ascii="仿宋" w:hAnsi="仿宋" w:eastAsia="仿宋" w:cs="仿宋"/>
          <w:b w:val="0"/>
          <w:bCs/>
          <w:color w:val="000000" w:themeColor="text1"/>
          <w:sz w:val="24"/>
          <w:szCs w:val="24"/>
          <w:highlight w:val="none"/>
          <w:u w:val="none"/>
          <w14:textFill>
            <w14:solidFill>
              <w14:schemeClr w14:val="tx1"/>
            </w14:solidFill>
          </w14:textFill>
        </w:rPr>
        <w:t>本合同一式</w:t>
      </w:r>
      <w:r>
        <w:rPr>
          <w:rFonts w:hint="eastAsia" w:ascii="仿宋" w:hAnsi="仿宋" w:eastAsia="仿宋" w:cs="仿宋"/>
          <w:b/>
          <w:bCs w:val="0"/>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val="0"/>
          <w:bCs/>
          <w:color w:val="000000" w:themeColor="text1"/>
          <w:sz w:val="24"/>
          <w:szCs w:val="24"/>
          <w:highlight w:val="none"/>
          <w:u w:val="none"/>
          <w14:textFill>
            <w14:solidFill>
              <w14:schemeClr w14:val="tx1"/>
            </w14:solidFill>
          </w14:textFill>
        </w:rPr>
        <w:t>份,甲方</w:t>
      </w:r>
      <w:r>
        <w:rPr>
          <w:rFonts w:hint="eastAsia" w:ascii="仿宋" w:hAnsi="仿宋" w:eastAsia="仿宋" w:cs="仿宋"/>
          <w:b w:val="0"/>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4"/>
          <w:szCs w:val="24"/>
          <w:highlight w:val="none"/>
          <w:u w:val="none"/>
          <w14:textFill>
            <w14:solidFill>
              <w14:schemeClr w14:val="tx1"/>
            </w14:solidFill>
          </w14:textFill>
        </w:rPr>
        <w:t>份､乙方</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4"/>
          <w:szCs w:val="24"/>
          <w:highlight w:val="none"/>
          <w:u w:val="none"/>
          <w14:textFill>
            <w14:solidFill>
              <w14:schemeClr w14:val="tx1"/>
            </w14:solidFill>
          </w14:textFill>
        </w:rPr>
        <w:t>份､</w:t>
      </w:r>
      <w:r>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t>鉴证</w:t>
      </w:r>
      <w:r>
        <w:rPr>
          <w:rFonts w:hint="eastAsia" w:ascii="仿宋" w:hAnsi="仿宋" w:eastAsia="仿宋" w:cs="仿宋"/>
          <w:b w:val="0"/>
          <w:bCs/>
          <w:color w:val="000000" w:themeColor="text1"/>
          <w:sz w:val="24"/>
          <w:szCs w:val="24"/>
          <w:highlight w:val="none"/>
          <w:u w:val="none"/>
          <w14:textFill>
            <w14:solidFill>
              <w14:schemeClr w14:val="tx1"/>
            </w14:solidFill>
          </w14:textFill>
        </w:rPr>
        <w:t>方</w:t>
      </w:r>
      <w:r>
        <w:rPr>
          <w:rFonts w:hint="eastAsia" w:ascii="仿宋" w:hAnsi="仿宋" w:eastAsia="仿宋" w:cs="仿宋"/>
          <w:b w:val="0"/>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壹</w:t>
      </w:r>
      <w:r>
        <w:rPr>
          <w:rFonts w:hint="eastAsia" w:ascii="仿宋" w:hAnsi="仿宋" w:eastAsia="仿宋" w:cs="仿宋"/>
          <w:b w:val="0"/>
          <w:bCs/>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val="0"/>
          <w:bCs/>
          <w:color w:val="000000" w:themeColor="text1"/>
          <w:sz w:val="24"/>
          <w:szCs w:val="24"/>
          <w:highlight w:val="none"/>
          <w:u w:val="none"/>
          <w14:textFill>
            <w14:solidFill>
              <w14:schemeClr w14:val="tx1"/>
            </w14:solidFill>
          </w14:textFill>
        </w:rPr>
        <w:t>份,</w:t>
      </w:r>
      <w:r>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t>西安市</w:t>
      </w:r>
      <w:r>
        <w:rPr>
          <w:rFonts w:hint="eastAsia" w:ascii="仿宋" w:hAnsi="仿宋" w:eastAsia="仿宋" w:cs="仿宋"/>
          <w:b w:val="0"/>
          <w:bCs/>
          <w:color w:val="000000" w:themeColor="text1"/>
          <w:sz w:val="24"/>
          <w:szCs w:val="24"/>
          <w:highlight w:val="none"/>
          <w:u w:val="none"/>
          <w14:textFill>
            <w14:solidFill>
              <w14:schemeClr w14:val="tx1"/>
            </w14:solidFill>
          </w14:textFill>
        </w:rPr>
        <w:t>财政局政府采购管理科备案</w:t>
      </w:r>
      <w:r>
        <w:rPr>
          <w:rFonts w:hint="eastAsia" w:ascii="仿宋" w:hAnsi="仿宋" w:eastAsia="仿宋" w:cs="仿宋"/>
          <w:b w:val="0"/>
          <w:bCs/>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u w:val="single"/>
          <w:lang w:val="en-US" w:eastAsia="zh-CN"/>
          <w14:textFill>
            <w14:solidFill>
              <w14:schemeClr w14:val="tx1"/>
            </w14:solidFill>
          </w14:textFill>
        </w:rPr>
        <w:t xml:space="preserve">壹 </w:t>
      </w:r>
      <w:r>
        <w:rPr>
          <w:rFonts w:hint="eastAsia" w:ascii="仿宋" w:hAnsi="仿宋" w:eastAsia="仿宋" w:cs="仿宋"/>
          <w:b w:val="0"/>
          <w:bCs/>
          <w:color w:val="000000" w:themeColor="text1"/>
          <w:sz w:val="24"/>
          <w:szCs w:val="24"/>
          <w:highlight w:val="none"/>
          <w:u w:val="none"/>
          <w14:textFill>
            <w14:solidFill>
              <w14:schemeClr w14:val="tx1"/>
            </w14:solidFill>
          </w14:textFill>
        </w:rPr>
        <w:t>份,本合同甲､乙､</w:t>
      </w:r>
      <w:r>
        <w:rPr>
          <w:rFonts w:hint="eastAsia" w:ascii="仿宋" w:hAnsi="仿宋" w:eastAsia="仿宋" w:cs="仿宋"/>
          <w:b w:val="0"/>
          <w:bCs/>
          <w:color w:val="000000" w:themeColor="text1"/>
          <w:sz w:val="24"/>
          <w:szCs w:val="24"/>
          <w:highlight w:val="none"/>
          <w:u w:val="none"/>
          <w:lang w:val="en-US" w:eastAsia="zh-CN"/>
          <w14:textFill>
            <w14:solidFill>
              <w14:schemeClr w14:val="tx1"/>
            </w14:solidFill>
          </w14:textFill>
        </w:rPr>
        <w:t>鉴证</w:t>
      </w:r>
      <w:r>
        <w:rPr>
          <w:rFonts w:hint="eastAsia" w:ascii="仿宋" w:hAnsi="仿宋" w:eastAsia="仿宋" w:cs="仿宋"/>
          <w:b w:val="0"/>
          <w:bCs/>
          <w:color w:val="000000" w:themeColor="text1"/>
          <w:sz w:val="24"/>
          <w:szCs w:val="24"/>
          <w:highlight w:val="none"/>
          <w:u w:val="none"/>
          <w14:textFill>
            <w14:solidFill>
              <w14:schemeClr w14:val="tx1"/>
            </w14:solidFill>
          </w14:textFill>
        </w:rPr>
        <w:t>方各方签字盖章后生效,合同执行完毕后,自动失效(合同的服务承诺则长期有效)｡</w:t>
      </w:r>
    </w:p>
    <w:p w14:paraId="5017772C">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十四、</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其他事项</w:t>
      </w:r>
    </w:p>
    <w:p w14:paraId="04995F71">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鉴证方作为部门集中采购代理机构对合同进行确认｡</w:t>
      </w:r>
    </w:p>
    <w:p w14:paraId="1860F66F">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西安市</w:t>
      </w:r>
      <w:r>
        <w:rPr>
          <w:rFonts w:hint="eastAsia" w:ascii="仿宋" w:hAnsi="仿宋" w:eastAsia="仿宋" w:cs="仿宋"/>
          <w:color w:val="000000" w:themeColor="text1"/>
          <w:sz w:val="24"/>
          <w:szCs w:val="24"/>
          <w:highlight w:val="none"/>
          <w:u w:val="none"/>
          <w14:textFill>
            <w14:solidFill>
              <w14:schemeClr w14:val="tx1"/>
            </w14:solidFill>
          </w14:textFill>
        </w:rPr>
        <w:t>财政局政府采购管理处在合同的履行期间以及履行期后,可以随时检查项目的执行情况,对采购内容､标准进行调查核实,并对发现的问题进行处理｡</w:t>
      </w:r>
    </w:p>
    <w:p w14:paraId="5BC147F6">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､竞争性磋商响应文件､中标通知书､合同附件均成为合同不可分割的部分｡</w:t>
      </w:r>
    </w:p>
    <w:p w14:paraId="627BCA96">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合同未尽事宜,由甲､乙双方协商,经鉴证方确认后,作为合同补充,与原合同具有同等法律效力｡</w:t>
      </w:r>
    </w:p>
    <w:p w14:paraId="7F0A5692">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合同一经签订,不得擅自变更､中止或终止合同｡对确需变更､调整或中止､终止合同的,应按规定履行相应的手续｡</w:t>
      </w:r>
    </w:p>
    <w:p w14:paraId="68212F0D">
      <w:pPr>
        <w:numPr>
          <w:ilvl w:val="0"/>
          <w:numId w:val="10"/>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本合同按照中华人民共和国的现行法律进行解释｡</w:t>
      </w:r>
    </w:p>
    <w:p w14:paraId="1ECB8C69">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十五、</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不可抗力</w:t>
      </w:r>
    </w:p>
    <w:p w14:paraId="61C16E7D">
      <w:pPr>
        <w:shd w:val="clear"/>
        <w:snapToGrid w:val="0"/>
        <w:spacing w:line="360" w:lineRule="auto"/>
        <w:ind w:firstLine="470" w:firstLineChars="196"/>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14:paraId="5B51863F">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十六、</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监督和管理</w:t>
      </w:r>
    </w:p>
    <w:p w14:paraId="2798D54B">
      <w:pPr>
        <w:numPr>
          <w:ilvl w:val="0"/>
          <w:numId w:val="11"/>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合同订立后,双方协商一致需变更合同实质性条款或订立补充合同的,应先征得政府采购监督部门同意并送其备案｡</w:t>
      </w:r>
    </w:p>
    <w:p w14:paraId="4D760281">
      <w:pPr>
        <w:numPr>
          <w:ilvl w:val="0"/>
          <w:numId w:val="11"/>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甲乙双方均应自觉配合有关监督管理部门对合同履行情况监督检查,如实反映情况,提供有关资料,否则将对有关单位､当事人按有关规定予以处罚｡</w:t>
      </w:r>
    </w:p>
    <w:p w14:paraId="303A68F1">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十七、</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无效合同</w:t>
      </w:r>
    </w:p>
    <w:p w14:paraId="1FB70B48">
      <w:pPr>
        <w:shd w:val="clear"/>
        <w:snapToGrid w:val="0"/>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甲乙双方如因违反政府采购法力相关法律法规的规定,被宣告合同无效的一切责任概由过错方自行承担｡</w:t>
      </w:r>
    </w:p>
    <w:p w14:paraId="22B28117">
      <w:pPr>
        <w:pStyle w:val="5"/>
        <w:shd w:val="clear"/>
        <w:rPr>
          <w:rFonts w:hint="eastAsia" w:ascii="仿宋" w:hAnsi="仿宋" w:eastAsia="仿宋" w:cs="仿宋"/>
          <w:color w:val="000000" w:themeColor="text1"/>
          <w:u w:val="none"/>
          <w:lang w:eastAsia="zh-CN"/>
          <w14:textFill>
            <w14:solidFill>
              <w14:schemeClr w14:val="tx1"/>
            </w14:solidFill>
          </w14:textFill>
        </w:rPr>
      </w:pPr>
    </w:p>
    <w:p w14:paraId="24F6349B">
      <w:pPr>
        <w:pStyle w:val="3"/>
        <w:shd w:val="clear"/>
        <w:rPr>
          <w:rFonts w:hint="eastAsia" w:ascii="仿宋" w:hAnsi="仿宋" w:eastAsia="仿宋" w:cs="仿宋"/>
          <w:color w:val="000000" w:themeColor="text1"/>
          <w:sz w:val="24"/>
          <w:szCs w:val="24"/>
          <w:highlight w:val="none"/>
          <w:u w:val="none"/>
          <w14:textFill>
            <w14:solidFill>
              <w14:schemeClr w14:val="tx1"/>
            </w14:solidFill>
          </w14:textFill>
        </w:rPr>
      </w:pPr>
    </w:p>
    <w:p w14:paraId="058AA367">
      <w:pPr>
        <w:shd w:val="clear"/>
        <w:tabs>
          <w:tab w:val="left" w:pos="480"/>
        </w:tabs>
        <w:snapToGrid w:val="0"/>
        <w:spacing w:line="360" w:lineRule="auto"/>
        <w:ind w:left="-199" w:leftChars="-95" w:firstLine="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甲  方(法人公章)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乙  方(法人公章)</w:t>
      </w:r>
    </w:p>
    <w:p w14:paraId="297B56D8">
      <w:pPr>
        <w:shd w:val="clear"/>
        <w:tabs>
          <w:tab w:val="left" w:pos="480"/>
        </w:tabs>
        <w:snapToGrid w:val="0"/>
        <w:spacing w:line="360" w:lineRule="auto"/>
        <w:ind w:left="-199" w:leftChars="-95" w:firstLine="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单位名称:</w:t>
      </w:r>
      <w:r>
        <w:rPr>
          <w:rFonts w:hint="eastAsia" w:ascii="仿宋" w:hAnsi="仿宋" w:eastAsia="仿宋" w:cs="仿宋"/>
          <w:color w:val="000000" w:themeColor="text1"/>
          <w:sz w:val="24"/>
          <w:szCs w:val="24"/>
          <w:highlight w:val="none"/>
          <w:u w:val="none"/>
          <w:lang w:eastAsia="zh-CN"/>
          <w14:textFill>
            <w14:solidFill>
              <w14:schemeClr w14:val="tx1"/>
            </w14:solidFill>
          </w14:textFill>
        </w:rPr>
        <w:t xml:space="preserve">西安市文化和旅游局 </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单位名称:</w:t>
      </w:r>
    </w:p>
    <w:p w14:paraId="461C18D2">
      <w:pPr>
        <w:shd w:val="clear"/>
        <w:tabs>
          <w:tab w:val="left" w:pos="480"/>
        </w:tabs>
        <w:snapToGrid w:val="0"/>
        <w:spacing w:line="360" w:lineRule="auto"/>
        <w:ind w:left="5461" w:leftChars="-28"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地  址:西安市长安区航天大道东段      地  址:</w:t>
      </w:r>
    </w:p>
    <w:p w14:paraId="03452190">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法定代表人签字: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法定代表人签字:</w:t>
      </w:r>
    </w:p>
    <w:p w14:paraId="68B65194">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代理人签字: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代理人签字:</w:t>
      </w:r>
    </w:p>
    <w:p w14:paraId="2F768414">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项目主管部门负责人</w:t>
      </w:r>
      <w:r>
        <w:rPr>
          <w:rFonts w:hint="eastAsia" w:ascii="仿宋" w:hAnsi="仿宋" w:eastAsia="仿宋" w:cs="仿宋"/>
          <w:color w:val="000000" w:themeColor="text1"/>
          <w:sz w:val="24"/>
          <w:szCs w:val="24"/>
          <w:highlight w:val="none"/>
          <w:u w:val="none"/>
          <w14:textFill>
            <w14:solidFill>
              <w14:schemeClr w14:val="tx1"/>
            </w14:solidFill>
          </w14:textFill>
        </w:rPr>
        <w:t>:</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联系电话:</w:t>
      </w:r>
    </w:p>
    <w:p w14:paraId="54816785">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招采办负责人:</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开户银行:</w:t>
      </w:r>
    </w:p>
    <w:p w14:paraId="0E832E51">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联系电话: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帐  号:                                                                                             </w:t>
      </w:r>
    </w:p>
    <w:p w14:paraId="3CCA6049">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            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w:t>
      </w:r>
    </w:p>
    <w:p w14:paraId="6F1B0622">
      <w:pPr>
        <w:shd w:val="clear"/>
        <w:tabs>
          <w:tab w:val="left" w:pos="480"/>
        </w:tabs>
        <w:snapToGrid w:val="0"/>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p>
    <w:p w14:paraId="0A7E56EB">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鉴证方(业务专用章)</w:t>
      </w:r>
    </w:p>
    <w:p w14:paraId="67256E58">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单位名称:华夏国际项目管理有限公司</w:t>
      </w:r>
    </w:p>
    <w:p w14:paraId="60F08955">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地  址:西安市莲湖区二环南路西段202号九座花园16层1605室</w:t>
      </w:r>
    </w:p>
    <w:p w14:paraId="718EB695">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法定代表人签字:</w:t>
      </w:r>
    </w:p>
    <w:p w14:paraId="318760E6">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代理人:(签字)</w:t>
      </w:r>
    </w:p>
    <w:p w14:paraId="76770A4E">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联系电话:029-88899970</w:t>
      </w:r>
    </w:p>
    <w:p w14:paraId="64AD2D72">
      <w:pPr>
        <w:shd w:val="clear"/>
        <w:tabs>
          <w:tab w:val="left" w:pos="480"/>
        </w:tabs>
        <w:snapToGrid w:val="0"/>
        <w:spacing w:line="360" w:lineRule="auto"/>
        <w:ind w:left="5321" w:leftChars="-95" w:hanging="5520" w:hangingChars="2300"/>
        <w:rPr>
          <w:rFonts w:hint="eastAsia" w:ascii="仿宋" w:hAnsi="仿宋" w:eastAsia="仿宋" w:cs="仿宋"/>
          <w:b/>
          <w:color w:val="000000" w:themeColor="text1"/>
          <w:sz w:val="30"/>
          <w:szCs w:val="30"/>
          <w:highlight w:val="none"/>
          <w:u w:val="none"/>
          <w:lang w:bidi="ar"/>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签订日期:    年  月  日</w:t>
      </w:r>
    </w:p>
    <w:bookmarkEnd w:id="0"/>
    <w:p w14:paraId="06922A36">
      <w:pPr>
        <w:shd w:val="clear"/>
        <w:rPr>
          <w:rFonts w:hint="eastAsia" w:ascii="仿宋" w:hAnsi="仿宋" w:eastAsia="仿宋" w:cs="仿宋"/>
          <w:color w:val="000000" w:themeColor="text1"/>
          <w:u w:val="none"/>
          <w14:textFill>
            <w14:solidFill>
              <w14:schemeClr w14:val="tx1"/>
            </w14:solidFill>
          </w14:textFill>
        </w:rPr>
      </w:pPr>
    </w:p>
    <w:p w14:paraId="44835B25">
      <w:bookmarkStart w:id="2" w:name="_GoBack"/>
      <w:bookmarkEnd w:id="2"/>
    </w:p>
    <w:sectPr>
      <w:footerReference r:id="rId3"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7371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CEAD40">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BCEAD40">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15199"/>
    <w:multiLevelType w:val="singleLevel"/>
    <w:tmpl w:val="80815199"/>
    <w:lvl w:ilvl="0" w:tentative="0">
      <w:start w:val="1"/>
      <w:numFmt w:val="chineseCounting"/>
      <w:suff w:val="nothing"/>
      <w:lvlText w:val="（%1）"/>
      <w:lvlJc w:val="left"/>
      <w:pPr>
        <w:ind w:left="0" w:firstLine="420"/>
      </w:pPr>
      <w:rPr>
        <w:rFonts w:hint="eastAsia"/>
      </w:rPr>
    </w:lvl>
  </w:abstractNum>
  <w:abstractNum w:abstractNumId="1">
    <w:nsid w:val="84B881E0"/>
    <w:multiLevelType w:val="singleLevel"/>
    <w:tmpl w:val="84B881E0"/>
    <w:lvl w:ilvl="0" w:tentative="0">
      <w:start w:val="1"/>
      <w:numFmt w:val="decimal"/>
      <w:suff w:val="nothing"/>
      <w:lvlText w:val="%1．"/>
      <w:lvlJc w:val="left"/>
      <w:pPr>
        <w:ind w:left="0" w:firstLine="400"/>
      </w:pPr>
      <w:rPr>
        <w:rFonts w:hint="default"/>
      </w:rPr>
    </w:lvl>
  </w:abstractNum>
  <w:abstractNum w:abstractNumId="2">
    <w:nsid w:val="AB6B547A"/>
    <w:multiLevelType w:val="singleLevel"/>
    <w:tmpl w:val="AB6B547A"/>
    <w:lvl w:ilvl="0" w:tentative="0">
      <w:start w:val="1"/>
      <w:numFmt w:val="chineseCounting"/>
      <w:suff w:val="nothing"/>
      <w:lvlText w:val="（%1）"/>
      <w:lvlJc w:val="left"/>
      <w:pPr>
        <w:ind w:left="0" w:firstLine="420"/>
      </w:pPr>
      <w:rPr>
        <w:rFonts w:hint="eastAsia"/>
      </w:rPr>
    </w:lvl>
  </w:abstractNum>
  <w:abstractNum w:abstractNumId="3">
    <w:nsid w:val="F3162BD6"/>
    <w:multiLevelType w:val="singleLevel"/>
    <w:tmpl w:val="F3162BD6"/>
    <w:lvl w:ilvl="0" w:tentative="0">
      <w:start w:val="1"/>
      <w:numFmt w:val="chineseCounting"/>
      <w:suff w:val="nothing"/>
      <w:lvlText w:val="（%1）"/>
      <w:lvlJc w:val="left"/>
      <w:pPr>
        <w:ind w:left="0" w:firstLine="420"/>
      </w:pPr>
      <w:rPr>
        <w:rFonts w:hint="eastAsia"/>
      </w:rPr>
    </w:lvl>
  </w:abstractNum>
  <w:abstractNum w:abstractNumId="4">
    <w:nsid w:val="FF6666BA"/>
    <w:multiLevelType w:val="singleLevel"/>
    <w:tmpl w:val="FF6666BA"/>
    <w:lvl w:ilvl="0" w:tentative="0">
      <w:start w:val="1"/>
      <w:numFmt w:val="chineseCounting"/>
      <w:suff w:val="nothing"/>
      <w:lvlText w:val="（%1）"/>
      <w:lvlJc w:val="left"/>
      <w:pPr>
        <w:ind w:left="0" w:firstLine="420"/>
      </w:pPr>
      <w:rPr>
        <w:rFonts w:hint="eastAsia"/>
      </w:rPr>
    </w:lvl>
  </w:abstractNum>
  <w:abstractNum w:abstractNumId="5">
    <w:nsid w:val="03ACE02B"/>
    <w:multiLevelType w:val="singleLevel"/>
    <w:tmpl w:val="03ACE02B"/>
    <w:lvl w:ilvl="0" w:tentative="0">
      <w:start w:val="1"/>
      <w:numFmt w:val="decimal"/>
      <w:suff w:val="nothing"/>
      <w:lvlText w:val="%1．"/>
      <w:lvlJc w:val="left"/>
      <w:pPr>
        <w:ind w:left="0" w:firstLine="400"/>
      </w:pPr>
      <w:rPr>
        <w:rFonts w:hint="default"/>
      </w:rPr>
    </w:lvl>
  </w:abstractNum>
  <w:abstractNum w:abstractNumId="6">
    <w:nsid w:val="172A8D9C"/>
    <w:multiLevelType w:val="singleLevel"/>
    <w:tmpl w:val="172A8D9C"/>
    <w:lvl w:ilvl="0" w:tentative="0">
      <w:start w:val="1"/>
      <w:numFmt w:val="chineseCounting"/>
      <w:suff w:val="nothing"/>
      <w:lvlText w:val="（%1）"/>
      <w:lvlJc w:val="left"/>
      <w:pPr>
        <w:ind w:left="0" w:firstLine="420"/>
      </w:pPr>
      <w:rPr>
        <w:rFonts w:hint="eastAsia"/>
      </w:rPr>
    </w:lvl>
  </w:abstractNum>
  <w:abstractNum w:abstractNumId="7">
    <w:nsid w:val="21E346A0"/>
    <w:multiLevelType w:val="singleLevel"/>
    <w:tmpl w:val="21E346A0"/>
    <w:lvl w:ilvl="0" w:tentative="0">
      <w:start w:val="1"/>
      <w:numFmt w:val="chineseCounting"/>
      <w:suff w:val="nothing"/>
      <w:lvlText w:val="（%1）"/>
      <w:lvlJc w:val="left"/>
      <w:pPr>
        <w:ind w:left="0" w:firstLine="420"/>
      </w:pPr>
      <w:rPr>
        <w:rFonts w:hint="eastAsia"/>
      </w:rPr>
    </w:lvl>
  </w:abstractNum>
  <w:abstractNum w:abstractNumId="8">
    <w:nsid w:val="6DE2EB59"/>
    <w:multiLevelType w:val="singleLevel"/>
    <w:tmpl w:val="6DE2EB59"/>
    <w:lvl w:ilvl="0" w:tentative="0">
      <w:start w:val="1"/>
      <w:numFmt w:val="chineseCounting"/>
      <w:suff w:val="nothing"/>
      <w:lvlText w:val="（%1）"/>
      <w:lvlJc w:val="left"/>
      <w:pPr>
        <w:ind w:left="0" w:firstLine="420"/>
      </w:pPr>
      <w:rPr>
        <w:rFonts w:hint="eastAsia"/>
      </w:rPr>
    </w:lvl>
  </w:abstractNum>
  <w:abstractNum w:abstractNumId="9">
    <w:nsid w:val="7342A680"/>
    <w:multiLevelType w:val="singleLevel"/>
    <w:tmpl w:val="7342A680"/>
    <w:lvl w:ilvl="0" w:tentative="0">
      <w:start w:val="1"/>
      <w:numFmt w:val="chineseCounting"/>
      <w:suff w:val="nothing"/>
      <w:lvlText w:val="（%1）"/>
      <w:lvlJc w:val="left"/>
      <w:pPr>
        <w:ind w:left="0" w:firstLine="420"/>
      </w:pPr>
      <w:rPr>
        <w:rFonts w:hint="eastAsia"/>
      </w:rPr>
    </w:lvl>
  </w:abstractNum>
  <w:abstractNum w:abstractNumId="10">
    <w:nsid w:val="77B490ED"/>
    <w:multiLevelType w:val="singleLevel"/>
    <w:tmpl w:val="77B490ED"/>
    <w:lvl w:ilvl="0" w:tentative="0">
      <w:start w:val="1"/>
      <w:numFmt w:val="chineseCounting"/>
      <w:suff w:val="nothing"/>
      <w:lvlText w:val="（%1）"/>
      <w:lvlJc w:val="left"/>
      <w:pPr>
        <w:ind w:left="0" w:firstLine="420"/>
      </w:pPr>
      <w:rPr>
        <w:rFonts w:hint="eastAsia"/>
      </w:rPr>
    </w:lvl>
  </w:abstractNum>
  <w:num w:numId="1">
    <w:abstractNumId w:val="2"/>
  </w:num>
  <w:num w:numId="2">
    <w:abstractNumId w:val="1"/>
  </w:num>
  <w:num w:numId="3">
    <w:abstractNumId w:val="4"/>
  </w:num>
  <w:num w:numId="4">
    <w:abstractNumId w:val="10"/>
  </w:num>
  <w:num w:numId="5">
    <w:abstractNumId w:val="8"/>
  </w:num>
  <w:num w:numId="6">
    <w:abstractNumId w:val="5"/>
  </w:num>
  <w:num w:numId="7">
    <w:abstractNumId w:val="7"/>
  </w:num>
  <w:num w:numId="8">
    <w:abstractNumId w:val="6"/>
  </w:num>
  <w:num w:numId="9">
    <w:abstractNumId w:val="9"/>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BC1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style>
  <w:style w:type="paragraph" w:styleId="5">
    <w:name w:val="Body Text"/>
    <w:basedOn w:val="1"/>
    <w:next w:val="1"/>
    <w:qFormat/>
    <w:uiPriority w:val="0"/>
    <w:pPr>
      <w:spacing w:after="120" w:afterLines="0"/>
    </w:pPr>
    <w:rPr>
      <w:rFonts w:ascii="Times New Roman"/>
      <w:kern w:val="2"/>
      <w:sz w:val="21"/>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2025-04-03T07:48:48Z</dcterms:created>
  <dc:creator>Administrator</dc:creator>
  <cp:lastModifiedBy>1</cp:lastModifiedBy>
  <dcterms:modified xsi:type="dcterms:W3CDTF">2025-04-03T07:48:55Z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A529926139174099AA45A113B9E5803A_12</vt:lpwstr>
  </property>
</Properties>
</file>