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版本号：JXRC-25031120250402001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护士节纪念品采购项目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JXRC-250311</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护士节纪念品采购项目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JXRC-250311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护士节纪念品采购项目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“5.12”国际护士节期间为表达对全院护理人员的节日问候与祝福，激发工作积极性、增强归属感，将为全院护士发放护士节纪念品。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采购包1（护士节纪念品采购项目）：属于专门面向中小企业采购。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2、供应商应有良好的财务状况：法人提供会计师事务所出具的完整的2023年度或2024年度审计报告（成立时间至提交响应文件截止时间不足一年的可提供成立后任意时段的资产负债表)，或开标前3个月内其开户银行出具的资信证明，或信用担保机构出具的投标担保函（以上三种形式的资料提供任何一种即可)；其他组织和自然人提供银行出具的资信证明或财务报表；并进行电子签章。</w:t>
      </w:r>
    </w:p>
    <w:p>
      <w:pPr>
        <w:pStyle w:val="null3"/>
      </w:pPr>
      <w:r>
        <w:rPr>
          <w:rFonts w:ascii="仿宋_GB2312" w:hAnsi="仿宋_GB2312" w:cs="仿宋_GB2312" w:eastAsia="仿宋_GB2312"/>
        </w:rPr>
        <w:t>3、供应商应有依法缴纳税收的良好记录：法人提供自2024年1月1日以来至少一个月的纳税证明或完税证明，纳税证明或完税证明上应有代收机构或税务机关的公章或业务专用章；其他组织和自然人提供自2024年1月1日以来至少一个月缴纳税收的凭据；依法免税的供应商应提供相关文件证明。并进行电子签章。</w:t>
      </w:r>
    </w:p>
    <w:p>
      <w:pPr>
        <w:pStyle w:val="null3"/>
      </w:pPr>
      <w:r>
        <w:rPr>
          <w:rFonts w:ascii="仿宋_GB2312" w:hAnsi="仿宋_GB2312" w:cs="仿宋_GB2312" w:eastAsia="仿宋_GB2312"/>
        </w:rPr>
        <w:t>4、供应商应有依法缴纳社会保障资金的良好记录：提供自2024年1月1日以来至少一个月已缴纳的社会保障资金的证明（社会保障资金缴存单据或社保机构开具的社会保险参保缴费情况证明等)；依法不需要缴纳社会保障资金的供应商应提供相关证明文件。并进行电子签章。</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5、法定代表授权书：法定代表人/负责人直接参加的，只须递交《法定代表人/负责人身份证明》；法定代表人/负责人授权代表参加的，须递交《法定代表人/负责人授权书》并进行电子签章。</w:t>
      </w:r>
    </w:p>
    <w:p>
      <w:pPr>
        <w:pStyle w:val="null3"/>
      </w:pPr>
      <w:r>
        <w:rPr>
          <w:rFonts w:ascii="仿宋_GB2312" w:hAnsi="仿宋_GB2312" w:cs="仿宋_GB2312" w:eastAsia="仿宋_GB2312"/>
        </w:rPr>
        <w:t>6、参加本次政府采购活动前三年内，在经营活动中没有重大违法记录：供应商需提供《无重大违法记录声明》完成承诺并进行电子签章。</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曲慧、田颖琦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联系人：曲慧、田颖琦</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tbl>
      <w:tblPr>
        <w:tblW w:w="0" w:type="auto"/>
        <w:tblInd w:type="dxa" w:w="135"/>
        <w:tblBorders>
          <w:top w:val="single"/>
          <w:left w:val="single"/>
          <w:bottom w:val="single"/>
          <w:right w:val="single"/>
          <w:insideH w:val="single"/>
          <w:insideV w:val="single"/>
        </w:tblBorders>
      </w:tblPr>
      <w:tblGrid>
        <w:gridCol w:w="2034"/>
        <w:gridCol w:w="2288"/>
        <w:gridCol w:w="1610"/>
        <w:gridCol w:w="2373"/>
      </w:tblGrid>
      <w:tr>
        <w:tc>
          <w:tcPr>
            <w:tcW w:type="dxa" w:w="203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名 称</w:t>
            </w:r>
          </w:p>
        </w:tc>
        <w:tc>
          <w:tcPr>
            <w:tcW w:type="dxa" w:w="22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人数（人）</w:t>
            </w:r>
          </w:p>
        </w:tc>
        <w:tc>
          <w:tcPr>
            <w:tcW w:type="dxa" w:w="16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单位</w:t>
            </w:r>
          </w:p>
        </w:tc>
        <w:tc>
          <w:tcPr>
            <w:tcW w:type="dxa" w:w="23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数量</w:t>
            </w:r>
          </w:p>
        </w:tc>
      </w:tr>
      <w:tr>
        <w:tc>
          <w:tcPr>
            <w:tcW w:type="dxa" w:w="20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露营车</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960</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件</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8"/>
              </w:rPr>
              <w:t>960</w:t>
            </w:r>
          </w:p>
        </w:tc>
      </w:tr>
    </w:tbl>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384,000.00</w:t>
      </w:r>
    </w:p>
    <w:p>
      <w:pPr>
        <w:pStyle w:val="null3"/>
      </w:pPr>
      <w:r>
        <w:rPr>
          <w:rFonts w:ascii="仿宋_GB2312" w:hAnsi="仿宋_GB2312" w:cs="仿宋_GB2312" w:eastAsia="仿宋_GB2312"/>
        </w:rPr>
        <w:t>采购包最高限价（元）: 384,000.00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露营车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标的名称：露营车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基本要求</w:t>
            </w:r>
          </w:p>
        </w:tc>
        <w:tc>
          <w:tcPr>
            <w:tcW w:type="dxa" w:w="2076"/>
          </w:tcPr>
          <w:p>
            <w:pPr>
              <w:pStyle w:val="null3"/>
            </w:pPr>
            <w:r>
              <w:rPr>
                <w:rFonts w:ascii="仿宋_GB2312" w:hAnsi="仿宋_GB2312" w:cs="仿宋_GB2312" w:eastAsia="仿宋_GB2312"/>
                <w:sz w:val="24"/>
              </w:rPr>
              <w:t>（1）材质：车架采用高强度钢材或铝合金，车身布料为防水耐磨材料（双层牛津布），可拆卸清洗面料，折叠垫板增强承重</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sz w:val="24"/>
              </w:rPr>
              <w:t>（2）承重能力：≥150kg</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sz w:val="24"/>
              </w:rPr>
              <w:t>（3）车轮：四轮设计，加粗越野轮，具备良好的减震功能，适合多种地形，360°万向轮，前轮双刹设计。</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sz w:val="24"/>
              </w:rPr>
              <w:t>（4）折叠功能：聚拢折叠体积小，便于携带和储存</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功能要求</w:t>
            </w:r>
          </w:p>
        </w:tc>
        <w:tc>
          <w:tcPr>
            <w:tcW w:type="dxa" w:w="2076"/>
          </w:tcPr>
          <w:p>
            <w:pPr>
              <w:pStyle w:val="null3"/>
            </w:pPr>
            <w:r>
              <w:rPr>
                <w:rFonts w:ascii="仿宋_GB2312" w:hAnsi="仿宋_GB2312" w:cs="仿宋_GB2312" w:eastAsia="仿宋_GB2312"/>
                <w:sz w:val="24"/>
              </w:rPr>
              <w:t>（1）容量：≥160L</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sz w:val="24"/>
              </w:rPr>
              <w:t>（2）拉杆：多段式拉杆，可调节高度，手柄自动回弹，符合人体工学设计</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sz w:val="24"/>
              </w:rPr>
              <w:t>（3）便携性：自重≤12kg</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外观要求</w:t>
            </w:r>
          </w:p>
        </w:tc>
        <w:tc>
          <w:tcPr>
            <w:tcW w:type="dxa" w:w="2076"/>
          </w:tcPr>
          <w:p>
            <w:pPr>
              <w:pStyle w:val="null3"/>
            </w:pPr>
            <w:r>
              <w:rPr>
                <w:rFonts w:ascii="仿宋_GB2312" w:hAnsi="仿宋_GB2312" w:cs="仿宋_GB2312" w:eastAsia="仿宋_GB2312"/>
                <w:sz w:val="24"/>
              </w:rPr>
              <w:t>颜色：可提供多种选择</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接采购人通知后10个日历日内完成全部项目内容，并交付采购人验收合格,各供应商自报最短供货期。</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全部露营车到达采购人指定地点并验收合格后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从验收合格之日起满3个月后，如无质量等问题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质量验收标准或规范：参考行业标准，能够长期正常使用。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成交供应商自行选择，但包装必须符合国家标准或行业标准，满足航空、铁路或公路运输以及货物装卸要求，保证采购人收到的是无任何损伤的货物。否则，因此造成的损失由成交供应商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现行的国家标准或国家行政部门颁布的法律法规、规章制度等，是项目验收的另一个重要依据。没有国家标准的，可以参考行业标准。2、质保期：≥1年，如遇关键部分损坏，须整车更换。3、维修服务：提供全国范围内的维修服务网点。4、配件供应：确保常用配件的长期供应。</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成交供应商所交付货物不符合其投标承诺，存在偷工减料、以次充好情形的，采购人要求更换一次后仍不符合约定的，采购人有权解除采购合同，并将有关情况上报政府采购监管部门处理。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完整的2023年度或者2024年度审计报告（成立时间至提交响应文件截止时间不足一年的可提供成立后任意时段的资产负债表)，或开标前3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2023年度或2024年度审计报告（成立时间至提交响应文件截止时间不足一年的可提供成立后任意时段的资产负债表)，或开标前3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2024年1月1日以来至少一个月的纳税证明或完税证明，纳税证明或完税证明上应有代收机构或税务机关的公章或业务专用章；其他组织和自然人提供自2024年1月1日以来至少一个月缴纳税收的凭据；依法免税的供应商应提供相关文件证明。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2024年1月1日以来至少一个月已缴纳的社会保障资金的证明（社会保障资金缴存单据或社保机构开具的社会保险参保缴费情况证明等)；依法不需要缴纳社会保障资金的供应商应提供相关证明文件。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供应商需提供《具有履行合同所必需的设备和专业技术能力的承诺书》完成承诺并进行电子签章。</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商务响应偏离表 投标方案 技术响应偏离表 中小企业声明函 报价表 供应商业绩 响应文件封面 其他材料 残疾人福利性单位声明函 供应商基本信息及企业关联关系说明书 标的清单 供应商承诺书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商务要求响应（实质性要求）</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供应商须提供承诺书（格式见响应文件格式附件）</w:t>
            </w:r>
          </w:p>
        </w:tc>
        <w:tc>
          <w:tcPr>
            <w:tcW w:type="dxa" w:w="1661"/>
          </w:tcPr>
          <w:p>
            <w:pPr>
              <w:pStyle w:val="null3"/>
            </w:pPr>
            <w:r>
              <w:rPr>
                <w:rFonts w:ascii="仿宋_GB2312" w:hAnsi="仿宋_GB2312" w:cs="仿宋_GB2312" w:eastAsia="仿宋_GB2312"/>
              </w:rPr>
              <w:t>供应商承诺书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供应商必须满足采购文件的其他实质性要求</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所投产品的技术参数完全符合、响应采购文件要求，没有负偏离计16分；技术参数每负偏离一项扣2分，扣完为止； 备注：供应商应尽可能多的提供佐证材料（佐证材料包括但不限于产品彩页、说明书等）以证明其技术参数的响应性。</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三、赋分依据（满分12分） 上述2项评审内容全部满足评审标准得12分；每有一个评审内容缺项扣6分，扣完为止；每有一项评审内容存在缺陷，扣（0-6）分。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供应商针对本项目提供完整的项目实施方案。内容包含：①实施计划及进度计划②供货组织安排、物力调配及保障措施。 二、评审标准 1、完整性：方案须全面，对评审内容中的各项要求描述详细； 2、可实施性：切合本项目实际情况，实施步骤清晰、合理； 3、针对性：方案能够紧扣项目实际情况，内容科学合理。 三、赋分依据（满分10分） 上述2项评审内容全部满足评审标准得10分；每有一个评审内容缺项扣5分，扣完为止；每有一项评审内容存在缺陷，扣（0-5）分。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供应商提供所投产品露营车作为样品。 评标委员会根据样品的外观结构、颜色搭配、功能、车轮、布料的材质、车架结构材质、容量、安全性等内容进行综合评审。 1、产品表面无划痕、掉漆，色彩搭配具有吸引力，具有创新性，布料材质耐磨、耐用，车架结构坚韧稳固、材质轻量化、耐腐蚀，容量优于采购人要求，安全系数高得15分； 2、产品表面无划痕、掉漆，色彩搭配效果相对较弱，创新性一般，布料材质一般，车架结构轻量化、耐腐蚀，容量优于采购人要求，安全系数一般得12分； 3、产品表面有少量划痕、掉漆，色彩搭配普通，创新性较弱，布料材质一般，车架结构材质高强度和耐腐蚀，自重相对较重，容量符合采购人要求得9分； 4、产品表面有明显划痕、掉漆，生锈现象，功能较少、材质一般，容量符合采购人要求，车架结构稳固性一般得6分； 5、产品表面有大量划痕、掉漆，生锈现象，功能较少、材质较差，容量低于采购人要求，车架结构稳固性差得3分； 未提供不得分。 注：样品提交地点: 西安市南稍门十字东南角大话南门壹中心18层1806室; 提交时间：同响应文件递交截止时间。 样品退还方式：无效供应商样品开标当天退还；未成交供应商样品在中标公告发出后五个工作日内自行领取，如未在规定时间内领取样品，否则样品由采购代理机构代为处理，后期不得有任何异议；成交供应商样品在全部产品验收合格后由采购人退还。</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提供供应商2022年1月1日至今同类产品项目合同，每提供1个计2分，最高得10分。（以合同签订日期为准） 备注：响应文件中提供完整的合同复印件加盖公章。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三、赋分依据（满分7分） 上述2项评审内容全部满足评审标准得7分；每有一个评审内容缺项扣3.5分，扣完为止；每有一项评审内容存在缺陷，扣（0-3.5）分。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供应商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详见附件：供应商基本信息及企业关联关系说明书</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