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DAA3F">
      <w:pPr>
        <w:ind w:firstLine="0" w:firstLineChars="0"/>
        <w:rPr>
          <w:rFonts w:hint="eastAsia"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0613A8BE">
      <w:pPr>
        <w:ind w:firstLine="480"/>
        <w:rPr>
          <w:rFonts w:hint="eastAsia" w:ascii="宋体" w:hAnsi="宋体" w:eastAsia="宋体" w:cs="宋体"/>
        </w:rPr>
      </w:pPr>
    </w:p>
    <w:p w14:paraId="26E29EA9">
      <w:pPr>
        <w:ind w:firstLine="480"/>
        <w:rPr>
          <w:rFonts w:hint="eastAsia" w:ascii="宋体" w:hAnsi="宋体" w:eastAsia="宋体" w:cs="宋体"/>
        </w:rPr>
      </w:pPr>
      <w:r>
        <w:rPr>
          <w:rFonts w:hint="eastAsia" w:ascii="宋体" w:hAnsi="宋体" w:eastAsia="宋体" w:cs="宋体"/>
        </w:rPr>
        <w:br w:type="page"/>
      </w:r>
    </w:p>
    <w:p w14:paraId="51903B7C">
      <w:pPr>
        <w:keepNext w:val="0"/>
        <w:keepLines w:val="0"/>
        <w:shd w:val="clear" w:color="auto" w:fill="auto"/>
        <w:bidi w:val="0"/>
        <w:spacing w:before="0" w:after="0" w:line="240" w:lineRule="auto"/>
        <w:ind w:left="0" w:right="0" w:firstLine="0" w:firstLineChars="0"/>
        <w:jc w:val="left"/>
        <w:rPr>
          <w:rFonts w:hint="eastAsia" w:ascii="宋体" w:hAnsi="宋体" w:eastAsia="宋体" w:cs="宋体"/>
          <w:color w:val="000000"/>
          <w:spacing w:val="0"/>
          <w:w w:val="100"/>
          <w:kern w:val="0"/>
          <w:position w:val="0"/>
          <w:sz w:val="28"/>
          <w:szCs w:val="28"/>
          <w:shd w:val="clear" w:color="auto" w:fill="auto"/>
          <w:lang w:val="en-US" w:eastAsia="zh-CN" w:bidi="en-US"/>
        </w:rPr>
      </w:pPr>
      <w:r>
        <w:rPr>
          <w:rFonts w:hint="eastAsia" w:ascii="宋体" w:hAnsi="宋体" w:eastAsia="宋体" w:cs="宋体"/>
          <w:b/>
          <w:bCs/>
          <w:color w:val="000000"/>
          <w:spacing w:val="0"/>
          <w:w w:val="100"/>
          <w:kern w:val="0"/>
          <w:position w:val="0"/>
          <w:sz w:val="28"/>
          <w:szCs w:val="28"/>
          <w:shd w:val="clear" w:color="auto" w:fill="auto"/>
          <w:lang w:val="en-US" w:eastAsia="zh-CN" w:bidi="en-US"/>
        </w:rPr>
        <w:t xml:space="preserve">政府采购项目 </w:t>
      </w:r>
      <w:r>
        <w:rPr>
          <w:rFonts w:hint="eastAsia" w:ascii="宋体" w:hAnsi="宋体" w:eastAsia="宋体" w:cs="宋体"/>
          <w:color w:val="000000"/>
          <w:spacing w:val="0"/>
          <w:w w:val="100"/>
          <w:kern w:val="0"/>
          <w:position w:val="0"/>
          <w:sz w:val="28"/>
          <w:szCs w:val="28"/>
          <w:shd w:val="clear" w:color="auto" w:fill="auto"/>
          <w:lang w:val="en-US" w:eastAsia="zh-CN" w:bidi="en-US"/>
        </w:rPr>
        <w:t xml:space="preserve">                                 </w:t>
      </w:r>
      <w:r>
        <w:rPr>
          <w:rFonts w:hint="eastAsia" w:ascii="宋体" w:hAnsi="宋体" w:eastAsia="宋体" w:cs="宋体"/>
          <w:b/>
          <w:bCs/>
          <w:color w:val="000000"/>
          <w:spacing w:val="0"/>
          <w:w w:val="100"/>
          <w:kern w:val="0"/>
          <w:position w:val="0"/>
          <w:sz w:val="28"/>
          <w:szCs w:val="28"/>
          <w:bdr w:val="single" w:color="000000" w:sz="4" w:space="0"/>
          <w:shd w:val="clear" w:color="auto" w:fill="auto"/>
          <w:lang w:val="en-US" w:eastAsia="zh-CN" w:bidi="en-US"/>
        </w:rPr>
        <w:t>竞争性谈判</w:t>
      </w:r>
    </w:p>
    <w:p w14:paraId="6E01C079">
      <w:pPr>
        <w:ind w:firstLine="482"/>
        <w:jc w:val="right"/>
        <w:rPr>
          <w:rFonts w:hint="eastAsia" w:ascii="宋体" w:hAnsi="宋体" w:eastAsia="宋体" w:cs="宋体"/>
          <w:b/>
        </w:rPr>
      </w:pPr>
    </w:p>
    <w:p w14:paraId="4945FEF0">
      <w:pPr>
        <w:keepNext/>
        <w:keepLines/>
        <w:widowControl w:val="0"/>
        <w:shd w:val="clear" w:color="auto" w:fill="auto"/>
        <w:bidi w:val="0"/>
        <w:spacing w:before="0" w:after="120" w:line="1133" w:lineRule="exact"/>
        <w:ind w:left="0" w:leftChars="0" w:right="0" w:firstLine="0" w:firstLineChars="0"/>
        <w:jc w:val="both"/>
        <w:outlineLvl w:val="0"/>
        <w:rPr>
          <w:rFonts w:hint="eastAsia" w:ascii="宋体" w:hAnsi="宋体" w:eastAsia="宋体" w:cs="宋体"/>
          <w:b/>
          <w:bCs/>
          <w:color w:val="auto"/>
          <w:spacing w:val="0"/>
          <w:w w:val="100"/>
          <w:position w:val="0"/>
          <w:sz w:val="52"/>
          <w:szCs w:val="52"/>
          <w:u w:val="none"/>
          <w:shd w:val="clear" w:color="auto" w:fill="auto"/>
          <w:lang w:val="en-US" w:eastAsia="en-US" w:bidi="en-US"/>
        </w:rPr>
      </w:pPr>
      <w:bookmarkStart w:id="0" w:name="bookmark1"/>
      <w:bookmarkStart w:id="1" w:name="bookmark0"/>
      <w:bookmarkStart w:id="2" w:name="bookmark2"/>
    </w:p>
    <w:p w14:paraId="76033715">
      <w:pPr>
        <w:keepNext/>
        <w:keepLines/>
        <w:widowControl w:val="0"/>
        <w:shd w:val="clear" w:color="auto" w:fill="auto"/>
        <w:bidi w:val="0"/>
        <w:spacing w:before="0" w:after="120" w:line="1133" w:lineRule="exact"/>
        <w:ind w:left="0" w:leftChars="0" w:right="0" w:firstLine="0" w:firstLineChars="0"/>
        <w:jc w:val="center"/>
        <w:outlineLvl w:val="0"/>
        <w:rPr>
          <w:rFonts w:hint="eastAsia" w:ascii="宋体" w:hAnsi="宋体" w:eastAsia="宋体" w:cs="宋体"/>
          <w:b/>
          <w:bCs/>
          <w:color w:val="auto"/>
          <w:spacing w:val="0"/>
          <w:w w:val="100"/>
          <w:position w:val="0"/>
          <w:sz w:val="52"/>
          <w:szCs w:val="52"/>
          <w:u w:val="none"/>
          <w:shd w:val="clear" w:color="auto" w:fill="auto"/>
          <w:lang w:val="en-US" w:eastAsia="zh-CN" w:bidi="en-US"/>
        </w:rPr>
      </w:pPr>
      <w:r>
        <w:rPr>
          <w:rFonts w:hint="eastAsia" w:ascii="宋体" w:hAnsi="宋体" w:eastAsia="宋体" w:cs="宋体"/>
          <w:b/>
          <w:bCs/>
          <w:color w:val="auto"/>
          <w:spacing w:val="0"/>
          <w:w w:val="100"/>
          <w:position w:val="0"/>
          <w:sz w:val="52"/>
          <w:szCs w:val="52"/>
          <w:u w:val="none"/>
          <w:shd w:val="clear" w:color="auto" w:fill="auto"/>
          <w:lang w:val="en-US" w:eastAsia="zh-CN" w:bidi="en-US"/>
        </w:rPr>
        <w:t>2025年特种设备检验检测专业设备购置项目</w:t>
      </w:r>
    </w:p>
    <w:p w14:paraId="47745480">
      <w:pPr>
        <w:keepNext/>
        <w:keepLines/>
        <w:widowControl w:val="0"/>
        <w:shd w:val="clear" w:color="auto" w:fill="auto"/>
        <w:bidi w:val="0"/>
        <w:spacing w:before="0" w:after="120" w:line="1133" w:lineRule="exact"/>
        <w:ind w:left="0" w:leftChars="0" w:right="0" w:firstLine="0" w:firstLineChars="0"/>
        <w:jc w:val="center"/>
        <w:outlineLvl w:val="0"/>
        <w:rPr>
          <w:rFonts w:hint="eastAsia" w:ascii="宋体" w:hAnsi="宋体" w:eastAsia="宋体" w:cs="宋体"/>
          <w:b/>
          <w:bCs/>
          <w:color w:val="auto"/>
          <w:spacing w:val="0"/>
          <w:w w:val="100"/>
          <w:position w:val="0"/>
          <w:sz w:val="52"/>
          <w:szCs w:val="52"/>
          <w:u w:val="none"/>
          <w:shd w:val="clear" w:color="auto" w:fill="auto"/>
          <w:lang w:val="en-US" w:eastAsia="zh-CN" w:bidi="en-US"/>
        </w:rPr>
      </w:pPr>
    </w:p>
    <w:p w14:paraId="69860B1E">
      <w:pPr>
        <w:keepNext/>
        <w:keepLines/>
        <w:widowControl w:val="0"/>
        <w:shd w:val="clear" w:color="auto" w:fill="auto"/>
        <w:bidi w:val="0"/>
        <w:spacing w:before="0" w:after="120" w:line="1133" w:lineRule="exact"/>
        <w:ind w:left="0" w:right="0" w:firstLine="3654" w:firstLineChars="700"/>
        <w:jc w:val="both"/>
        <w:outlineLvl w:val="0"/>
        <w:rPr>
          <w:rFonts w:hint="eastAsia" w:ascii="宋体" w:hAnsi="宋体" w:eastAsia="宋体" w:cs="宋体"/>
          <w:b/>
          <w:bCs/>
          <w:color w:val="auto"/>
          <w:spacing w:val="0"/>
          <w:w w:val="100"/>
          <w:position w:val="0"/>
          <w:sz w:val="52"/>
          <w:szCs w:val="52"/>
          <w:u w:val="none"/>
          <w:shd w:val="clear" w:color="auto" w:fill="auto"/>
          <w:lang w:val="zh-TW" w:eastAsia="zh-TW" w:bidi="zh-TW"/>
        </w:rPr>
      </w:pPr>
      <w:r>
        <w:rPr>
          <w:rFonts w:hint="eastAsia" w:ascii="宋体" w:hAnsi="宋体" w:eastAsia="宋体" w:cs="宋体"/>
          <w:b/>
          <w:bCs/>
          <w:color w:val="auto"/>
          <w:spacing w:val="0"/>
          <w:w w:val="100"/>
          <w:position w:val="0"/>
          <w:sz w:val="52"/>
          <w:szCs w:val="52"/>
          <w:u w:val="none"/>
          <w:shd w:val="clear" w:color="auto" w:fill="auto"/>
          <w:lang w:val="zh-TW" w:eastAsia="zh-TW" w:bidi="zh-TW"/>
        </w:rPr>
        <w:t>供货合同</w:t>
      </w:r>
      <w:bookmarkEnd w:id="0"/>
      <w:bookmarkEnd w:id="1"/>
      <w:bookmarkEnd w:id="2"/>
    </w:p>
    <w:p w14:paraId="28E78C32">
      <w:pPr>
        <w:keepNext w:val="0"/>
        <w:keepLines w:val="0"/>
        <w:widowControl w:val="0"/>
        <w:shd w:val="clear" w:color="auto" w:fill="auto"/>
        <w:bidi w:val="0"/>
        <w:spacing w:before="0" w:after="120" w:line="240" w:lineRule="auto"/>
        <w:ind w:left="0" w:right="0" w:firstLine="2700" w:firstLineChars="900"/>
        <w:jc w:val="both"/>
        <w:rPr>
          <w:rFonts w:hint="eastAsia" w:ascii="宋体" w:hAnsi="宋体" w:eastAsia="宋体" w:cs="宋体"/>
          <w:color w:val="auto"/>
          <w:spacing w:val="0"/>
          <w:w w:val="100"/>
          <w:position w:val="0"/>
          <w:sz w:val="30"/>
          <w:szCs w:val="30"/>
          <w:u w:val="none"/>
          <w:shd w:val="clear" w:color="auto" w:fill="auto"/>
          <w:lang w:val="en-US" w:eastAsia="en-US" w:bidi="en-US"/>
        </w:rPr>
      </w:pPr>
      <w:r>
        <w:rPr>
          <w:rFonts w:hint="eastAsia" w:ascii="宋体" w:hAnsi="宋体" w:eastAsia="宋体" w:cs="宋体"/>
          <w:color w:val="auto"/>
          <w:spacing w:val="0"/>
          <w:w w:val="100"/>
          <w:position w:val="0"/>
          <w:sz w:val="30"/>
          <w:szCs w:val="30"/>
          <w:u w:val="none"/>
          <w:shd w:val="clear" w:color="auto" w:fill="auto"/>
          <w:lang w:val="zh-TW" w:eastAsia="zh-TW" w:bidi="zh-TW"/>
        </w:rPr>
        <w:t>（编号：</w:t>
      </w:r>
      <w:r>
        <w:rPr>
          <w:rFonts w:hint="eastAsia" w:ascii="宋体" w:hAnsi="宋体" w:eastAsia="宋体" w:cs="宋体"/>
          <w:color w:val="auto"/>
          <w:spacing w:val="0"/>
          <w:w w:val="100"/>
          <w:position w:val="0"/>
          <w:sz w:val="30"/>
          <w:szCs w:val="30"/>
          <w:u w:val="none"/>
          <w:shd w:val="clear" w:color="auto" w:fill="auto"/>
          <w:lang w:val="en-US" w:eastAsia="zh-CN" w:bidi="zh-TW"/>
        </w:rPr>
        <w:t>HYTH-202504023</w:t>
      </w:r>
      <w:r>
        <w:rPr>
          <w:rFonts w:hint="eastAsia" w:ascii="宋体" w:hAnsi="宋体" w:eastAsia="宋体" w:cs="宋体"/>
          <w:color w:val="auto"/>
          <w:spacing w:val="0"/>
          <w:w w:val="100"/>
          <w:position w:val="0"/>
          <w:sz w:val="30"/>
          <w:szCs w:val="30"/>
          <w:u w:val="none"/>
          <w:shd w:val="clear" w:color="auto" w:fill="auto"/>
          <w:lang w:val="en-US" w:eastAsia="en-US" w:bidi="en-US"/>
        </w:rPr>
        <w:t>）</w:t>
      </w:r>
    </w:p>
    <w:p w14:paraId="448F902E">
      <w:pPr>
        <w:keepNext w:val="0"/>
        <w:keepLines w:val="0"/>
        <w:widowControl w:val="0"/>
        <w:shd w:val="clear" w:color="auto" w:fill="auto"/>
        <w:bidi w:val="0"/>
        <w:spacing w:before="0" w:after="0" w:line="499" w:lineRule="exact"/>
        <w:ind w:left="0" w:right="0" w:firstLine="0"/>
        <w:jc w:val="both"/>
        <w:rPr>
          <w:rFonts w:hint="eastAsia" w:ascii="宋体" w:hAnsi="宋体" w:eastAsia="宋体" w:cs="宋体"/>
          <w:color w:val="auto"/>
          <w:spacing w:val="0"/>
          <w:w w:val="100"/>
          <w:position w:val="0"/>
          <w:sz w:val="30"/>
          <w:szCs w:val="30"/>
          <w:u w:val="none"/>
          <w:shd w:val="clear" w:color="auto" w:fill="auto"/>
          <w:lang w:val="zh-TW" w:eastAsia="zh-TW" w:bidi="zh-TW"/>
        </w:rPr>
      </w:pPr>
    </w:p>
    <w:p w14:paraId="334102D5">
      <w:pPr>
        <w:keepNext w:val="0"/>
        <w:keepLines w:val="0"/>
        <w:widowControl w:val="0"/>
        <w:shd w:val="clear" w:color="auto" w:fill="auto"/>
        <w:bidi w:val="0"/>
        <w:spacing w:before="0" w:after="0" w:line="499" w:lineRule="exact"/>
        <w:ind w:left="0" w:leftChars="0" w:right="0" w:firstLine="0" w:firstLineChars="0"/>
        <w:jc w:val="both"/>
        <w:rPr>
          <w:rFonts w:hint="eastAsia" w:ascii="宋体" w:hAnsi="宋体" w:eastAsia="宋体" w:cs="宋体"/>
          <w:color w:val="auto"/>
          <w:spacing w:val="0"/>
          <w:w w:val="100"/>
          <w:position w:val="0"/>
          <w:sz w:val="30"/>
          <w:szCs w:val="30"/>
          <w:highlight w:val="none"/>
          <w:u w:val="none"/>
          <w:shd w:val="clear" w:color="auto" w:fill="auto"/>
          <w:lang w:val="zh-TW" w:eastAsia="zh-TW" w:bidi="zh-TW"/>
        </w:rPr>
      </w:pPr>
    </w:p>
    <w:p w14:paraId="378A22EA">
      <w:pPr>
        <w:keepNext w:val="0"/>
        <w:keepLines w:val="0"/>
        <w:widowControl w:val="0"/>
        <w:shd w:val="clear" w:color="auto" w:fill="auto"/>
        <w:bidi w:val="0"/>
        <w:spacing w:before="0" w:after="0" w:line="499" w:lineRule="exact"/>
        <w:ind w:left="0" w:right="0" w:firstLine="0"/>
        <w:jc w:val="both"/>
        <w:rPr>
          <w:rFonts w:hint="eastAsia" w:ascii="宋体" w:hAnsi="宋体" w:eastAsia="宋体" w:cs="宋体"/>
          <w:color w:val="auto"/>
          <w:spacing w:val="0"/>
          <w:w w:val="100"/>
          <w:position w:val="0"/>
          <w:sz w:val="30"/>
          <w:szCs w:val="30"/>
          <w:highlight w:val="none"/>
          <w:u w:val="none"/>
          <w:shd w:val="clear" w:color="auto" w:fill="auto"/>
          <w:lang w:val="zh-TW" w:eastAsia="zh-TW" w:bidi="zh-TW"/>
        </w:rPr>
      </w:pPr>
    </w:p>
    <w:p w14:paraId="388BC8A0">
      <w:pPr>
        <w:keepNext w:val="0"/>
        <w:keepLines w:val="0"/>
        <w:widowControl w:val="0"/>
        <w:shd w:val="clear" w:color="auto" w:fill="auto"/>
        <w:bidi w:val="0"/>
        <w:spacing w:before="0" w:after="0" w:line="499" w:lineRule="exact"/>
        <w:ind w:left="3084" w:leftChars="700" w:right="0" w:hanging="1614" w:hangingChars="538"/>
        <w:jc w:val="both"/>
        <w:rPr>
          <w:rFonts w:hint="eastAsia" w:ascii="宋体" w:hAnsi="宋体" w:eastAsia="宋体" w:cs="宋体"/>
          <w:color w:val="auto"/>
          <w:spacing w:val="0"/>
          <w:w w:val="100"/>
          <w:position w:val="0"/>
          <w:sz w:val="30"/>
          <w:szCs w:val="30"/>
          <w:highlight w:val="none"/>
          <w:u w:val="none"/>
          <w:shd w:val="clear" w:color="auto" w:fill="auto"/>
          <w:lang w:val="en-US" w:eastAsia="zh-CN" w:bidi="en-US"/>
        </w:rPr>
      </w:pPr>
      <w:r>
        <w:rPr>
          <w:rFonts w:hint="eastAsia" w:ascii="宋体" w:hAnsi="宋体" w:eastAsia="宋体" w:cs="宋体"/>
          <w:color w:val="auto"/>
          <w:spacing w:val="0"/>
          <w:w w:val="100"/>
          <w:position w:val="0"/>
          <w:sz w:val="30"/>
          <w:szCs w:val="30"/>
          <w:highlight w:val="none"/>
          <w:u w:val="none"/>
          <w:shd w:val="clear" w:color="auto" w:fill="auto"/>
          <w:lang w:val="zh-TW" w:eastAsia="zh-TW" w:bidi="zh-TW"/>
        </w:rPr>
        <w:t>甲方：</w:t>
      </w:r>
      <w:r>
        <w:rPr>
          <w:rFonts w:hint="eastAsia" w:ascii="宋体" w:hAnsi="宋体" w:eastAsia="宋体" w:cs="宋体"/>
          <w:color w:val="auto"/>
          <w:spacing w:val="0"/>
          <w:w w:val="100"/>
          <w:position w:val="0"/>
          <w:sz w:val="30"/>
          <w:szCs w:val="30"/>
          <w:highlight w:val="none"/>
          <w:u w:val="none"/>
          <w:shd w:val="clear" w:color="auto" w:fill="auto"/>
          <w:lang w:val="en-US" w:eastAsia="zh-CN" w:bidi="en-US"/>
        </w:rPr>
        <w:t>西安特种设备检验检测院</w:t>
      </w:r>
    </w:p>
    <w:p w14:paraId="76DE4B02">
      <w:pPr>
        <w:keepNext w:val="0"/>
        <w:keepLines w:val="0"/>
        <w:widowControl w:val="0"/>
        <w:shd w:val="clear" w:color="auto" w:fill="auto"/>
        <w:bidi w:val="0"/>
        <w:spacing w:before="0" w:after="0" w:line="499" w:lineRule="exact"/>
        <w:ind w:left="3084" w:leftChars="700" w:right="0" w:hanging="1614" w:hangingChars="538"/>
        <w:jc w:val="both"/>
        <w:rPr>
          <w:rFonts w:hint="eastAsia" w:ascii="宋体" w:hAnsi="宋体" w:eastAsia="宋体" w:cs="宋体"/>
          <w:color w:val="auto"/>
          <w:spacing w:val="0"/>
          <w:w w:val="100"/>
          <w:position w:val="0"/>
          <w:sz w:val="30"/>
          <w:szCs w:val="30"/>
          <w:highlight w:val="none"/>
          <w:u w:val="none"/>
          <w:shd w:val="clear" w:color="auto" w:fill="auto"/>
          <w:lang w:val="en-US" w:eastAsia="zh-CN" w:bidi="en-US"/>
        </w:rPr>
      </w:pPr>
      <w:r>
        <w:rPr>
          <w:rFonts w:hint="eastAsia" w:ascii="宋体" w:hAnsi="宋体" w:eastAsia="宋体" w:cs="宋体"/>
          <w:color w:val="auto"/>
          <w:spacing w:val="0"/>
          <w:w w:val="100"/>
          <w:position w:val="0"/>
          <w:sz w:val="30"/>
          <w:szCs w:val="30"/>
          <w:highlight w:val="none"/>
          <w:u w:val="none"/>
          <w:shd w:val="clear" w:color="auto" w:fill="auto"/>
          <w:lang w:val="zh-TW" w:eastAsia="zh-TW" w:bidi="zh-TW"/>
        </w:rPr>
        <w:t>乙方:</w:t>
      </w:r>
      <w:r>
        <w:rPr>
          <w:rFonts w:hint="eastAsia" w:ascii="宋体" w:hAnsi="宋体" w:eastAsia="宋体" w:cs="宋体"/>
          <w:color w:val="auto"/>
          <w:spacing w:val="0"/>
          <w:w w:val="100"/>
          <w:position w:val="0"/>
          <w:sz w:val="30"/>
          <w:szCs w:val="30"/>
          <w:highlight w:val="none"/>
          <w:u w:val="none"/>
          <w:shd w:val="clear" w:color="auto" w:fill="auto"/>
          <w:lang w:val="en-US" w:eastAsia="zh-CN" w:bidi="zh-TW"/>
        </w:rPr>
        <w:t xml:space="preserve">                                 </w:t>
      </w:r>
    </w:p>
    <w:p w14:paraId="122FC326">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00" w:firstLineChars="200"/>
        <w:jc w:val="left"/>
        <w:textAlignment w:val="auto"/>
        <w:rPr>
          <w:rFonts w:hint="eastAsia" w:ascii="宋体" w:hAnsi="宋体" w:eastAsia="宋体" w:cs="宋体"/>
          <w:color w:val="auto"/>
          <w:spacing w:val="0"/>
          <w:w w:val="100"/>
          <w:position w:val="0"/>
          <w:sz w:val="30"/>
          <w:szCs w:val="30"/>
          <w:highlight w:val="none"/>
          <w:u w:val="none"/>
          <w:shd w:val="clear" w:color="auto" w:fill="auto"/>
          <w:lang w:val="zh-TW" w:eastAsia="zh-TW" w:bidi="en-US"/>
        </w:rPr>
      </w:pPr>
      <w:r>
        <w:rPr>
          <w:rFonts w:hint="eastAsia" w:ascii="宋体" w:hAnsi="宋体" w:eastAsia="宋体" w:cs="宋体"/>
          <w:color w:val="auto"/>
          <w:spacing w:val="0"/>
          <w:w w:val="100"/>
          <w:position w:val="0"/>
          <w:sz w:val="30"/>
          <w:szCs w:val="30"/>
          <w:highlight w:val="none"/>
          <w:u w:val="none"/>
          <w:shd w:val="clear" w:color="auto" w:fill="auto"/>
          <w:lang w:val="en-US" w:eastAsia="zh-CN" w:bidi="en-US"/>
        </w:rPr>
        <w:t xml:space="preserve">      </w:t>
      </w:r>
      <w:r>
        <w:rPr>
          <w:rFonts w:hint="eastAsia" w:ascii="宋体" w:hAnsi="宋体" w:eastAsia="宋体" w:cs="宋体"/>
          <w:color w:val="auto"/>
          <w:spacing w:val="0"/>
          <w:w w:val="100"/>
          <w:position w:val="0"/>
          <w:sz w:val="30"/>
          <w:szCs w:val="30"/>
          <w:highlight w:val="none"/>
          <w:u w:val="none"/>
          <w:shd w:val="clear" w:color="auto" w:fill="auto"/>
          <w:lang w:val="zh-TW" w:eastAsia="zh-TW" w:bidi="en-US"/>
        </w:rPr>
        <w:t>鉴证方：</w:t>
      </w:r>
      <w:r>
        <w:rPr>
          <w:rFonts w:hint="eastAsia" w:ascii="宋体" w:hAnsi="宋体" w:eastAsia="宋体" w:cs="宋体"/>
          <w:color w:val="auto"/>
          <w:spacing w:val="0"/>
          <w:w w:val="100"/>
          <w:position w:val="0"/>
          <w:sz w:val="30"/>
          <w:szCs w:val="30"/>
          <w:highlight w:val="none"/>
          <w:u w:val="none"/>
          <w:shd w:val="clear" w:color="auto" w:fill="auto"/>
          <w:lang w:val="en-US" w:eastAsia="zh-CN" w:bidi="en-US"/>
        </w:rPr>
        <w:t>陕西四方衡裕项目管理有限公司</w:t>
      </w:r>
    </w:p>
    <w:p w14:paraId="5DCF472F">
      <w:pPr>
        <w:keepNext w:val="0"/>
        <w:keepLines w:val="0"/>
        <w:widowControl w:val="0"/>
        <w:shd w:val="clear" w:color="auto" w:fill="auto"/>
        <w:bidi w:val="0"/>
        <w:spacing w:before="0" w:after="0" w:line="348" w:lineRule="auto"/>
        <w:ind w:left="0" w:right="0" w:firstLine="0"/>
        <w:jc w:val="both"/>
        <w:rPr>
          <w:rFonts w:hint="default" w:ascii="宋体" w:hAnsi="宋体" w:eastAsia="宋体" w:cs="宋体"/>
          <w:color w:val="auto"/>
          <w:spacing w:val="0"/>
          <w:w w:val="100"/>
          <w:position w:val="0"/>
          <w:sz w:val="30"/>
          <w:szCs w:val="30"/>
          <w:highlight w:val="none"/>
          <w:u w:val="none"/>
          <w:shd w:val="clear" w:color="auto" w:fill="auto"/>
          <w:lang w:val="en-US" w:eastAsia="zh-CN" w:bidi="en-US"/>
        </w:rPr>
      </w:pPr>
    </w:p>
    <w:p w14:paraId="60C0A28E">
      <w:pPr>
        <w:keepNext w:val="0"/>
        <w:keepLines w:val="0"/>
        <w:widowControl w:val="0"/>
        <w:shd w:val="clear" w:color="auto" w:fill="auto"/>
        <w:bidi w:val="0"/>
        <w:spacing w:before="0" w:after="0" w:line="348" w:lineRule="auto"/>
        <w:ind w:left="0" w:right="0" w:firstLine="0"/>
        <w:jc w:val="center"/>
        <w:rPr>
          <w:rFonts w:hint="eastAsia" w:ascii="宋体" w:hAnsi="宋体" w:eastAsia="宋体" w:cs="宋体"/>
          <w:color w:val="auto"/>
          <w:spacing w:val="0"/>
          <w:w w:val="100"/>
          <w:position w:val="0"/>
          <w:sz w:val="30"/>
          <w:szCs w:val="30"/>
          <w:highlight w:val="none"/>
          <w:u w:val="none"/>
          <w:shd w:val="clear" w:color="auto" w:fill="auto"/>
          <w:lang w:val="en-US" w:eastAsia="en-US" w:bidi="en-US"/>
        </w:rPr>
      </w:pPr>
      <w:r>
        <w:rPr>
          <w:rFonts w:hint="eastAsia" w:ascii="宋体" w:hAnsi="宋体" w:eastAsia="宋体" w:cs="宋体"/>
          <w:color w:val="auto"/>
          <w:spacing w:val="0"/>
          <w:w w:val="100"/>
          <w:position w:val="0"/>
          <w:sz w:val="30"/>
          <w:szCs w:val="30"/>
          <w:highlight w:val="none"/>
          <w:u w:val="none"/>
          <w:shd w:val="clear" w:color="auto" w:fill="auto"/>
          <w:lang w:val="en-US" w:eastAsia="en-US" w:bidi="en-US"/>
        </w:rPr>
        <w:t>202</w:t>
      </w:r>
      <w:r>
        <w:rPr>
          <w:rFonts w:hint="eastAsia" w:ascii="宋体" w:hAnsi="宋体" w:eastAsia="宋体" w:cs="宋体"/>
          <w:color w:val="auto"/>
          <w:spacing w:val="0"/>
          <w:w w:val="100"/>
          <w:position w:val="0"/>
          <w:sz w:val="30"/>
          <w:szCs w:val="30"/>
          <w:highlight w:val="none"/>
          <w:u w:val="none"/>
          <w:shd w:val="clear" w:color="auto" w:fill="auto"/>
          <w:lang w:val="en-US" w:eastAsia="zh-CN" w:bidi="en-US"/>
        </w:rPr>
        <w:t>5</w:t>
      </w:r>
      <w:r>
        <w:rPr>
          <w:rFonts w:hint="eastAsia" w:ascii="宋体" w:hAnsi="宋体" w:eastAsia="宋体" w:cs="宋体"/>
          <w:color w:val="auto"/>
          <w:spacing w:val="0"/>
          <w:w w:val="100"/>
          <w:position w:val="0"/>
          <w:sz w:val="30"/>
          <w:szCs w:val="30"/>
          <w:highlight w:val="none"/>
          <w:u w:val="none"/>
          <w:shd w:val="clear" w:color="auto" w:fill="auto"/>
          <w:lang w:val="zh-TW" w:eastAsia="zh-TW" w:bidi="zh-TW"/>
        </w:rPr>
        <w:t>年</w:t>
      </w:r>
      <w:r>
        <w:rPr>
          <w:rFonts w:hint="eastAsia" w:ascii="宋体" w:hAnsi="宋体" w:eastAsia="宋体" w:cs="宋体"/>
          <w:color w:val="auto"/>
          <w:spacing w:val="0"/>
          <w:w w:val="100"/>
          <w:position w:val="0"/>
          <w:sz w:val="30"/>
          <w:szCs w:val="30"/>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30"/>
          <w:szCs w:val="30"/>
          <w:highlight w:val="none"/>
          <w:u w:val="none"/>
          <w:shd w:val="clear" w:color="auto" w:fill="auto"/>
          <w:lang w:val="zh-TW" w:eastAsia="zh-TW" w:bidi="zh-TW"/>
        </w:rPr>
        <w:t>月</w:t>
      </w:r>
    </w:p>
    <w:p w14:paraId="607BC22B">
      <w:pPr>
        <w:keepNext w:val="0"/>
        <w:keepLines w:val="0"/>
        <w:widowControl w:val="0"/>
        <w:shd w:val="clear" w:color="auto" w:fill="auto"/>
        <w:bidi w:val="0"/>
        <w:spacing w:before="0" w:after="0" w:line="499" w:lineRule="exact"/>
        <w:ind w:left="0" w:right="0" w:firstLine="0"/>
        <w:jc w:val="center"/>
        <w:rPr>
          <w:rFonts w:hint="eastAsia" w:ascii="宋体" w:hAnsi="宋体" w:eastAsia="宋体" w:cs="宋体"/>
          <w:color w:val="auto"/>
          <w:spacing w:val="0"/>
          <w:w w:val="100"/>
          <w:position w:val="0"/>
          <w:sz w:val="30"/>
          <w:szCs w:val="30"/>
          <w:highlight w:val="none"/>
          <w:u w:val="none"/>
          <w:shd w:val="clear" w:color="auto" w:fill="auto"/>
          <w:lang w:val="zh-TW" w:eastAsia="zh-TW" w:bidi="zh-TW"/>
        </w:rPr>
      </w:pPr>
      <w:r>
        <w:rPr>
          <w:rFonts w:hint="eastAsia" w:ascii="宋体" w:hAnsi="宋体" w:eastAsia="宋体" w:cs="宋体"/>
          <w:color w:val="auto"/>
          <w:spacing w:val="0"/>
          <w:w w:val="100"/>
          <w:position w:val="0"/>
          <w:sz w:val="30"/>
          <w:szCs w:val="30"/>
          <w:highlight w:val="none"/>
          <w:u w:val="none"/>
          <w:shd w:val="clear" w:color="auto" w:fill="auto"/>
          <w:lang w:val="zh-TW" w:eastAsia="zh-TW" w:bidi="zh-TW"/>
        </w:rPr>
        <w:t>中国西安</w:t>
      </w:r>
    </w:p>
    <w:p w14:paraId="26FF958C">
      <w:pPr>
        <w:keepNext w:val="0"/>
        <w:keepLines w:val="0"/>
        <w:shd w:val="clear" w:color="auto" w:fill="auto"/>
        <w:bidi w:val="0"/>
        <w:spacing w:before="0" w:after="0" w:line="240" w:lineRule="auto"/>
        <w:ind w:left="0" w:right="0" w:firstLine="0" w:firstLineChars="0"/>
        <w:jc w:val="left"/>
        <w:rPr>
          <w:rFonts w:hint="eastAsia" w:ascii="宋体" w:hAnsi="宋体" w:eastAsia="宋体" w:cs="宋体"/>
          <w:color w:val="auto"/>
          <w:spacing w:val="0"/>
          <w:w w:val="100"/>
          <w:kern w:val="0"/>
          <w:position w:val="0"/>
          <w:highlight w:val="none"/>
          <w:shd w:val="clear" w:color="auto" w:fill="auto"/>
          <w:lang w:eastAsia="en-US" w:bidi="en-US"/>
        </w:rPr>
      </w:pPr>
      <w:bookmarkStart w:id="3" w:name="bookmark3"/>
      <w:bookmarkStart w:id="4" w:name="bookmark4"/>
      <w:bookmarkStart w:id="5" w:name="bookmark5"/>
      <w:r>
        <w:rPr>
          <w:rFonts w:hint="eastAsia" w:ascii="宋体" w:hAnsi="宋体" w:eastAsia="宋体" w:cs="宋体"/>
          <w:color w:val="auto"/>
          <w:spacing w:val="0"/>
          <w:w w:val="100"/>
          <w:kern w:val="0"/>
          <w:position w:val="0"/>
          <w:highlight w:val="none"/>
          <w:shd w:val="clear" w:color="auto" w:fill="auto"/>
          <w:lang w:eastAsia="en-US" w:bidi="en-US"/>
        </w:rPr>
        <w:br w:type="page"/>
      </w:r>
    </w:p>
    <w:bookmarkEnd w:id="3"/>
    <w:bookmarkEnd w:id="4"/>
    <w:bookmarkEnd w:id="5"/>
    <w:p w14:paraId="0DA205A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CN" w:bidi="zh-TW"/>
        </w:rPr>
        <w:t>采</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购人名称全称）</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西安特种设备检验检测院</w:t>
      </w:r>
    </w:p>
    <w:p w14:paraId="0E101B5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（供应商名称全称）</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p w14:paraId="05B5335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鉴证方：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陕西四方衡裕项目管理有限公司</w:t>
      </w:r>
    </w:p>
    <w:p w14:paraId="6D795E20">
      <w:pPr>
        <w:keepNext w:val="0"/>
        <w:keepLines w:val="0"/>
        <w:pageBreakBefore w:val="0"/>
        <w:widowControl w:val="0"/>
        <w:shd w:val="clear" w:color="auto" w:fill="auto"/>
        <w:kinsoku/>
        <w:wordWrap w:val="0"/>
        <w:overflowPunct/>
        <w:topLinePunct w:val="0"/>
        <w:autoSpaceDE/>
        <w:autoSpaceDN/>
        <w:bidi w:val="0"/>
        <w:adjustRightInd/>
        <w:snapToGrid/>
        <w:spacing w:before="0" w:after="0" w:line="360" w:lineRule="auto"/>
        <w:ind w:left="0" w:right="0" w:firstLine="480" w:firstLineChars="200"/>
        <w:jc w:val="left"/>
        <w:textAlignment w:val="auto"/>
        <w:rPr>
          <w:rFonts w:hint="eastAsia" w:ascii="楷体" w:hAnsi="楷体" w:eastAsia="楷体" w:cs="楷体"/>
          <w:color w:val="auto"/>
          <w:sz w:val="24"/>
          <w:szCs w:val="24"/>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鉴证方就甲方所需货物，在</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西安市财政局</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的监督管理下，按照政府</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购程序组织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公开招标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，确定乙方为</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2025年特种设备检验检测专业设备购置项目</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（项目编号：</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HYTH-202504023）</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中标人</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依</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据《中华人民共和国政府采购法》、《中华人民共和国民法典》以及</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陕西四方衡裕项目管理有限公司</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招标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文件、</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中标通知书</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，经甲、乙双方协商，鉴证方确认，达成如下合同条款。</w:t>
      </w:r>
    </w:p>
    <w:p w14:paraId="71907F84">
      <w:pPr>
        <w:keepNext w:val="0"/>
        <w:keepLines w:val="0"/>
        <w:pageBreakBefore w:val="0"/>
        <w:widowControl w:val="0"/>
        <w:shd w:val="clear" w:color="auto" w:fill="auto"/>
        <w:kinsoku/>
        <w:wordWrap/>
        <w:overflowPunct/>
        <w:topLinePunct w:val="0"/>
        <w:autoSpaceDE/>
        <w:autoSpaceDN/>
        <w:bidi w:val="0"/>
        <w:adjustRightInd/>
        <w:snapToGrid/>
        <w:spacing w:before="0" w:after="10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6" w:name="bookmark6"/>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一</w:t>
      </w:r>
      <w:bookmarkEnd w:id="6"/>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、合同标的物内容（以响应文件正本和澄清表〈函〉为准）</w:t>
      </w:r>
    </w:p>
    <w:tbl>
      <w:tblPr>
        <w:tblStyle w:val="4"/>
        <w:tblW w:w="8637" w:type="dxa"/>
        <w:jc w:val="center"/>
        <w:tblLayout w:type="fixed"/>
        <w:tblCellMar>
          <w:top w:w="0" w:type="dxa"/>
          <w:left w:w="10" w:type="dxa"/>
          <w:bottom w:w="0" w:type="dxa"/>
          <w:right w:w="10" w:type="dxa"/>
        </w:tblCellMar>
      </w:tblPr>
      <w:tblGrid>
        <w:gridCol w:w="729"/>
        <w:gridCol w:w="1576"/>
        <w:gridCol w:w="1066"/>
        <w:gridCol w:w="795"/>
        <w:gridCol w:w="1291"/>
        <w:gridCol w:w="1576"/>
        <w:gridCol w:w="1604"/>
      </w:tblGrid>
      <w:tr w14:paraId="5B18AFC7">
        <w:tblPrEx>
          <w:tblCellMar>
            <w:top w:w="0" w:type="dxa"/>
            <w:left w:w="10" w:type="dxa"/>
            <w:bottom w:w="0" w:type="dxa"/>
            <w:right w:w="10" w:type="dxa"/>
          </w:tblCellMar>
        </w:tblPrEx>
        <w:trPr>
          <w:trHeight w:val="512" w:hRule="exact"/>
          <w:jc w:val="center"/>
        </w:trPr>
        <w:tc>
          <w:tcPr>
            <w:tcBorders>
              <w:top w:val="single" w:color="auto" w:sz="4" w:space="0"/>
              <w:left w:val="single" w:color="auto" w:sz="4" w:space="0"/>
            </w:tcBorders>
            <w:shd w:val="clear" w:color="auto" w:fill="FFFFFF"/>
            <w:vAlign w:val="top"/>
          </w:tcPr>
          <w:p w14:paraId="01CBB59A">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序号</w:t>
            </w:r>
          </w:p>
        </w:tc>
        <w:tc>
          <w:tcPr>
            <w:tcBorders>
              <w:top w:val="single" w:color="auto" w:sz="4" w:space="0"/>
              <w:left w:val="single" w:color="auto" w:sz="4" w:space="0"/>
            </w:tcBorders>
            <w:shd w:val="clear" w:color="auto" w:fill="FFFFFF"/>
            <w:vAlign w:val="top"/>
          </w:tcPr>
          <w:p w14:paraId="1DC74802">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货物名称</w:t>
            </w:r>
          </w:p>
        </w:tc>
        <w:tc>
          <w:tcPr>
            <w:tcW w:w="1066" w:type="dxa"/>
            <w:tcBorders>
              <w:top w:val="single" w:color="auto" w:sz="4" w:space="0"/>
              <w:left w:val="single" w:color="auto" w:sz="4" w:space="0"/>
              <w:right w:val="single" w:color="auto" w:sz="4" w:space="0"/>
            </w:tcBorders>
            <w:shd w:val="clear" w:color="auto" w:fill="FFFFFF"/>
            <w:vAlign w:val="top"/>
          </w:tcPr>
          <w:p w14:paraId="1713C093">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规格型号</w:t>
            </w:r>
          </w:p>
        </w:tc>
        <w:tc>
          <w:tcPr>
            <w:tcW w:w="795" w:type="dxa"/>
            <w:tcBorders>
              <w:top w:val="single" w:color="auto" w:sz="4" w:space="0"/>
              <w:left w:val="single" w:color="auto" w:sz="4" w:space="0"/>
            </w:tcBorders>
            <w:shd w:val="clear" w:color="auto" w:fill="FFFFFF"/>
            <w:vAlign w:val="top"/>
          </w:tcPr>
          <w:p w14:paraId="2592B11B">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品牌</w:t>
            </w:r>
          </w:p>
        </w:tc>
        <w:tc>
          <w:tcPr>
            <w:tcW w:w="1291" w:type="dxa"/>
            <w:tcBorders>
              <w:top w:val="single" w:color="auto" w:sz="4" w:space="0"/>
              <w:left w:val="single" w:color="auto" w:sz="4" w:space="0"/>
            </w:tcBorders>
            <w:shd w:val="clear" w:color="auto" w:fill="FFFFFF"/>
            <w:vAlign w:val="top"/>
          </w:tcPr>
          <w:p w14:paraId="13FA18DA">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单价（元）</w:t>
            </w:r>
          </w:p>
        </w:tc>
        <w:tc>
          <w:tcPr>
            <w:tcBorders>
              <w:top w:val="single" w:color="auto" w:sz="4" w:space="0"/>
              <w:left w:val="single" w:color="auto" w:sz="4" w:space="0"/>
            </w:tcBorders>
            <w:shd w:val="clear" w:color="auto" w:fill="FFFFFF"/>
            <w:vAlign w:val="top"/>
          </w:tcPr>
          <w:p w14:paraId="62DCCD66">
            <w:pPr>
              <w:keepNext w:val="0"/>
              <w:keepLines w:val="0"/>
              <w:pageBreakBefore w:val="0"/>
              <w:widowControl w:val="0"/>
              <w:shd w:val="clear" w:color="auto" w:fill="auto"/>
              <w:kinsoku/>
              <w:wordWrap/>
              <w:overflowPunct/>
              <w:topLinePunct w:val="0"/>
              <w:autoSpaceDE/>
              <w:autoSpaceDN/>
              <w:bidi w:val="0"/>
              <w:adjustRightInd/>
              <w:snapToGrid/>
              <w:spacing w:before="14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数量</w:t>
            </w:r>
          </w:p>
        </w:tc>
        <w:tc>
          <w:tcPr>
            <w:tcBorders>
              <w:top w:val="single" w:color="auto" w:sz="4" w:space="0"/>
              <w:left w:val="single" w:color="auto" w:sz="4" w:space="0"/>
              <w:right w:val="single" w:color="auto" w:sz="4" w:space="0"/>
            </w:tcBorders>
            <w:shd w:val="clear" w:color="auto" w:fill="FFFFFF"/>
            <w:vAlign w:val="top"/>
          </w:tcPr>
          <w:p w14:paraId="58D4FD3B">
            <w:pPr>
              <w:keepNext w:val="0"/>
              <w:keepLines w:val="0"/>
              <w:pageBreakBefore w:val="0"/>
              <w:widowControl w:val="0"/>
              <w:shd w:val="clear" w:color="auto" w:fill="auto"/>
              <w:kinsoku/>
              <w:wordWrap/>
              <w:overflowPunct/>
              <w:topLinePunct w:val="0"/>
              <w:autoSpaceDE/>
              <w:autoSpaceDN/>
              <w:bidi w:val="0"/>
              <w:adjustRightInd/>
              <w:snapToGrid/>
              <w:spacing w:before="140" w:after="0" w:line="240" w:lineRule="auto"/>
              <w:ind w:left="0" w:right="32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总价（元）</w:t>
            </w:r>
          </w:p>
        </w:tc>
      </w:tr>
      <w:tr w14:paraId="564F9B63">
        <w:tblPrEx>
          <w:tblCellMar>
            <w:top w:w="0" w:type="dxa"/>
            <w:left w:w="10" w:type="dxa"/>
            <w:bottom w:w="0" w:type="dxa"/>
            <w:right w:w="10" w:type="dxa"/>
          </w:tblCellMar>
        </w:tblPrEx>
        <w:trPr>
          <w:trHeight w:val="484" w:hRule="exact"/>
          <w:jc w:val="center"/>
        </w:trPr>
        <w:tc>
          <w:tcPr>
            <w:tcBorders>
              <w:top w:val="single" w:color="auto" w:sz="4" w:space="0"/>
              <w:left w:val="single" w:color="auto" w:sz="4" w:space="0"/>
            </w:tcBorders>
            <w:shd w:val="clear" w:color="auto" w:fill="FFFFFF"/>
            <w:vAlign w:val="center"/>
          </w:tcPr>
          <w:p w14:paraId="6C43EF3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1</w:t>
            </w:r>
          </w:p>
        </w:tc>
        <w:tc>
          <w:tcPr>
            <w:tcBorders>
              <w:top w:val="single" w:color="auto" w:sz="4" w:space="0"/>
              <w:left w:val="single" w:color="auto" w:sz="4" w:space="0"/>
            </w:tcBorders>
            <w:shd w:val="clear" w:color="auto" w:fill="FFFFFF"/>
            <w:vAlign w:val="top"/>
          </w:tcPr>
          <w:p w14:paraId="2C737BA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34B6F7F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2568345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4D8A2783">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3F2E266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37A2B62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4114957C">
        <w:tblPrEx>
          <w:tblCellMar>
            <w:top w:w="0" w:type="dxa"/>
            <w:left w:w="10" w:type="dxa"/>
            <w:bottom w:w="0" w:type="dxa"/>
            <w:right w:w="10" w:type="dxa"/>
          </w:tblCellMar>
        </w:tblPrEx>
        <w:trPr>
          <w:trHeight w:val="493" w:hRule="exact"/>
          <w:jc w:val="center"/>
        </w:trPr>
        <w:tc>
          <w:tcPr>
            <w:tcBorders>
              <w:top w:val="single" w:color="auto" w:sz="4" w:space="0"/>
              <w:left w:val="single" w:color="auto" w:sz="4" w:space="0"/>
            </w:tcBorders>
            <w:shd w:val="clear" w:color="auto" w:fill="FFFFFF"/>
            <w:vAlign w:val="center"/>
          </w:tcPr>
          <w:p w14:paraId="2E84B24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2</w:t>
            </w:r>
          </w:p>
        </w:tc>
        <w:tc>
          <w:tcPr>
            <w:tcBorders>
              <w:top w:val="single" w:color="auto" w:sz="4" w:space="0"/>
              <w:left w:val="single" w:color="auto" w:sz="4" w:space="0"/>
            </w:tcBorders>
            <w:shd w:val="clear" w:color="auto" w:fill="FFFFFF"/>
            <w:vAlign w:val="top"/>
          </w:tcPr>
          <w:p w14:paraId="21579D1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288CAED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35F7F8F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07C91B85">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6E80F72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7AD6F57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68335DCB">
        <w:tblPrEx>
          <w:tblCellMar>
            <w:top w:w="0" w:type="dxa"/>
            <w:left w:w="10" w:type="dxa"/>
            <w:bottom w:w="0" w:type="dxa"/>
            <w:right w:w="10" w:type="dxa"/>
          </w:tblCellMar>
        </w:tblPrEx>
        <w:trPr>
          <w:trHeight w:val="502" w:hRule="exact"/>
          <w:jc w:val="center"/>
        </w:trPr>
        <w:tc>
          <w:tcPr>
            <w:tcBorders>
              <w:top w:val="single" w:color="auto" w:sz="4" w:space="0"/>
              <w:left w:val="single" w:color="auto" w:sz="4" w:space="0"/>
            </w:tcBorders>
            <w:shd w:val="clear" w:color="auto" w:fill="FFFFFF"/>
            <w:vAlign w:val="center"/>
          </w:tcPr>
          <w:p w14:paraId="00AF830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3</w:t>
            </w:r>
          </w:p>
        </w:tc>
        <w:tc>
          <w:tcPr>
            <w:tcBorders>
              <w:top w:val="single" w:color="auto" w:sz="4" w:space="0"/>
              <w:left w:val="single" w:color="auto" w:sz="4" w:space="0"/>
            </w:tcBorders>
            <w:shd w:val="clear" w:color="auto" w:fill="FFFFFF"/>
            <w:vAlign w:val="top"/>
          </w:tcPr>
          <w:p w14:paraId="7FD6FAC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7D311AB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6405874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337DFD9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6513A91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20706C5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237178AA">
        <w:tblPrEx>
          <w:tblCellMar>
            <w:top w:w="0" w:type="dxa"/>
            <w:left w:w="10" w:type="dxa"/>
            <w:bottom w:w="0" w:type="dxa"/>
            <w:right w:w="10" w:type="dxa"/>
          </w:tblCellMar>
        </w:tblPrEx>
        <w:trPr>
          <w:trHeight w:val="493" w:hRule="exact"/>
          <w:jc w:val="center"/>
        </w:trPr>
        <w:tc>
          <w:tcPr>
            <w:tcBorders>
              <w:top w:val="single" w:color="auto" w:sz="4" w:space="0"/>
              <w:left w:val="single" w:color="auto" w:sz="4" w:space="0"/>
            </w:tcBorders>
            <w:shd w:val="clear" w:color="auto" w:fill="FFFFFF"/>
            <w:vAlign w:val="center"/>
          </w:tcPr>
          <w:p w14:paraId="31B88A5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4</w:t>
            </w:r>
          </w:p>
        </w:tc>
        <w:tc>
          <w:tcPr>
            <w:tcBorders>
              <w:top w:val="single" w:color="auto" w:sz="4" w:space="0"/>
              <w:left w:val="single" w:color="auto" w:sz="4" w:space="0"/>
            </w:tcBorders>
            <w:shd w:val="clear" w:color="auto" w:fill="FFFFFF"/>
            <w:vAlign w:val="top"/>
          </w:tcPr>
          <w:p w14:paraId="4E9F160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4838CF0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7995B9A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224A9F7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08AA070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5368BAC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635096E2">
        <w:tblPrEx>
          <w:tblCellMar>
            <w:top w:w="0" w:type="dxa"/>
            <w:left w:w="10" w:type="dxa"/>
            <w:bottom w:w="0" w:type="dxa"/>
            <w:right w:w="10" w:type="dxa"/>
          </w:tblCellMar>
        </w:tblPrEx>
        <w:trPr>
          <w:trHeight w:val="484" w:hRule="exact"/>
          <w:jc w:val="center"/>
        </w:trPr>
        <w:tc>
          <w:tcPr>
            <w:tcBorders>
              <w:top w:val="single" w:color="auto" w:sz="4" w:space="0"/>
              <w:left w:val="single" w:color="auto" w:sz="4" w:space="0"/>
            </w:tcBorders>
            <w:shd w:val="clear" w:color="auto" w:fill="FFFFFF"/>
            <w:vAlign w:val="center"/>
          </w:tcPr>
          <w:p w14:paraId="4B17FFE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5</w:t>
            </w:r>
          </w:p>
        </w:tc>
        <w:tc>
          <w:tcPr>
            <w:tcBorders>
              <w:top w:val="single" w:color="auto" w:sz="4" w:space="0"/>
              <w:left w:val="single" w:color="auto" w:sz="4" w:space="0"/>
            </w:tcBorders>
            <w:shd w:val="clear" w:color="auto" w:fill="FFFFFF"/>
            <w:vAlign w:val="top"/>
          </w:tcPr>
          <w:p w14:paraId="46297D8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110D4AB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3C9FCF5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5167540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3292471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4283A0C5">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149BE9C0">
        <w:tblPrEx>
          <w:tblCellMar>
            <w:top w:w="0" w:type="dxa"/>
            <w:left w:w="10" w:type="dxa"/>
            <w:bottom w:w="0" w:type="dxa"/>
            <w:right w:w="10" w:type="dxa"/>
          </w:tblCellMar>
        </w:tblPrEx>
        <w:trPr>
          <w:trHeight w:val="484" w:hRule="exact"/>
          <w:jc w:val="center"/>
        </w:trPr>
        <w:tc>
          <w:tcPr>
            <w:tcBorders>
              <w:top w:val="single" w:color="auto" w:sz="4" w:space="0"/>
              <w:left w:val="single" w:color="auto" w:sz="4" w:space="0"/>
            </w:tcBorders>
            <w:shd w:val="clear" w:color="auto" w:fill="FFFFFF"/>
            <w:vAlign w:val="center"/>
          </w:tcPr>
          <w:p w14:paraId="18E3A0D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p>
        </w:tc>
        <w:tc>
          <w:tcPr>
            <w:tcBorders>
              <w:top w:val="single" w:color="auto" w:sz="4" w:space="0"/>
              <w:left w:val="single" w:color="auto" w:sz="4" w:space="0"/>
            </w:tcBorders>
            <w:shd w:val="clear" w:color="auto" w:fill="FFFFFF"/>
            <w:vAlign w:val="top"/>
          </w:tcPr>
          <w:p w14:paraId="34CEF9A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5DC6427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6D93928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4086275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1B8E335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670D9D3A">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4CF82A3E">
        <w:tblPrEx>
          <w:tblCellMar>
            <w:top w:w="0" w:type="dxa"/>
            <w:left w:w="10" w:type="dxa"/>
            <w:bottom w:w="0" w:type="dxa"/>
            <w:right w:w="10" w:type="dxa"/>
          </w:tblCellMar>
        </w:tblPrEx>
        <w:trPr>
          <w:trHeight w:val="493" w:hRule="exact"/>
          <w:jc w:val="center"/>
        </w:trPr>
        <w:tc>
          <w:tcPr>
            <w:tcBorders>
              <w:top w:val="single" w:color="auto" w:sz="4" w:space="0"/>
              <w:left w:val="single" w:color="auto" w:sz="4" w:space="0"/>
            </w:tcBorders>
            <w:shd w:val="clear" w:color="auto" w:fill="FFFFFF"/>
            <w:vAlign w:val="center"/>
          </w:tcPr>
          <w:p w14:paraId="74B37EA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c>
          <w:tcPr>
            <w:tcBorders>
              <w:top w:val="single" w:color="auto" w:sz="4" w:space="0"/>
              <w:left w:val="single" w:color="auto" w:sz="4" w:space="0"/>
            </w:tcBorders>
            <w:shd w:val="clear" w:color="auto" w:fill="FFFFFF"/>
            <w:vAlign w:val="top"/>
          </w:tcPr>
          <w:p w14:paraId="264CB93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066" w:type="dxa"/>
            <w:tcBorders>
              <w:top w:val="single" w:color="auto" w:sz="4" w:space="0"/>
              <w:left w:val="single" w:color="auto" w:sz="4" w:space="0"/>
              <w:right w:val="single" w:color="auto" w:sz="4" w:space="0"/>
            </w:tcBorders>
            <w:shd w:val="clear" w:color="auto" w:fill="FFFFFF"/>
            <w:vAlign w:val="top"/>
          </w:tcPr>
          <w:p w14:paraId="73532B6B">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795" w:type="dxa"/>
            <w:tcBorders>
              <w:top w:val="single" w:color="auto" w:sz="4" w:space="0"/>
              <w:left w:val="single" w:color="auto" w:sz="4" w:space="0"/>
            </w:tcBorders>
            <w:shd w:val="clear" w:color="auto" w:fill="FFFFFF"/>
            <w:vAlign w:val="top"/>
          </w:tcPr>
          <w:p w14:paraId="4504BEB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W w:w="1291" w:type="dxa"/>
            <w:tcBorders>
              <w:top w:val="single" w:color="auto" w:sz="4" w:space="0"/>
              <w:left w:val="single" w:color="auto" w:sz="4" w:space="0"/>
            </w:tcBorders>
            <w:shd w:val="clear" w:color="auto" w:fill="FFFFFF"/>
            <w:vAlign w:val="top"/>
          </w:tcPr>
          <w:p w14:paraId="73F0B19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tcBorders>
            <w:shd w:val="clear" w:color="auto" w:fill="FFFFFF"/>
            <w:vAlign w:val="top"/>
          </w:tcPr>
          <w:p w14:paraId="2958B3F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c>
          <w:tcPr>
            <w:tcBorders>
              <w:top w:val="single" w:color="auto" w:sz="4" w:space="0"/>
              <w:left w:val="single" w:color="auto" w:sz="4" w:space="0"/>
              <w:right w:val="single" w:color="auto" w:sz="4" w:space="0"/>
            </w:tcBorders>
            <w:shd w:val="clear" w:color="auto" w:fill="FFFFFF"/>
            <w:vAlign w:val="top"/>
          </w:tcPr>
          <w:p w14:paraId="6FEB40A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01156FAA">
        <w:tblPrEx>
          <w:tblCellMar>
            <w:top w:w="0" w:type="dxa"/>
            <w:left w:w="10" w:type="dxa"/>
            <w:bottom w:w="0" w:type="dxa"/>
            <w:right w:w="10" w:type="dxa"/>
          </w:tblCellMar>
        </w:tblPrEx>
        <w:trPr>
          <w:trHeight w:val="493" w:hRule="exact"/>
          <w:jc w:val="center"/>
        </w:trPr>
        <w:tc>
          <w:tcPr>
            <w:tcBorders>
              <w:top w:val="single" w:color="auto" w:sz="4" w:space="0"/>
              <w:left w:val="single" w:color="auto" w:sz="4" w:space="0"/>
            </w:tcBorders>
            <w:shd w:val="clear" w:color="auto" w:fill="FFFFFF"/>
            <w:vAlign w:val="top"/>
          </w:tcPr>
          <w:p w14:paraId="4E5315BB">
            <w:pPr>
              <w:keepNext w:val="0"/>
              <w:keepLines w:val="0"/>
              <w:pageBreakBefore w:val="0"/>
              <w:widowControl w:val="0"/>
              <w:shd w:val="clear" w:color="auto" w:fill="auto"/>
              <w:kinsoku/>
              <w:wordWrap/>
              <w:overflowPunct/>
              <w:topLinePunct w:val="0"/>
              <w:autoSpaceDE/>
              <w:autoSpaceDN/>
              <w:bidi w:val="0"/>
              <w:adjustRightInd/>
              <w:snapToGrid/>
              <w:spacing w:before="10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合计</w:t>
            </w:r>
          </w:p>
        </w:tc>
        <w:tc>
          <w:tcPr>
            <w:gridSpan w:val="6"/>
            <w:tcBorders>
              <w:top w:val="single" w:color="auto" w:sz="4" w:space="0"/>
              <w:left w:val="single" w:color="auto" w:sz="4" w:space="0"/>
              <w:right w:val="single" w:color="auto" w:sz="4" w:space="0"/>
            </w:tcBorders>
            <w:shd w:val="clear" w:color="auto" w:fill="FFFFFF"/>
            <w:vAlign w:val="top"/>
          </w:tcPr>
          <w:p w14:paraId="6D0E757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r w14:paraId="6FBB8AC5">
        <w:tblPrEx>
          <w:tblCellMar>
            <w:top w:w="0" w:type="dxa"/>
            <w:left w:w="10" w:type="dxa"/>
            <w:bottom w:w="0" w:type="dxa"/>
            <w:right w:w="10" w:type="dxa"/>
          </w:tblCellMar>
        </w:tblPrEx>
        <w:trPr>
          <w:trHeight w:val="512" w:hRule="exact"/>
          <w:jc w:val="center"/>
        </w:trPr>
        <w:tc>
          <w:tcPr>
            <w:tcBorders>
              <w:top w:val="single" w:color="auto" w:sz="4" w:space="0"/>
              <w:left w:val="single" w:color="auto" w:sz="4" w:space="0"/>
              <w:bottom w:val="single" w:color="auto" w:sz="4" w:space="0"/>
            </w:tcBorders>
            <w:shd w:val="clear" w:color="auto" w:fill="FFFFFF"/>
            <w:vAlign w:val="top"/>
          </w:tcPr>
          <w:p w14:paraId="16F151A8">
            <w:pPr>
              <w:keepNext w:val="0"/>
              <w:keepLines w:val="0"/>
              <w:pageBreakBefore w:val="0"/>
              <w:widowControl w:val="0"/>
              <w:shd w:val="clear" w:color="auto" w:fill="auto"/>
              <w:kinsoku/>
              <w:wordWrap/>
              <w:overflowPunct/>
              <w:topLinePunct w:val="0"/>
              <w:autoSpaceDE/>
              <w:autoSpaceDN/>
              <w:bidi w:val="0"/>
              <w:adjustRightInd/>
              <w:snapToGrid/>
              <w:spacing w:before="120" w:after="0" w:line="240" w:lineRule="auto"/>
              <w:ind w:left="0" w:right="0" w:firstLine="0" w:firstLineChars="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备注</w:t>
            </w:r>
          </w:p>
        </w:tc>
        <w:tc>
          <w:tcPr>
            <w:gridSpan w:val="6"/>
            <w:tcBorders>
              <w:top w:val="single" w:color="auto" w:sz="4" w:space="0"/>
              <w:left w:val="single" w:color="auto" w:sz="4" w:space="0"/>
              <w:bottom w:val="single" w:color="auto" w:sz="4" w:space="0"/>
              <w:right w:val="single" w:color="auto" w:sz="4" w:space="0"/>
            </w:tcBorders>
            <w:shd w:val="clear" w:color="auto" w:fill="FFFFFF"/>
            <w:vAlign w:val="top"/>
          </w:tcPr>
          <w:p w14:paraId="560BA34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firstLineChars="0"/>
              <w:jc w:val="left"/>
              <w:textAlignment w:val="auto"/>
              <w:rPr>
                <w:rFonts w:hint="eastAsia" w:ascii="宋体" w:hAnsi="宋体" w:eastAsia="宋体" w:cs="宋体"/>
                <w:color w:val="auto"/>
                <w:spacing w:val="0"/>
                <w:w w:val="100"/>
                <w:kern w:val="0"/>
                <w:position w:val="0"/>
                <w:sz w:val="24"/>
                <w:szCs w:val="24"/>
                <w:highlight w:val="none"/>
                <w:shd w:val="clear" w:color="auto" w:fill="auto"/>
                <w:lang w:eastAsia="en-US" w:bidi="en-US"/>
              </w:rPr>
            </w:pPr>
          </w:p>
        </w:tc>
      </w:tr>
    </w:tbl>
    <w:p w14:paraId="7EE7D3DA">
      <w:pPr>
        <w:keepNext w:val="0"/>
        <w:keepLines w:val="0"/>
        <w:pageBreakBefore w:val="0"/>
        <w:widowControl w:val="0"/>
        <w:shd w:val="clear" w:color="auto" w:fill="auto"/>
        <w:kinsoku/>
        <w:wordWrap/>
        <w:overflowPunct/>
        <w:topLinePunct w:val="0"/>
        <w:autoSpaceDE/>
        <w:autoSpaceDN/>
        <w:bidi w:val="0"/>
        <w:adjustRightInd/>
        <w:snapToGrid/>
        <w:spacing w:before="0" w:after="0" w:line="490" w:lineRule="exact"/>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（技术</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参数可附附件</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或详见响应文件，需说明清楚，表格可根据实际情况调整）</w:t>
      </w:r>
    </w:p>
    <w:p w14:paraId="1E64C5C1">
      <w:pPr>
        <w:keepNext w:val="0"/>
        <w:keepLines w:val="0"/>
        <w:pageBreakBefore w:val="0"/>
        <w:widowControl w:val="0"/>
        <w:shd w:val="clear" w:color="auto" w:fill="auto"/>
        <w:kinsoku/>
        <w:wordWrap/>
        <w:overflowPunct/>
        <w:topLinePunct w:val="0"/>
        <w:autoSpaceDE/>
        <w:autoSpaceDN/>
        <w:bidi w:val="0"/>
        <w:adjustRightInd/>
        <w:snapToGrid/>
        <w:spacing w:before="0" w:after="0" w:line="490" w:lineRule="exact"/>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CN" w:bidi="zh-TW"/>
        </w:rPr>
      </w:pPr>
      <w:bookmarkStart w:id="7" w:name="bookmark7"/>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二</w:t>
      </w:r>
      <w:bookmarkEnd w:id="7"/>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供货条件：</w:t>
      </w:r>
    </w:p>
    <w:p w14:paraId="3C220F50">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0" w:line="490" w:lineRule="exact"/>
        <w:ind w:left="210" w:leftChars="10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8" w:name="bookmark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交</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货地点：甲方指定地点。</w:t>
      </w:r>
    </w:p>
    <w:p w14:paraId="67B0C0C3">
      <w:pPr>
        <w:keepNext w:val="0"/>
        <w:keepLines w:val="0"/>
        <w:pageBreakBefore w:val="0"/>
        <w:widowControl w:val="0"/>
        <w:shd w:val="clear" w:color="auto" w:fill="auto"/>
        <w:tabs>
          <w:tab w:val="left" w:pos="1390"/>
        </w:tabs>
        <w:kinsoku/>
        <w:wordWrap/>
        <w:overflowPunct/>
        <w:topLinePunct w:val="0"/>
        <w:autoSpaceDE/>
        <w:autoSpaceDN/>
        <w:bidi w:val="0"/>
        <w:adjustRightInd/>
        <w:snapToGrid/>
        <w:spacing w:before="0" w:after="0" w:line="403" w:lineRule="exact"/>
        <w:ind w:left="210" w:leftChars="10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9" w:name="bookmark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交</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货期：</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p w14:paraId="5FF811EB">
      <w:pPr>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499" w:lineRule="exact"/>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10" w:name="bookmark10"/>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三</w:t>
      </w:r>
      <w:bookmarkEnd w:id="10"/>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合同价款</w:t>
      </w:r>
    </w:p>
    <w:p w14:paraId="7EC053AF">
      <w:pPr>
        <w:keepNext w:val="0"/>
        <w:keepLines w:val="0"/>
        <w:pageBreakBefore w:val="0"/>
        <w:widowControl w:val="0"/>
        <w:shd w:val="clear" w:color="auto" w:fill="auto"/>
        <w:tabs>
          <w:tab w:val="left" w:pos="6715"/>
          <w:tab w:val="left" w:pos="8117"/>
        </w:tabs>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i w:val="0"/>
          <w:i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en-US"/>
        </w:rPr>
        <w:t>一</w:t>
      </w: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合同总价款为人民</w:t>
      </w:r>
      <w:r>
        <w:rPr>
          <w:rFonts w:hint="eastAsia" w:ascii="宋体" w:hAnsi="宋体" w:eastAsia="宋体" w:cs="宋体"/>
          <w:i w:val="0"/>
          <w:iCs w:val="0"/>
          <w:color w:val="auto"/>
          <w:spacing w:val="0"/>
          <w:w w:val="100"/>
          <w:position w:val="0"/>
          <w:sz w:val="24"/>
          <w:szCs w:val="24"/>
          <w:highlight w:val="none"/>
          <w:u w:val="none"/>
          <w:shd w:val="clear" w:color="auto" w:fill="auto"/>
          <w:lang w:val="zh-TW" w:eastAsia="zh-TW" w:bidi="zh-TW"/>
        </w:rPr>
        <w:t>币（大写）</w:t>
      </w:r>
      <w:r>
        <w:rPr>
          <w:rFonts w:hint="eastAsia" w:ascii="宋体" w:hAnsi="宋体" w:eastAsia="宋体" w:cs="宋体"/>
          <w:i w:val="0"/>
          <w:iCs w:val="0"/>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i w:val="0"/>
          <w:iCs w:val="0"/>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i w:val="0"/>
          <w:iCs w:val="0"/>
          <w:color w:val="auto"/>
          <w:spacing w:val="0"/>
          <w:w w:val="100"/>
          <w:position w:val="0"/>
          <w:sz w:val="24"/>
          <w:szCs w:val="24"/>
          <w:highlight w:val="none"/>
          <w:u w:val="single"/>
          <w:shd w:val="clear" w:color="auto" w:fill="auto"/>
          <w:lang w:val="zh-TW" w:eastAsia="zh-TW" w:bidi="zh-TW"/>
        </w:rPr>
        <w:tab/>
      </w:r>
      <w:r>
        <w:rPr>
          <w:rFonts w:hint="eastAsia" w:ascii="宋体" w:hAnsi="宋体" w:eastAsia="宋体" w:cs="宋体"/>
          <w:i w:val="0"/>
          <w:iCs w:val="0"/>
          <w:color w:val="auto"/>
          <w:spacing w:val="0"/>
          <w:w w:val="100"/>
          <w:position w:val="0"/>
          <w:sz w:val="24"/>
          <w:szCs w:val="24"/>
          <w:highlight w:val="none"/>
          <w:u w:val="none"/>
          <w:shd w:val="clear" w:color="auto" w:fill="auto"/>
          <w:lang w:val="zh-TW" w:eastAsia="zh-TW" w:bidi="zh-TW"/>
        </w:rPr>
        <w:t>元。</w:t>
      </w:r>
      <w:bookmarkStart w:id="11" w:name="bookmark11"/>
    </w:p>
    <w:p w14:paraId="42B44D80">
      <w:pPr>
        <w:keepNext w:val="0"/>
        <w:keepLines w:val="0"/>
        <w:pageBreakBefore w:val="0"/>
        <w:widowControl w:val="0"/>
        <w:shd w:val="clear" w:color="auto" w:fill="auto"/>
        <w:tabs>
          <w:tab w:val="left" w:pos="6715"/>
          <w:tab w:val="left" w:pos="8117"/>
        </w:tabs>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CN"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二）合同总</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价</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包括：</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供货</w:t>
      </w:r>
      <w:r>
        <w:rPr>
          <w:rFonts w:hint="eastAsia" w:ascii="宋体" w:hAnsi="宋体" w:eastAsia="宋体" w:cs="宋体"/>
          <w:color w:val="auto"/>
          <w:spacing w:val="0"/>
          <w:w w:val="100"/>
          <w:position w:val="0"/>
          <w:sz w:val="24"/>
          <w:szCs w:val="24"/>
          <w:highlight w:val="none"/>
          <w:u w:val="none"/>
          <w:shd w:val="clear" w:color="auto" w:fill="auto"/>
          <w:lang w:val="zh-CN" w:eastAsia="zh-TW" w:bidi="zh-TW"/>
        </w:rPr>
        <w:t>期内全部供货和服务内容可能发生的全部费用。</w:t>
      </w:r>
    </w:p>
    <w:p w14:paraId="26E0C458">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lang w:val="zh-TW" w:eastAsia="zh-TW"/>
        </w:rPr>
      </w:pPr>
      <w:bookmarkStart w:id="12" w:name="bookmark1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三）合同总价一次性包死，不受市场价格变化因素的影响。</w:t>
      </w:r>
    </w:p>
    <w:p w14:paraId="1F961B23">
      <w:pPr>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509" w:lineRule="exact"/>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13" w:name="bookmark13"/>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四</w:t>
      </w:r>
      <w:bookmarkEnd w:id="13"/>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、款项结算</w:t>
      </w:r>
    </w:p>
    <w:p w14:paraId="481A4AB5">
      <w:pPr>
        <w:pStyle w:val="6"/>
        <w:spacing w:line="360" w:lineRule="auto"/>
        <w:ind w:firstLine="480"/>
        <w:jc w:val="both"/>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bookmarkStart w:id="14" w:name="bookmark17"/>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款项</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的支付：</w:t>
      </w:r>
      <w:r>
        <w:rPr>
          <w:rFonts w:hint="eastAsia" w:ascii="宋体" w:hAnsi="宋体" w:eastAsia="宋体" w:cs="宋体"/>
          <w:sz w:val="24"/>
          <w:szCs w:val="24"/>
          <w:highlight w:val="none"/>
          <w:lang w:val="en-US" w:eastAsia="zh-CN"/>
        </w:rPr>
        <w:t>合同签订后支付预付款40%，到货并验收合格后支付剩余60%。</w:t>
      </w:r>
    </w:p>
    <w:p w14:paraId="439AC499">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4"/>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结算方式：</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供应商应按采购人要求提供符合税务要求的正式税务发票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p>
    <w:p w14:paraId="2584926D">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支付方式：银行转账。</w:t>
      </w:r>
    </w:p>
    <w:p w14:paraId="15AA5FF7">
      <w:pPr>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413" w:lineRule="exact"/>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15" w:name="bookmark19"/>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五</w:t>
      </w:r>
      <w:bookmarkEnd w:id="15"/>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双方的权利和义务</w:t>
      </w:r>
    </w:p>
    <w:p w14:paraId="19F9ABD3">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16" w:name="bookmark20"/>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甲方的权利和义务</w:t>
      </w:r>
    </w:p>
    <w:p w14:paraId="4C2A5CF1">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CN" w:bidi="zh-TW"/>
        </w:rPr>
      </w:pPr>
      <w:bookmarkStart w:id="17" w:name="bookmark21"/>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甲方在收到货物通知后，应按</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谈判</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文件的需求</w:t>
      </w: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及成交供应商响应文件响应内容</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进行核实，如发现不符合合同规定，及时提出</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CN" w:bidi="zh-TW"/>
        </w:rPr>
        <w:t>。</w:t>
      </w:r>
    </w:p>
    <w:p w14:paraId="0F75C72F">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2、</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甲方在收到货后，组织人员按提供的技术参数指标进行验收。</w:t>
      </w:r>
    </w:p>
    <w:p w14:paraId="513C6A6E">
      <w:pPr>
        <w:keepNext w:val="0"/>
        <w:keepLines w:val="0"/>
        <w:pageBreakBefore w:val="0"/>
        <w:widowControl w:val="0"/>
        <w:shd w:val="clear" w:color="auto" w:fill="auto"/>
        <w:tabs>
          <w:tab w:val="left" w:pos="132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w:t>
      </w:r>
      <w:bookmarkEnd w:id="17"/>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二）</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乙方的权利和义务</w:t>
      </w:r>
    </w:p>
    <w:p w14:paraId="18DDE26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乙方在合同约定的时间内交付产品，并负责产品的检验。</w:t>
      </w:r>
    </w:p>
    <w:p w14:paraId="2879314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2、乙方所提供的产品必须保证原厂生产，符合采购技术需求，运输全过程中的安全由乙方负责。</w:t>
      </w:r>
    </w:p>
    <w:p w14:paraId="79B4204A">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val="0"/>
          <w:bCs w:val="0"/>
          <w:color w:val="auto"/>
          <w:spacing w:val="0"/>
          <w:w w:val="100"/>
          <w:position w:val="0"/>
          <w:sz w:val="24"/>
          <w:szCs w:val="24"/>
          <w:highlight w:val="none"/>
          <w:u w:val="none"/>
          <w:shd w:val="clear" w:color="auto" w:fill="auto"/>
          <w:lang w:val="zh-TW" w:eastAsia="zh-TW" w:bidi="zh-TW"/>
        </w:rPr>
        <w:t>3、乙方应积极配合甲方，最终完成产品的检验工作。</w:t>
      </w:r>
    </w:p>
    <w:p w14:paraId="5F705328">
      <w:pPr>
        <w:keepNext w:val="0"/>
        <w:keepLines w:val="0"/>
        <w:pageBreakBefore w:val="0"/>
        <w:widowControl w:val="0"/>
        <w:shd w:val="clear" w:color="auto" w:fill="auto"/>
        <w:tabs>
          <w:tab w:val="left" w:pos="996"/>
        </w:tabs>
        <w:kinsoku/>
        <w:wordWrap/>
        <w:overflowPunct/>
        <w:topLinePunct w:val="0"/>
        <w:autoSpaceDE/>
        <w:autoSpaceDN/>
        <w:bidi w:val="0"/>
        <w:adjustRightInd/>
        <w:snapToGrid/>
        <w:spacing w:before="0" w:after="0" w:line="494" w:lineRule="exact"/>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18" w:name="bookmark22"/>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六</w:t>
      </w:r>
      <w:bookmarkEnd w:id="18"/>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质量保证</w:t>
      </w:r>
    </w:p>
    <w:p w14:paraId="78D374AB">
      <w:pPr>
        <w:keepNext w:val="0"/>
        <w:keepLines w:val="0"/>
        <w:pageBreakBefore w:val="0"/>
        <w:widowControl w:val="0"/>
        <w:shd w:val="clear" w:color="auto" w:fill="auto"/>
        <w:tabs>
          <w:tab w:val="left" w:pos="1400"/>
        </w:tabs>
        <w:kinsoku/>
        <w:wordWrap/>
        <w:overflowPunct/>
        <w:topLinePunct w:val="0"/>
        <w:autoSpaceDE/>
        <w:autoSpaceDN/>
        <w:bidi w:val="0"/>
        <w:adjustRightInd/>
        <w:snapToGrid/>
        <w:spacing w:before="0" w:after="0" w:line="360" w:lineRule="auto"/>
        <w:ind w:left="210" w:leftChars="10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必须执行下列条款：</w:t>
      </w:r>
    </w:p>
    <w:p w14:paraId="63146DF5">
      <w:pPr>
        <w:keepNext w:val="0"/>
        <w:keepLines w:val="0"/>
        <w:pageBreakBefore w:val="0"/>
        <w:widowControl w:val="0"/>
        <w:shd w:val="clear" w:color="auto" w:fill="auto"/>
        <w:tabs>
          <w:tab w:val="left" w:pos="1400"/>
        </w:tabs>
        <w:kinsoku/>
        <w:wordWrap/>
        <w:overflowPunct/>
        <w:topLinePunct w:val="0"/>
        <w:autoSpaceDE/>
        <w:autoSpaceDN/>
        <w:bidi w:val="0"/>
        <w:adjustRightInd/>
        <w:snapToGrid/>
        <w:spacing w:before="0" w:after="0" w:line="360" w:lineRule="auto"/>
        <w:ind w:left="210" w:leftChars="10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（一）保证所供产品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14:paraId="1D8AF182">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19" w:name="bookmark2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二）保证所供产品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竞争性谈判</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文件规定的质量、规格、性能和技术规范等的要求。并能按期交付。在交付甲方前发生的风险均由乙方负责。</w:t>
      </w:r>
    </w:p>
    <w:p w14:paraId="05A5E37E">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0" w:name="bookmark2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0"/>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三）保证所供产品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在装卸、运输和仓储过程中有足够的包装保护，防止产品/设备受潮、锈蚀、遭受冲撞及其他不可预见的损坏。</w:t>
      </w:r>
    </w:p>
    <w:p w14:paraId="1B40B090">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1" w:name="bookmark2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四）保证所供产品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具有良好的外观，适合各种安装场所的使用要求，确保达到最佳运行状态。</w:t>
      </w:r>
    </w:p>
    <w:p w14:paraId="1E9FF399">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2" w:name="bookmark2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五）乙方所供产品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因侵权而产生的一切后果由乙方负责，甲方保留索赔权。</w:t>
      </w:r>
    </w:p>
    <w:p w14:paraId="68428DAA">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3" w:name="bookmark2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14:paraId="67FE4DD5">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七</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ascii="宋体" w:hAnsi="宋体" w:eastAsia="宋体" w:cs="宋体"/>
          <w:color w:val="auto"/>
          <w:spacing w:val="0"/>
          <w:w w:val="100"/>
          <w:position w:val="0"/>
          <w:sz w:val="24"/>
          <w:szCs w:val="24"/>
          <w:highlight w:val="none"/>
          <w:u w:val="single"/>
          <w:shd w:val="clear" w:color="auto" w:fill="auto"/>
          <w:lang w:val="zh-TW" w:eastAsia="zh-CN" w:bidi="zh-TW"/>
        </w:rPr>
        <w:t xml:space="preserve">    </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日内应免费维修或更换有缺陷的货物或部件。如果乙方在收到通知后</w:t>
      </w:r>
      <w:r>
        <w:rPr>
          <w:rFonts w:hint="eastAsia" w:ascii="宋体" w:hAnsi="宋体" w:eastAsia="宋体" w:cs="宋体"/>
          <w:color w:val="auto"/>
          <w:spacing w:val="0"/>
          <w:w w:val="100"/>
          <w:position w:val="0"/>
          <w:sz w:val="24"/>
          <w:szCs w:val="24"/>
          <w:highlight w:val="none"/>
          <w:u w:val="single"/>
          <w:shd w:val="clear" w:color="auto" w:fill="auto"/>
          <w:lang w:val="zh-TW"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日内没有弥补缺陷，甲方可采取必要的补救措施，但由此引发的风险和费用将由乙方承担。</w:t>
      </w:r>
    </w:p>
    <w:p w14:paraId="3A4DDD09">
      <w:pPr>
        <w:pStyle w:val="3"/>
        <w:spacing w:line="360" w:lineRule="auto"/>
        <w:rPr>
          <w:rFonts w:hint="eastAsia" w:ascii="宋体" w:hAnsi="宋体" w:eastAsia="宋体" w:cs="宋体"/>
          <w:lang w:val="en-US" w:eastAsia="zh-CN"/>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八</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需保证</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提供的货物</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来源渠道合法，不会有任何第三方向甲方主张任何权利。</w:t>
      </w:r>
    </w:p>
    <w:p w14:paraId="4005F635">
      <w:pPr>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bookmarkStart w:id="24" w:name="bookmark30"/>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七</w:t>
      </w:r>
      <w:bookmarkEnd w:id="24"/>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包装和储存</w:t>
      </w:r>
    </w:p>
    <w:p w14:paraId="164FC069">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5" w:name="bookmark3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及其备附件的包装应为出厂时的原包装，包装内应附有详细的装箱清单、出厂合格证明及其他相关资料。</w:t>
      </w:r>
    </w:p>
    <w:p w14:paraId="157F9535">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6" w:name="bookmark3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二）运输由乙方负责，运杂费已包含在合同总价内，包括从产品/设备供应地点运送至交付地点所含的运输费、装卸费、仓储费、保险费等。</w:t>
      </w:r>
    </w:p>
    <w:p w14:paraId="206033C1">
      <w:pPr>
        <w:keepNext w:val="0"/>
        <w:keepLines w:val="0"/>
        <w:pageBreakBefore w:val="0"/>
        <w:widowControl w:val="0"/>
        <w:shd w:val="clear" w:color="auto" w:fill="auto"/>
        <w:tabs>
          <w:tab w:val="left" w:pos="14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7" w:name="bookmark3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三）运输方式由乙方自行选择，但必须保证按期交付。</w:t>
      </w:r>
    </w:p>
    <w:p w14:paraId="51449B0B">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8" w:name="bookmark3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及其备附件到达甲方指定地点后，乙方应按有关技术规程和甲方要求进行存放和保管。</w:t>
      </w:r>
    </w:p>
    <w:p w14:paraId="25EB3EF2">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29" w:name="bookmark3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2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五）乙方在货物发运前对其进行满足运输距离、防潮、防震、防锈和防破损装卸等要求包装，以保证货物安全运达甲方指定地点。</w:t>
      </w:r>
    </w:p>
    <w:p w14:paraId="5BC36280">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六</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 乙方负责所有产品的运输。确保产品安全、完整到达使用地点，运杂费用包含在总价内，包括产品从供货地点到使用地点的运输费、保险费、搬运费、装卸费、仓储费等。</w:t>
      </w:r>
    </w:p>
    <w:p w14:paraId="11666C3B">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七</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使用说明书、质量检验证明书、随配附件和工具以及清单一并附于货物内。</w:t>
      </w:r>
    </w:p>
    <w:p w14:paraId="3F48188D">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八</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乙方在货物发运手续办理完毕后24小时内或货到甲方48小时前通知甲方，以准备接货。</w:t>
      </w:r>
    </w:p>
    <w:p w14:paraId="7BE672FC">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九</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货物在交付甲方前发生的风险均由乙方负责。</w:t>
      </w:r>
    </w:p>
    <w:p w14:paraId="58A6589C">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货物在规定的交付期限内由乙方送达甲方指定的地点视为交付，乙方同时需通知甲方货物已送达。</w:t>
      </w:r>
    </w:p>
    <w:p w14:paraId="0E625406">
      <w:pPr>
        <w:keepNext w:val="0"/>
        <w:keepLines w:val="0"/>
        <w:pageBreakBefore w:val="0"/>
        <w:widowControl w:val="0"/>
        <w:shd w:val="clear" w:color="auto" w:fill="auto"/>
        <w:tabs>
          <w:tab w:val="left" w:pos="986"/>
        </w:tabs>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bookmarkStart w:id="30" w:name="bookmark36"/>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八</w:t>
      </w:r>
      <w:bookmarkEnd w:id="30"/>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ab/>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验收</w:t>
      </w:r>
    </w:p>
    <w:p w14:paraId="3510A325">
      <w:pPr>
        <w:keepNext w:val="0"/>
        <w:keepLines w:val="0"/>
        <w:pageBreakBefore w:val="0"/>
        <w:widowControl w:val="0"/>
        <w:shd w:val="clear" w:color="auto" w:fill="auto"/>
        <w:tabs>
          <w:tab w:val="left" w:pos="1384"/>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由</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甲方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和</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乙方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共同对项目整体进行验收。其内容包括确认设备(产品)的产地、规格、型号和数量，对其设备(产品)技术指标、性能参数以及产品质量是否达到现行国家有关验收规范“合格”标准进行逐项检查。</w:t>
      </w:r>
    </w:p>
    <w:p w14:paraId="5C774951">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所验设备(产品)的指标、性能参数通过验收达不到竞争性谈判文件要求和谈判响应文件承诺的，或在使用中发现采购人不能容忍的缺陷等，将视为设备(产品) 验收不合格，</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乙方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应无条件免费更换或退货。 </w:t>
      </w:r>
    </w:p>
    <w:p w14:paraId="1CC9D3D9">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2.若发现</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乙方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有弄虚作假的，在谈判阶段故意或随意夸大设备(产品)技术性能，</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乙方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应无条件退货，并赔偿</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甲方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相应的损失。 </w:t>
      </w:r>
    </w:p>
    <w:p w14:paraId="5EABC9A5">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3.验收标准：按竞争性谈判文件、谈判响应文件及澄清函等技术指标进行验收。各项指标均应符合验收标准及要求。 </w:t>
      </w:r>
    </w:p>
    <w:p w14:paraId="06CE9CCC">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4.验收合格后，填写验收单，双方签字生效。 </w:t>
      </w:r>
    </w:p>
    <w:p w14:paraId="479555F7">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5.验收依据： </w:t>
      </w:r>
    </w:p>
    <w:p w14:paraId="756366D9">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a)合同文本；</w:t>
      </w:r>
    </w:p>
    <w:p w14:paraId="05007AC9">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b)谈判响应文件及澄清函、竞争性谈判文件； </w:t>
      </w:r>
    </w:p>
    <w:p w14:paraId="75AA4E1C">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 xml:space="preserve">c)国家和行业制定的相应的标准和规范。 </w:t>
      </w:r>
    </w:p>
    <w:p w14:paraId="52F339AA">
      <w:pPr>
        <w:keepNext w:val="0"/>
        <w:keepLines w:val="0"/>
        <w:pageBreakBefore w:val="0"/>
        <w:widowControl w:val="0"/>
        <w:numPr>
          <w:ilvl w:val="0"/>
          <w:numId w:val="0"/>
        </w:numPr>
        <w:shd w:val="clear" w:color="auto" w:fill="auto"/>
        <w:tabs>
          <w:tab w:val="left" w:pos="1384"/>
        </w:tabs>
        <w:kinsoku/>
        <w:wordWrap/>
        <w:overflowPunct/>
        <w:topLinePunct w:val="0"/>
        <w:autoSpaceDE/>
        <w:autoSpaceDN/>
        <w:bidi w:val="0"/>
        <w:adjustRightInd/>
        <w:snapToGrid/>
        <w:spacing w:before="0" w:after="0" w:line="360" w:lineRule="auto"/>
        <w:ind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d)设备(产品)验收清单（注明各部件的品名、数量、规格型号和原产地或生产厂家）。</w:t>
      </w:r>
    </w:p>
    <w:p w14:paraId="1103871C">
      <w:pPr>
        <w:keepNext w:val="0"/>
        <w:keepLines w:val="0"/>
        <w:pageBreakBefore w:val="0"/>
        <w:widowControl w:val="0"/>
        <w:shd w:val="clear" w:color="auto" w:fill="auto"/>
        <w:kinsoku/>
        <w:wordWrap/>
        <w:overflowPunct/>
        <w:topLinePunct w:val="0"/>
        <w:autoSpaceDE/>
        <w:autoSpaceDN/>
        <w:bidi w:val="0"/>
        <w:adjustRightInd/>
        <w:snapToGrid/>
        <w:spacing w:before="0" w:after="0" w:line="490" w:lineRule="exact"/>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九、售后服务</w:t>
      </w:r>
    </w:p>
    <w:p w14:paraId="56A315AF">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乙方提供以下售后服务：</w:t>
      </w:r>
    </w:p>
    <w:p w14:paraId="6B189DB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质保期：</w:t>
      </w:r>
      <w:r>
        <w:rPr>
          <w:rFonts w:hint="eastAsia" w:ascii="宋体" w:hAnsi="宋体" w:eastAsia="宋体" w:cs="宋体"/>
          <w:color w:val="auto"/>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，若该质量保证期小于国家标准，则以国家标准为准。产品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终身维修。</w:t>
      </w:r>
    </w:p>
    <w:p w14:paraId="6AE1F9F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en-US"/>
        </w:rPr>
        <w:t>一</w:t>
      </w: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质保期内</w:t>
      </w:r>
    </w:p>
    <w:p w14:paraId="7DCF202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14:paraId="60D18761">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凡</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产品</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发生质量问题或出现其他故障，接到甲方通知后，服务响应时间不超过</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小时，</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小时内派专业维修人员到达现场，</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小时内排除故障。排除故障的期限最长不得超过两个工作日，若不能按期排除故障，乙方应能够提供</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其他设备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代用，不得因此影响甲方正常工作。</w:t>
      </w:r>
    </w:p>
    <w:p w14:paraId="7909C02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2、</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免费提供每周</w:t>
      </w:r>
      <w:r>
        <w:rPr>
          <w:rFonts w:hint="eastAsia" w:ascii="宋体" w:hAnsi="宋体" w:eastAsia="宋体" w:cs="宋体"/>
          <w:color w:val="auto"/>
          <w:spacing w:val="0"/>
          <w:w w:val="100"/>
          <w:position w:val="0"/>
          <w:sz w:val="24"/>
          <w:szCs w:val="24"/>
          <w:highlight w:val="none"/>
          <w:u w:val="single"/>
          <w:shd w:val="clear" w:color="auto" w:fill="auto"/>
          <w:lang w:val="en-US" w:eastAsia="en-US" w:bidi="zh-TW"/>
        </w:rPr>
        <w:t>7x24</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小时不间断的电话支持服务,解答用户在使用过程中遇到的问题，及时提出解决问题的建议和对策。</w:t>
      </w:r>
    </w:p>
    <w:p w14:paraId="4B8DB8B3">
      <w:pPr>
        <w:keepNext w:val="0"/>
        <w:keepLines w:val="0"/>
        <w:pageBreakBefore w:val="0"/>
        <w:widowControl w:val="0"/>
        <w:shd w:val="clear" w:color="auto" w:fill="auto"/>
        <w:kinsoku/>
        <w:wordWrap/>
        <w:overflowPunct/>
        <w:topLinePunct w:val="0"/>
        <w:autoSpaceDE/>
        <w:autoSpaceDN/>
        <w:bidi w:val="0"/>
        <w:adjustRightInd/>
        <w:snapToGrid/>
        <w:spacing w:before="0" w:after="0" w:line="490" w:lineRule="exact"/>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3</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、定期派专业维修人员到现场走访，给予检查维护。并向甲方提供巡检单（一式两份，由双方签字确认），内容包含但不限于巡检时间、巡检内容、巡检结果。</w:t>
      </w:r>
    </w:p>
    <w:p w14:paraId="06456E9C">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1" w:name="bookmark50"/>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二）质保期满后</w:t>
      </w:r>
    </w:p>
    <w:p w14:paraId="5E771C79">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乙方应保证</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对</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货物终身维修，维修时只收取部件成本费（免工时费），当发生故障时，乙方应按质保期内相同的服务标准进行维护处理。</w:t>
      </w:r>
    </w:p>
    <w:p w14:paraId="21CEC5C9">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技术</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与服务</w:t>
      </w:r>
    </w:p>
    <w:p w14:paraId="63428B2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2" w:name="bookmark5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一）技术资料</w:t>
      </w:r>
    </w:p>
    <w:p w14:paraId="228C72D2">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合格证；</w:t>
      </w:r>
    </w:p>
    <w:p w14:paraId="5C2DDF54">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3" w:name="bookmark5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2</w:t>
      </w:r>
      <w:bookmarkEnd w:id="3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技术参数；</w:t>
      </w:r>
    </w:p>
    <w:p w14:paraId="6D00813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4" w:name="bookmark5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3</w:t>
      </w:r>
      <w:bookmarkEnd w:id="3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使用维护说明书；</w:t>
      </w:r>
    </w:p>
    <w:p w14:paraId="3627CDE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5" w:name="bookmark57"/>
      <w:r>
        <w:rPr>
          <w:rFonts w:hint="eastAsia" w:ascii="宋体" w:hAnsi="宋体" w:eastAsia="宋体" w:cs="宋体"/>
          <w:color w:val="auto"/>
          <w:spacing w:val="0"/>
          <w:w w:val="100"/>
          <w:position w:val="0"/>
          <w:sz w:val="24"/>
          <w:szCs w:val="24"/>
          <w:highlight w:val="none"/>
          <w:u w:val="none"/>
          <w:shd w:val="clear" w:color="auto" w:fill="auto"/>
          <w:lang w:val="en-US" w:eastAsia="zh-CN" w:bidi="zh-TW"/>
        </w:rPr>
        <w:t>4、</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乙方按产生文件规定的时间向甲方提供使用货物的有关技术资料。</w:t>
      </w:r>
    </w:p>
    <w:p w14:paraId="2F3CCD78">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5、</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没有甲方事先书面同意，乙方不得将由甲方提供的有关合同或任何合同条文、规格、计划、图纸、样品或资料提供给与履行本合同无关的任何其他人。</w:t>
      </w:r>
    </w:p>
    <w:bookmarkEnd w:id="35"/>
    <w:p w14:paraId="517570F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6</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、其它资料。</w:t>
      </w:r>
    </w:p>
    <w:p w14:paraId="0026125E">
      <w:pPr>
        <w:keepNext w:val="0"/>
        <w:keepLines w:val="0"/>
        <w:pageBreakBefore w:val="0"/>
        <w:widowControl w:val="0"/>
        <w:shd w:val="clear" w:color="auto" w:fill="auto"/>
        <w:tabs>
          <w:tab w:val="left" w:pos="140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6" w:name="bookmark5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二）服务承诺</w:t>
      </w:r>
    </w:p>
    <w:p w14:paraId="08DED88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以响应文件、澄清表（函）、合同和随产品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的相关文件为准。</w:t>
      </w:r>
    </w:p>
    <w:p w14:paraId="6160EEBF">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7" w:name="bookmark5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三）服务要求</w:t>
      </w:r>
    </w:p>
    <w:p w14:paraId="3144C4E0">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1、</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所有设备均由乙方送货至甲方指定的交货地点并安装调试好，安装调试应以本需求书要求的技术参数指标为标准。</w:t>
      </w:r>
    </w:p>
    <w:p w14:paraId="3A0195F8">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2、</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所有货物交货后的拆箱、安装、调试等项工作(包括其费用)由乙方负责，但必须在用户指定人员的参与下进行。调试的原始记录需经各方签字后作为验收的文件之一。</w:t>
      </w:r>
    </w:p>
    <w:p w14:paraId="2A5E8B14">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3、</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乙方应提供包括但不限于满足设备安装、使用和维护的技术文件。</w:t>
      </w:r>
    </w:p>
    <w:p w14:paraId="5851D1C0">
      <w:pPr>
        <w:keepNext w:val="0"/>
        <w:keepLines w:val="0"/>
        <w:pageBreakBefore w:val="0"/>
        <w:widowControl w:val="0"/>
        <w:shd w:val="clear" w:color="auto" w:fill="auto"/>
        <w:tabs>
          <w:tab w:val="left" w:pos="1418"/>
        </w:tabs>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4、</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应按出厂标准及国家有关要求进行包装及运输。</w:t>
      </w:r>
    </w:p>
    <w:p w14:paraId="2082C6FD">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en-US"/>
        </w:rPr>
        <w:t>十一、违约</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责任</w:t>
      </w:r>
    </w:p>
    <w:p w14:paraId="7D0A152E">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en-US"/>
        </w:rPr>
        <w:t>一</w:t>
      </w:r>
      <w:r>
        <w:rPr>
          <w:rFonts w:hint="eastAsia" w:ascii="宋体" w:hAnsi="宋体" w:eastAsia="宋体" w:cs="宋体"/>
          <w:color w:val="auto"/>
          <w:spacing w:val="0"/>
          <w:w w:val="100"/>
          <w:position w:val="0"/>
          <w:sz w:val="24"/>
          <w:szCs w:val="24"/>
          <w:highlight w:val="none"/>
          <w:u w:val="none"/>
          <w:shd w:val="clear" w:color="auto" w:fill="auto"/>
          <w:lang w:val="en-US" w:eastAsia="en-US" w:bidi="en-US"/>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合同中未约定的，按《民法典》中的相关条款执行。</w:t>
      </w:r>
    </w:p>
    <w:p w14:paraId="70F5CCDE">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（二）未按合同要求提供产品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或产品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质量不能满足合同要求，甲方应当将乙方违约的情况以及拟采取的措施以书面形式报政府</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购监管部门，根据政府采购监管部门的处理意见，甲方有权</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依</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据《民法典》有关条款及合同约定解除合同，乙方应向甲方支付合同总价款</w:t>
      </w:r>
      <w:r>
        <w:rPr>
          <w:rFonts w:hint="eastAsia" w:ascii="宋体" w:hAnsi="宋体" w:eastAsia="宋体" w:cs="宋体"/>
          <w:color w:val="auto"/>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％的违约金。同时，政府采购监管部门有权</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依</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据《政府采购法》及相关法律法规对乙方的违法行为进行相应的处罚。</w:t>
      </w:r>
    </w:p>
    <w:p w14:paraId="4F0CF797">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8" w:name="bookmark60"/>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三）乙方逾期交付产品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的（包括返修、更换、补交等），应当自逾期之日起每日按逾期交付部分价款总额的</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%向甲方支付违约金。若因乙方原因逾期交货超过</w:t>
      </w:r>
      <w:r>
        <w:rPr>
          <w:rFonts w:hint="eastAsia" w:ascii="宋体" w:hAnsi="宋体" w:eastAsia="宋体" w:cs="宋体"/>
          <w:color w:val="auto"/>
          <w:spacing w:val="0"/>
          <w:w w:val="100"/>
          <w:position w:val="0"/>
          <w:sz w:val="24"/>
          <w:szCs w:val="24"/>
          <w:highlight w:val="none"/>
          <w:u w:val="single"/>
          <w:shd w:val="clear" w:color="auto" w:fill="auto"/>
          <w:lang w:val="en-US" w:eastAsia="zh-CN" w:bidi="zh-CN"/>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天的，甲方有权拒收并解除本合同，且乙方应向甲方支付合同总价款</w:t>
      </w:r>
      <w:r>
        <w:rPr>
          <w:rFonts w:hint="eastAsia" w:ascii="宋体" w:hAnsi="宋体" w:eastAsia="宋体" w:cs="宋体"/>
          <w:color w:val="auto"/>
          <w:spacing w:val="0"/>
          <w:w w:val="100"/>
          <w:position w:val="0"/>
          <w:sz w:val="24"/>
          <w:szCs w:val="24"/>
          <w:highlight w:val="none"/>
          <w:u w:val="single"/>
          <w:shd w:val="clear" w:color="auto" w:fill="auto"/>
          <w:lang w:val="zh-TW" w:eastAsia="zh-TW" w:bidi="zh-TW"/>
        </w:rPr>
        <w:tab/>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%的违约金。</w:t>
      </w:r>
    </w:p>
    <w:p w14:paraId="52E2CDD5">
      <w:pPr>
        <w:keepNext w:val="0"/>
        <w:keepLines w:val="0"/>
        <w:pageBreakBefore w:val="0"/>
        <w:widowControl w:val="0"/>
        <w:shd w:val="clear" w:color="auto" w:fill="auto"/>
        <w:tabs>
          <w:tab w:val="left" w:pos="144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39" w:name="bookmark6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39"/>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）如乙方所交的产品</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设备</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经甲方验收不符合合同约定或规定标准的，甲方有权拒收，乙方应当在甲方指定期限内更换，由此导致乙方逾期交货的，乙方还应承担逾期交货的违约责任。</w:t>
      </w:r>
    </w:p>
    <w:p w14:paraId="47BAFDD0">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0" w:name="bookmark6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0"/>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五</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5EB536AC">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十二、</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争议解决</w:t>
      </w:r>
    </w:p>
    <w:p w14:paraId="1F246663">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10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1" w:name="bookmark6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1"/>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一）本合同在履行过程中发生的争议，由甲、乙双方当事人协商解决，协商不成的按下列第</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2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种方式解决：</w:t>
      </w:r>
    </w:p>
    <w:p w14:paraId="064A8D13">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2" w:name="bookmark6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1</w:t>
      </w:r>
      <w:bookmarkEnd w:id="42"/>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、提交西安仲裁委员会仲裁；</w:t>
      </w:r>
    </w:p>
    <w:p w14:paraId="60F2393E">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3" w:name="bookmark67"/>
      <w:bookmarkEnd w:id="43"/>
      <w:r>
        <w:rPr>
          <w:rFonts w:hint="eastAsia" w:ascii="宋体" w:hAnsi="宋体" w:eastAsia="宋体" w:cs="宋体"/>
          <w:color w:val="auto"/>
          <w:spacing w:val="0"/>
          <w:w w:val="100"/>
          <w:position w:val="0"/>
          <w:sz w:val="24"/>
          <w:szCs w:val="24"/>
          <w:highlight w:val="none"/>
          <w:u w:val="none"/>
          <w:shd w:val="clear" w:color="auto" w:fill="auto"/>
          <w:lang w:val="en-US" w:eastAsia="zh-CN" w:bidi="zh-TW"/>
        </w:rPr>
        <w:t>2、</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依</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法向甲方所在地人民法院起诉。</w:t>
      </w:r>
    </w:p>
    <w:p w14:paraId="5F984A45">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4" w:name="bookmark6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二）本条款为独立条款，本合同的无效、变更、解除和终止均不影响本条款的效力。</w:t>
      </w:r>
    </w:p>
    <w:p w14:paraId="48B4A7E6">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、合同变更</w:t>
      </w:r>
    </w:p>
    <w:p w14:paraId="3896F64E">
      <w:pPr>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5B0F2957">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十</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、合同</w:t>
      </w: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生效</w:t>
      </w:r>
    </w:p>
    <w:p w14:paraId="024A9CA0">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本合同一式</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份，甲方持</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份，乙方持</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份，鉴证</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方壹份，</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本合同甲、乙、鉴证各方签字并盖章后生效，合同执行完毕后，自动失效（合同的服务承诺则长期有效）。</w:t>
      </w:r>
    </w:p>
    <w:p w14:paraId="01175017">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2" w:firstLineChars="200"/>
        <w:jc w:val="both"/>
        <w:textAlignment w:val="auto"/>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b/>
          <w:bCs/>
          <w:color w:val="auto"/>
          <w:spacing w:val="0"/>
          <w:w w:val="100"/>
          <w:position w:val="0"/>
          <w:sz w:val="24"/>
          <w:szCs w:val="24"/>
          <w:highlight w:val="none"/>
          <w:u w:val="none"/>
          <w:shd w:val="clear" w:color="auto" w:fill="auto"/>
          <w:lang w:val="en-US" w:eastAsia="zh-CN" w:bidi="zh-TW"/>
        </w:rPr>
        <w:t>十五、</w:t>
      </w:r>
      <w:r>
        <w:rPr>
          <w:rFonts w:hint="eastAsia" w:ascii="宋体" w:hAnsi="宋体" w:eastAsia="宋体" w:cs="宋体"/>
          <w:b/>
          <w:bCs/>
          <w:color w:val="auto"/>
          <w:spacing w:val="0"/>
          <w:w w:val="100"/>
          <w:position w:val="0"/>
          <w:sz w:val="24"/>
          <w:szCs w:val="24"/>
          <w:highlight w:val="none"/>
          <w:u w:val="none"/>
          <w:shd w:val="clear" w:color="auto" w:fill="auto"/>
          <w:lang w:val="zh-TW" w:eastAsia="zh-TW" w:bidi="zh-TW"/>
        </w:rPr>
        <w:t>其他事项</w:t>
      </w:r>
    </w:p>
    <w:p w14:paraId="0DF1879C">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5" w:name="bookmark7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5"/>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一）</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西安市财政局</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在合同的履行期间以及履行期后，可以随时检查项目的执行情况，对采购标准、</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采</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购内容进行调查核实，并对发现的问题进行处理。</w:t>
      </w:r>
    </w:p>
    <w:p w14:paraId="3E7CD9BA">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6" w:name="bookmark7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谈判</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文件</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响应</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文件</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、澄清表（函）、</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成交</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通知书</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、合同附件均成为合同不可分割的部分。</w:t>
      </w:r>
    </w:p>
    <w:p w14:paraId="686D6D47">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7" w:name="bookmark75"/>
      <w:bookmarkStart w:id="48" w:name="bookmark7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4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w:t>
      </w:r>
      <w:bookmarkEnd w:id="48"/>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7F79C5F7">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49" w:name="bookmark77"/>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（四）</w:t>
      </w:r>
      <w:bookmarkEnd w:id="49"/>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合同未尽事宜，由甲、乙双方协商并经鉴证方确认后签订政府采购补充合同，与原合同具有同等法律效力。</w:t>
      </w:r>
    </w:p>
    <w:p w14:paraId="7CC5FE52">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br w:type="page"/>
      </w:r>
    </w:p>
    <w:p w14:paraId="7FCB0748">
      <w:pPr>
        <w:pStyle w:val="3"/>
        <w:rPr>
          <w:rFonts w:hint="eastAsia" w:ascii="宋体" w:hAnsi="宋体" w:eastAsia="宋体" w:cs="宋体"/>
          <w:sz w:val="24"/>
          <w:szCs w:val="24"/>
          <w:lang w:val="zh-TW" w:eastAsia="zh-CN"/>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本页无正文</w:t>
      </w:r>
      <w:r>
        <w:rPr>
          <w:rFonts w:hint="eastAsia" w:ascii="宋体" w:hAnsi="宋体" w:eastAsia="宋体" w:cs="宋体"/>
          <w:sz w:val="24"/>
          <w:szCs w:val="24"/>
          <w:lang w:val="zh-TW" w:eastAsia="zh-CN"/>
        </w:rPr>
        <w:t>）</w:t>
      </w:r>
    </w:p>
    <w:tbl>
      <w:tblPr>
        <w:tblStyle w:val="4"/>
        <w:tblW w:w="4998" w:type="pct"/>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autofit"/>
        <w:tblCellMar>
          <w:top w:w="0" w:type="dxa"/>
          <w:left w:w="10" w:type="dxa"/>
          <w:bottom w:w="0" w:type="dxa"/>
          <w:right w:w="10" w:type="dxa"/>
        </w:tblCellMar>
      </w:tblPr>
      <w:tblGrid>
        <w:gridCol w:w="2765"/>
        <w:gridCol w:w="2779"/>
        <w:gridCol w:w="2779"/>
      </w:tblGrid>
      <w:tr w14:paraId="7E0E642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98" w:hRule="exact"/>
          <w:jc w:val="center"/>
        </w:trPr>
        <w:tc>
          <w:tcPr>
            <w:tcW w:w="1661" w:type="pct"/>
            <w:shd w:val="clear" w:color="auto" w:fill="FFFFFF"/>
            <w:vAlign w:val="center"/>
          </w:tcPr>
          <w:p w14:paraId="1551440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甲方</w:t>
            </w:r>
          </w:p>
        </w:tc>
        <w:tc>
          <w:tcPr>
            <w:tcW w:w="1669" w:type="pct"/>
            <w:tcBorders>
              <w:left w:val="single" w:color="auto" w:sz="4" w:space="0"/>
            </w:tcBorders>
            <w:shd w:val="clear" w:color="auto" w:fill="FFFFFF"/>
            <w:vAlign w:val="center"/>
          </w:tcPr>
          <w:p w14:paraId="27B55307">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960" w:firstLineChars="4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w:t>
            </w:r>
          </w:p>
        </w:tc>
        <w:tc>
          <w:tcPr>
            <w:tcW w:w="1669" w:type="pct"/>
            <w:tcBorders>
              <w:left w:val="single" w:color="auto" w:sz="4" w:space="0"/>
            </w:tcBorders>
            <w:shd w:val="clear" w:color="auto" w:fill="auto"/>
            <w:vAlign w:val="top"/>
          </w:tcPr>
          <w:p w14:paraId="7A4A22E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960" w:firstLineChars="400"/>
              <w:jc w:val="left"/>
              <w:textAlignment w:val="auto"/>
              <w:rPr>
                <w:rFonts w:hint="eastAsia" w:ascii="宋体" w:hAnsi="宋体" w:eastAsia="宋体" w:cs="宋体"/>
                <w:kern w:val="2"/>
                <w:sz w:val="21"/>
                <w:szCs w:val="24"/>
                <w:lang w:val="zh-TW" w:eastAsia="zh-TW" w:bidi="ar-SA"/>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鉴证方</w:t>
            </w:r>
          </w:p>
        </w:tc>
      </w:tr>
      <w:tr w14:paraId="11959A8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98" w:hRule="exact"/>
          <w:jc w:val="center"/>
        </w:trPr>
        <w:tc>
          <w:tcPr>
            <w:tcW w:w="1661" w:type="pct"/>
            <w:shd w:val="clear" w:color="auto" w:fill="FFFFFF"/>
            <w:vAlign w:val="center"/>
          </w:tcPr>
          <w:p w14:paraId="57FD26E9">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采购人名称</w:t>
            </w:r>
          </w:p>
        </w:tc>
        <w:tc>
          <w:tcPr>
            <w:tcW w:w="1669" w:type="pct"/>
            <w:tcBorders>
              <w:left w:val="single" w:color="auto" w:sz="4" w:space="0"/>
            </w:tcBorders>
            <w:shd w:val="clear" w:color="auto" w:fill="FFFFFF"/>
            <w:vAlign w:val="center"/>
          </w:tcPr>
          <w:p w14:paraId="70D623A1">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供应商全称</w:t>
            </w:r>
          </w:p>
        </w:tc>
        <w:tc>
          <w:tcPr>
            <w:tcW w:w="1669" w:type="pct"/>
            <w:tcBorders>
              <w:left w:val="single" w:color="auto" w:sz="4" w:space="0"/>
            </w:tcBorders>
            <w:shd w:val="clear" w:color="auto" w:fill="auto"/>
            <w:vAlign w:val="center"/>
          </w:tcPr>
          <w:p w14:paraId="0961139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right="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陕西四方衡裕</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项目管理</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有限公司</w:t>
            </w:r>
          </w:p>
        </w:tc>
      </w:tr>
      <w:tr w14:paraId="5F7B4A8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402" w:hRule="exact"/>
          <w:jc w:val="center"/>
        </w:trPr>
        <w:tc>
          <w:tcPr>
            <w:tcW w:w="1661" w:type="pct"/>
            <w:shd w:val="clear" w:color="auto" w:fill="FFFFFF"/>
            <w:vAlign w:val="center"/>
          </w:tcPr>
          <w:p w14:paraId="0F22F3C6">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c>
          <w:tcPr>
            <w:tcW w:w="1669" w:type="pct"/>
            <w:tcBorders>
              <w:left w:val="single" w:color="auto" w:sz="4" w:space="0"/>
            </w:tcBorders>
            <w:shd w:val="clear" w:color="auto" w:fill="FFFFFF"/>
            <w:vAlign w:val="center"/>
          </w:tcPr>
          <w:p w14:paraId="4210E2D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c>
          <w:tcPr>
            <w:tcW w:w="1669" w:type="pct"/>
            <w:tcBorders>
              <w:left w:val="single" w:color="auto" w:sz="4" w:space="0"/>
            </w:tcBorders>
            <w:shd w:val="clear" w:color="auto" w:fill="FFFFFF"/>
            <w:vAlign w:val="center"/>
          </w:tcPr>
          <w:p w14:paraId="03B8EA0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center"/>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（盖章）</w:t>
            </w:r>
          </w:p>
        </w:tc>
      </w:tr>
      <w:tr w14:paraId="08C634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414" w:hRule="exact"/>
          <w:jc w:val="center"/>
        </w:trPr>
        <w:tc>
          <w:tcPr>
            <w:tcW w:w="1661" w:type="pct"/>
            <w:tcBorders>
              <w:top w:val="single" w:color="auto" w:sz="4" w:space="0"/>
            </w:tcBorders>
            <w:shd w:val="clear" w:color="auto" w:fill="FFFFFF"/>
            <w:vAlign w:val="top"/>
          </w:tcPr>
          <w:p w14:paraId="0BC8FCB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地址：</w:t>
            </w:r>
          </w:p>
        </w:tc>
        <w:tc>
          <w:tcPr>
            <w:tcW w:w="1669" w:type="pct"/>
            <w:tcBorders>
              <w:top w:val="single" w:color="auto" w:sz="4" w:space="0"/>
              <w:left w:val="single" w:color="auto" w:sz="4" w:space="0"/>
            </w:tcBorders>
            <w:shd w:val="clear" w:color="auto" w:fill="FFFFFF"/>
            <w:vAlign w:val="top"/>
          </w:tcPr>
          <w:p w14:paraId="42DECA1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地址：</w:t>
            </w:r>
          </w:p>
        </w:tc>
        <w:tc>
          <w:tcPr>
            <w:tcW w:w="1669" w:type="pct"/>
            <w:tcBorders>
              <w:top w:val="single" w:color="auto" w:sz="4" w:space="0"/>
              <w:left w:val="single" w:color="auto" w:sz="4" w:space="0"/>
            </w:tcBorders>
            <w:shd w:val="clear" w:color="auto" w:fill="FFFFFF"/>
            <w:vAlign w:val="top"/>
          </w:tcPr>
          <w:p w14:paraId="65168EE8">
            <w:pPr>
              <w:overflowPunct w:val="0"/>
              <w:topLinePunct/>
              <w:spacing w:line="460" w:lineRule="exact"/>
              <w:ind w:firstLine="0" w:firstLineChars="0"/>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rPr>
              <w:t>地址：</w:t>
            </w:r>
            <w:r>
              <w:rPr>
                <w:rFonts w:hint="eastAsia" w:ascii="宋体" w:hAnsi="宋体" w:eastAsia="宋体" w:cs="宋体"/>
                <w:sz w:val="24"/>
                <w:szCs w:val="24"/>
                <w:lang w:val="en-US" w:eastAsia="zh-CN"/>
              </w:rPr>
              <w:t>西安市高新区沣惠路16号泰华金贸国际8号楼28层</w:t>
            </w:r>
            <w:r>
              <w:rPr>
                <w:rFonts w:hint="eastAsia" w:ascii="宋体" w:hAnsi="宋体" w:eastAsia="宋体" w:cs="宋体"/>
                <w:lang w:val="en-US" w:eastAsia="zh-CN"/>
              </w:rPr>
              <w:t xml:space="preserve"> </w:t>
            </w:r>
          </w:p>
        </w:tc>
      </w:tr>
      <w:tr w14:paraId="08759FF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center"/>
          </w:tcPr>
          <w:p w14:paraId="0E5A278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邮编：</w:t>
            </w:r>
          </w:p>
        </w:tc>
        <w:tc>
          <w:tcPr>
            <w:tcW w:w="1669" w:type="pct"/>
            <w:tcBorders>
              <w:top w:val="single" w:color="auto" w:sz="4" w:space="0"/>
              <w:left w:val="single" w:color="auto" w:sz="4" w:space="0"/>
            </w:tcBorders>
            <w:shd w:val="clear" w:color="auto" w:fill="FFFFFF"/>
            <w:vAlign w:val="center"/>
          </w:tcPr>
          <w:p w14:paraId="364FC55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邮编：</w:t>
            </w:r>
          </w:p>
        </w:tc>
        <w:tc>
          <w:tcPr>
            <w:tcW w:w="1669" w:type="pct"/>
            <w:tcBorders>
              <w:top w:val="single" w:color="auto" w:sz="4" w:space="0"/>
              <w:left w:val="single" w:color="auto" w:sz="4" w:space="0"/>
            </w:tcBorders>
            <w:shd w:val="clear" w:color="auto" w:fill="FFFFFF"/>
            <w:vAlign w:val="top"/>
          </w:tcPr>
          <w:p w14:paraId="3A359F46">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2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rPr>
              <w:t>邮编：</w:t>
            </w:r>
          </w:p>
        </w:tc>
      </w:tr>
      <w:tr w14:paraId="6C3A5F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1766" w:hRule="exact"/>
          <w:jc w:val="center"/>
        </w:trPr>
        <w:tc>
          <w:tcPr>
            <w:tcW w:w="1661" w:type="pct"/>
            <w:tcBorders>
              <w:top w:val="single" w:color="auto" w:sz="4" w:space="0"/>
            </w:tcBorders>
            <w:shd w:val="clear" w:color="auto" w:fill="FFFFFF"/>
            <w:vAlign w:val="center"/>
          </w:tcPr>
          <w:p w14:paraId="072E936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c>
          <w:tcPr>
            <w:tcW w:w="1669" w:type="pct"/>
            <w:tcBorders>
              <w:top w:val="single" w:color="auto" w:sz="4" w:space="0"/>
              <w:left w:val="single" w:color="auto" w:sz="4" w:space="0"/>
            </w:tcBorders>
            <w:shd w:val="clear" w:color="auto" w:fill="FFFFFF"/>
            <w:vAlign w:val="center"/>
          </w:tcPr>
          <w:p w14:paraId="6850B2DE">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c>
          <w:tcPr>
            <w:tcW w:w="1669" w:type="pct"/>
            <w:tcBorders>
              <w:top w:val="single" w:color="auto" w:sz="4" w:space="0"/>
              <w:left w:val="single" w:color="auto" w:sz="4" w:space="0"/>
            </w:tcBorders>
            <w:shd w:val="clear" w:color="auto" w:fill="FFFFFF"/>
            <w:vAlign w:val="center"/>
          </w:tcPr>
          <w:p w14:paraId="69DD3C03">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left"/>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法定代表人</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或</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被授权代表</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签字或盖章</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p>
        </w:tc>
      </w:tr>
      <w:tr w14:paraId="4B64224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1661" w:type="pct"/>
            <w:tcBorders>
              <w:top w:val="single" w:color="auto" w:sz="4" w:space="0"/>
            </w:tcBorders>
            <w:shd w:val="clear" w:color="auto" w:fill="FFFFFF"/>
            <w:vAlign w:val="center"/>
          </w:tcPr>
          <w:p w14:paraId="66B6B9C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p>
        </w:tc>
        <w:tc>
          <w:tcPr>
            <w:tcW w:w="1669" w:type="pct"/>
            <w:tcBorders>
              <w:top w:val="single" w:color="auto" w:sz="4" w:space="0"/>
              <w:left w:val="single" w:color="auto" w:sz="4" w:space="0"/>
            </w:tcBorders>
            <w:shd w:val="clear" w:color="auto" w:fill="FFFFFF"/>
            <w:vAlign w:val="center"/>
          </w:tcPr>
          <w:p w14:paraId="61F838B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p>
        </w:tc>
        <w:tc>
          <w:tcPr>
            <w:tcW w:w="2779" w:type="dxa"/>
            <w:tcBorders>
              <w:top w:val="single" w:color="auto" w:sz="4" w:space="0"/>
              <w:left w:val="single" w:color="auto" w:sz="4" w:space="0"/>
            </w:tcBorders>
            <w:shd w:val="clear" w:color="auto" w:fill="FFFFFF"/>
            <w:vAlign w:val="center"/>
          </w:tcPr>
          <w:p w14:paraId="3BEF7CD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leftChars="0"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电话：</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029-89284433</w:t>
            </w:r>
          </w:p>
        </w:tc>
      </w:tr>
      <w:tr w14:paraId="747FC63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center"/>
          </w:tcPr>
          <w:p w14:paraId="099114CA">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c>
          <w:tcPr>
            <w:tcW w:w="1669" w:type="pct"/>
            <w:tcBorders>
              <w:top w:val="single" w:color="auto" w:sz="4" w:space="0"/>
              <w:left w:val="single" w:color="auto" w:sz="4" w:space="0"/>
            </w:tcBorders>
            <w:shd w:val="clear" w:color="auto" w:fill="FFFFFF"/>
            <w:vAlign w:val="center"/>
          </w:tcPr>
          <w:p w14:paraId="2A32DE0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c>
          <w:tcPr>
            <w:tcW w:w="2779" w:type="dxa"/>
            <w:tcBorders>
              <w:top w:val="single" w:color="auto" w:sz="4" w:space="0"/>
              <w:left w:val="single" w:color="auto" w:sz="4" w:space="0"/>
            </w:tcBorders>
            <w:shd w:val="clear" w:color="auto" w:fill="FFFFFF"/>
            <w:vAlign w:val="center"/>
          </w:tcPr>
          <w:p w14:paraId="51A9EC4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leftChars="0" w:right="0" w:rightChars="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传真：</w:t>
            </w:r>
          </w:p>
        </w:tc>
      </w:tr>
      <w:tr w14:paraId="14D632A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9" w:hRule="exact"/>
          <w:jc w:val="center"/>
        </w:trPr>
        <w:tc>
          <w:tcPr>
            <w:tcW w:w="1661" w:type="pct"/>
            <w:tcBorders>
              <w:top w:val="single" w:color="auto" w:sz="4" w:space="0"/>
            </w:tcBorders>
            <w:shd w:val="clear" w:color="auto" w:fill="FFFFFF"/>
            <w:vAlign w:val="top"/>
          </w:tcPr>
          <w:p w14:paraId="4397F482">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c>
          <w:tcPr>
            <w:tcW w:w="1669" w:type="pct"/>
            <w:tcBorders>
              <w:top w:val="single" w:color="auto" w:sz="4" w:space="0"/>
              <w:left w:val="single" w:color="auto" w:sz="4" w:space="0"/>
            </w:tcBorders>
            <w:shd w:val="clear" w:color="auto" w:fill="FFFFFF"/>
            <w:vAlign w:val="center"/>
          </w:tcPr>
          <w:p w14:paraId="15EC1735">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开户银行：</w:t>
            </w:r>
          </w:p>
        </w:tc>
        <w:tc>
          <w:tcPr>
            <w:tcW w:w="1669" w:type="pct"/>
            <w:tcBorders>
              <w:top w:val="single" w:color="auto" w:sz="4" w:space="0"/>
              <w:left w:val="single" w:color="auto" w:sz="4" w:space="0"/>
            </w:tcBorders>
            <w:shd w:val="clear" w:color="auto" w:fill="FFFFFF"/>
            <w:vAlign w:val="center"/>
          </w:tcPr>
          <w:p w14:paraId="57AE78DF">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r>
      <w:tr w14:paraId="20839DA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661" w:hRule="exact"/>
          <w:jc w:val="center"/>
        </w:trPr>
        <w:tc>
          <w:tcPr>
            <w:tcW w:w="1661" w:type="pct"/>
            <w:tcBorders>
              <w:top w:val="single" w:color="auto" w:sz="4" w:space="0"/>
            </w:tcBorders>
            <w:shd w:val="clear" w:color="auto" w:fill="FFFFFF"/>
            <w:vAlign w:val="top"/>
          </w:tcPr>
          <w:p w14:paraId="05180127">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c>
          <w:tcPr>
            <w:tcW w:w="1669" w:type="pct"/>
            <w:tcBorders>
              <w:top w:val="single" w:color="auto" w:sz="4" w:space="0"/>
              <w:left w:val="single" w:color="auto" w:sz="4" w:space="0"/>
            </w:tcBorders>
            <w:shd w:val="clear" w:color="auto" w:fill="FFFFFF"/>
            <w:vAlign w:val="center"/>
          </w:tcPr>
          <w:p w14:paraId="44B43B3A">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帐号：</w:t>
            </w:r>
          </w:p>
        </w:tc>
        <w:tc>
          <w:tcPr>
            <w:tcW w:w="1669" w:type="pct"/>
            <w:tcBorders>
              <w:top w:val="single" w:color="auto" w:sz="4" w:space="0"/>
              <w:left w:val="single" w:color="auto" w:sz="4" w:space="0"/>
            </w:tcBorders>
            <w:shd w:val="clear" w:color="auto" w:fill="FFFFFF"/>
            <w:vAlign w:val="center"/>
          </w:tcPr>
          <w:p w14:paraId="6009E186">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tc>
      </w:tr>
      <w:tr w14:paraId="6B9D1D9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 w:type="dxa"/>
            <w:bottom w:w="0" w:type="dxa"/>
            <w:right w:w="10" w:type="dxa"/>
          </w:tblCellMar>
        </w:tblPrEx>
        <w:trPr>
          <w:trHeight w:val="750" w:hRule="exact"/>
          <w:jc w:val="center"/>
        </w:trPr>
        <w:tc>
          <w:tcPr>
            <w:tcW w:w="1661" w:type="pct"/>
            <w:tcBorders>
              <w:top w:val="single" w:color="auto" w:sz="4" w:space="0"/>
            </w:tcBorders>
            <w:shd w:val="clear" w:color="auto" w:fill="FFFFFF"/>
            <w:vAlign w:val="center"/>
          </w:tcPr>
          <w:p w14:paraId="5FB6E1A8">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c>
          <w:tcPr>
            <w:tcW w:w="1669" w:type="pct"/>
            <w:tcBorders>
              <w:top w:val="single" w:color="auto" w:sz="4" w:space="0"/>
              <w:left w:val="single" w:color="auto" w:sz="4" w:space="0"/>
            </w:tcBorders>
            <w:shd w:val="clear" w:color="auto" w:fill="FFFFFF"/>
            <w:vAlign w:val="center"/>
          </w:tcPr>
          <w:p w14:paraId="22CBC2ED">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c>
          <w:tcPr>
            <w:tcW w:w="1669" w:type="pct"/>
            <w:tcBorders>
              <w:top w:val="single" w:color="auto" w:sz="4" w:space="0"/>
              <w:left w:val="single" w:color="auto" w:sz="4" w:space="0"/>
            </w:tcBorders>
            <w:shd w:val="clear" w:color="auto" w:fill="FFFFFF"/>
            <w:vAlign w:val="center"/>
          </w:tcPr>
          <w:p w14:paraId="0BF77CA0">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0" w:right="0" w:firstLine="0" w:firstLineChars="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日期：  年  月  日</w:t>
            </w:r>
          </w:p>
        </w:tc>
      </w:tr>
    </w:tbl>
    <w:p w14:paraId="36CEB194">
      <w:pPr>
        <w:keepNext w:val="0"/>
        <w:keepLines w:val="0"/>
        <w:pageBreakBefore w:val="0"/>
        <w:widowControl w:val="0"/>
        <w:shd w:val="clear" w:color="auto" w:fill="auto"/>
        <w:tabs>
          <w:tab w:val="left" w:pos="1598"/>
        </w:tabs>
        <w:kinsoku/>
        <w:wordWrap/>
        <w:overflowPunct/>
        <w:topLinePunct w:val="0"/>
        <w:autoSpaceDE/>
        <w:autoSpaceDN/>
        <w:bidi w:val="0"/>
        <w:adjustRightInd/>
        <w:snapToGrid/>
        <w:spacing w:before="0" w:after="380" w:line="413" w:lineRule="exact"/>
        <w:ind w:left="18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p>
    <w:p w14:paraId="7791860C">
      <w:pPr>
        <w:pStyle w:val="6"/>
        <w:rPr>
          <w:rFonts w:hint="eastAsia" w:ascii="宋体" w:hAnsi="宋体" w:eastAsia="宋体" w:cs="宋体"/>
        </w:rPr>
      </w:pPr>
      <w:bookmarkStart w:id="50" w:name="_GoBack"/>
      <w:bookmarkEnd w:id="50"/>
    </w:p>
    <w:p w14:paraId="18BF9359">
      <w:pPr>
        <w:pStyle w:val="6"/>
        <w:rPr>
          <w:rFonts w:hint="eastAsia" w:ascii="宋体" w:hAnsi="宋体" w:eastAsia="宋体" w:cs="宋体"/>
          <w:lang w:val="en-US" w:eastAsia="zh-Hans"/>
        </w:rPr>
      </w:pPr>
    </w:p>
    <w:p w14:paraId="1378AEB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C4C33"/>
    <w:rsid w:val="4BC0008A"/>
    <w:rsid w:val="7CCC4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sz w:val="28"/>
    </w:rPr>
  </w:style>
  <w:style w:type="paragraph" w:styleId="3">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4595</Words>
  <Characters>4663</Characters>
  <Lines>0</Lines>
  <Paragraphs>0</Paragraphs>
  <TotalTime>3</TotalTime>
  <ScaleCrop>false</ScaleCrop>
  <LinksUpToDate>false</LinksUpToDate>
  <CharactersWithSpaces>4866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2025-04-18T04:18:00Z</dcterms:created>
  <dc:creator>Administrator</dc:creator>
  <cp:lastModifiedBy>Administrator</cp:lastModifiedBy>
  <dcterms:modified xsi:type="dcterms:W3CDTF">2025-04-18T04:26:56Z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53C2DCB1C44B4DF6A747B2EB8DA506BB_11</vt:lpwstr>
  </property>
  <property fmtid="{D5CDD505-2E9C-101B-9397-08002B2CF9AE}" pid="4" name="KSOTemplateDocerSaveRecord">
    <vt:lpwstr>eyJoZGlkIjoiMTk0MGJlZmYzNTFlOTllYWY4YzQ5NmIzOTY0ZmUyYTMiLCJ1c2VySWQiOiIxNjgwMDIxMjIyIn0=</vt:lpwstr>
  </property>
</Properties>
</file>