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版本号：SXDXYZB2025-004-001.1B120250415001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2025年度食堂主、副食采购(二次)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SXDXYZB2025-004-001.1B1</w:t>
      </w:r>
      <w:r>
        <w:br/>
      </w:r>
      <w:r>
        <w:br/>
      </w:r>
      <w:r>
        <w:br/>
      </w:r>
    </w:p>
    <w:p>
      <w:pPr>
        <w:pStyle w:val="null3"/>
        <w:jc w:val="center"/>
        <w:outlineLvl w:val="2"/>
      </w:pPr>
      <w:r>
        <w:rPr>
          <w:rFonts w:ascii="仿宋_GB2312" w:hAnsi="仿宋_GB2312" w:cs="仿宋_GB2312" w:eastAsia="仿宋_GB2312"/>
          <w:sz w:val="28"/>
          <w:b/>
        </w:rPr>
        <w:t>西安市城市快速干道管理中心</w:t>
      </w:r>
    </w:p>
    <w:p>
      <w:pPr>
        <w:pStyle w:val="null3"/>
        <w:jc w:val="center"/>
        <w:outlineLvl w:val="2"/>
      </w:pPr>
      <w:r>
        <w:rPr>
          <w:rFonts w:ascii="仿宋_GB2312" w:hAnsi="仿宋_GB2312" w:cs="仿宋_GB2312" w:eastAsia="仿宋_GB2312"/>
          <w:sz w:val="28"/>
          <w:b/>
        </w:rPr>
        <w:t>陕西德欣源项目管理有限公司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陕西德欣源项目管理有限公司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西安市城市快速干道管理中心</w:t>
      </w:r>
      <w:r>
        <w:rPr>
          <w:rFonts w:ascii="仿宋_GB2312" w:hAnsi="仿宋_GB2312" w:cs="仿宋_GB2312" w:eastAsia="仿宋_GB2312"/>
        </w:rPr>
        <w:t>委托，拟对</w:t>
      </w:r>
      <w:r>
        <w:rPr>
          <w:rFonts w:ascii="仿宋_GB2312" w:hAnsi="仿宋_GB2312" w:cs="仿宋_GB2312" w:eastAsia="仿宋_GB2312"/>
        </w:rPr>
        <w:t>2025年度食堂主、副食采购(二次)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SXDXYZB2025-004-001.1B1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2025年度食堂主、副食采购(二次)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本项目为西安市城市快速干道管理中心2025年食堂主副食等采购及配送，供应商根据采购人要求提供其所需产品及配送服务。采购方式：竞争性磋商；预算金额：172000.00元。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采购包1（西安市城市快速干道管理中心食堂主、副食供应）：属于专门面向中小企业采购。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直接参加磋商的，须提供法定代表人身份证明及其身份证复印件加盖供应商公章；法定代表人授权他人参加磋商的，须提供法定代表人授权委托书（附法定代表人、被授权人身份证复印件加盖供应商公章）</w:t>
      </w:r>
    </w:p>
    <w:p>
      <w:pPr>
        <w:pStyle w:val="null3"/>
      </w:pPr>
      <w:r>
        <w:rPr>
          <w:rFonts w:ascii="仿宋_GB2312" w:hAnsi="仿宋_GB2312" w:cs="仿宋_GB2312" w:eastAsia="仿宋_GB2312"/>
        </w:rPr>
        <w:t>2、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磋商响应文件开启结束后，采购人或代理机构查询供应商在响应文件提交截止时间前的信用记录并保存信用记录结果网页截图）</w:t>
      </w:r>
    </w:p>
    <w:p>
      <w:pPr>
        <w:pStyle w:val="null3"/>
      </w:pPr>
      <w:r>
        <w:rPr>
          <w:rFonts w:ascii="仿宋_GB2312" w:hAnsi="仿宋_GB2312" w:cs="仿宋_GB2312" w:eastAsia="仿宋_GB2312"/>
        </w:rPr>
        <w:t>3、供应商应具备的资格条件：供应商须提供在有效期内的《食品经营许可证》</w:t>
      </w:r>
    </w:p>
    <w:p>
      <w:pPr>
        <w:pStyle w:val="null3"/>
      </w:pPr>
      <w:r>
        <w:rPr>
          <w:rFonts w:ascii="仿宋_GB2312" w:hAnsi="仿宋_GB2312" w:cs="仿宋_GB2312" w:eastAsia="仿宋_GB2312"/>
        </w:rPr>
        <w:t>4、不接受联合体相关要求：本项目不接受联合体投标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西安市城市快速干道管理中心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陕西省西安市莲湖区大兴西路西段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郝洪武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029-84382495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陕西德欣源项目管理有限公司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陕西省西安市经济技术开发区文景路一方中港国际B座1701室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029-86109738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关于印发《招标代理服务收费管理暂行办法》的通知（计价格〔2002〕1980号）、《国家发展和改革委员会办公厅关于招标代理服务收费有关问题的通知》（发改办价格〔2003〕857号）标准，以单标段实际中标（成交）金额为基数计算后下浮5%确定招标代理服务费；招标代理服务费不足5000元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西安市城市快速干道管理中心</w:t>
      </w:r>
      <w:r>
        <w:rPr>
          <w:rFonts w:ascii="仿宋_GB2312" w:hAnsi="仿宋_GB2312" w:cs="仿宋_GB2312" w:eastAsia="仿宋_GB2312"/>
        </w:rPr>
        <w:t>和</w:t>
      </w:r>
      <w:r>
        <w:rPr>
          <w:rFonts w:ascii="仿宋_GB2312" w:hAnsi="仿宋_GB2312" w:cs="仿宋_GB2312" w:eastAsia="仿宋_GB2312"/>
        </w:rPr>
        <w:t>陕西德欣源项目管理有限公司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西安市城市快速干道管理中心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陕西德欣源项目管理有限公司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西安市城市快速干道管理中心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陕西德欣源项目管理有限公司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符合国家相关行业标准及《中华人民共和国食品安全法》规定。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联系人：王玉</w:t>
      </w:r>
    </w:p>
    <w:p>
      <w:pPr>
        <w:pStyle w:val="null3"/>
      </w:pPr>
      <w:r>
        <w:rPr>
          <w:rFonts w:ascii="仿宋_GB2312" w:hAnsi="仿宋_GB2312" w:cs="仿宋_GB2312" w:eastAsia="仿宋_GB2312"/>
        </w:rPr>
        <w:t>联系电话：029-86109738</w:t>
      </w:r>
    </w:p>
    <w:p>
      <w:pPr>
        <w:pStyle w:val="null3"/>
      </w:pPr>
      <w:r>
        <w:rPr>
          <w:rFonts w:ascii="仿宋_GB2312" w:hAnsi="仿宋_GB2312" w:cs="仿宋_GB2312" w:eastAsia="仿宋_GB2312"/>
        </w:rPr>
        <w:t>地址：陕西省西安市经济技术开发区文景路一方中港国际B座1701室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西安市城市快速干道管理中心食堂主副食采购及配送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172,000.00</w:t>
      </w:r>
    </w:p>
    <w:p>
      <w:pPr>
        <w:pStyle w:val="null3"/>
      </w:pPr>
      <w:r>
        <w:rPr>
          <w:rFonts w:ascii="仿宋_GB2312" w:hAnsi="仿宋_GB2312" w:cs="仿宋_GB2312" w:eastAsia="仿宋_GB2312"/>
        </w:rPr>
        <w:t>采购包最高限价（元）: 172,000.00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食堂主、副食采购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标的名称：食堂主、副食采购</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西安市城市快速干道管理中心食堂食材配送</w:t>
            </w:r>
          </w:p>
        </w:tc>
        <w:tc>
          <w:tcPr>
            <w:tcW w:type="dxa" w:w="2076"/>
          </w:tcPr>
          <w:p>
            <w:pPr>
              <w:pStyle w:val="null3"/>
              <w:jc w:val="both"/>
            </w:pPr>
            <w:r>
              <w:rPr>
                <w:rFonts w:ascii="仿宋_GB2312" w:hAnsi="仿宋_GB2312" w:cs="仿宋_GB2312" w:eastAsia="仿宋_GB2312"/>
                <w:sz w:val="20"/>
              </w:rPr>
              <w:t>本项目为西安市城市快速干道管理中心食堂食材配送，</w:t>
            </w:r>
            <w:r>
              <w:rPr>
                <w:rFonts w:ascii="仿宋_GB2312" w:hAnsi="仿宋_GB2312" w:cs="仿宋_GB2312" w:eastAsia="仿宋_GB2312"/>
                <w:sz w:val="20"/>
              </w:rPr>
              <w:t>包括但不限于：</w:t>
            </w:r>
            <w:r>
              <w:rPr>
                <w:rFonts w:ascii="仿宋_GB2312" w:hAnsi="仿宋_GB2312" w:cs="仿宋_GB2312" w:eastAsia="仿宋_GB2312"/>
                <w:sz w:val="20"/>
              </w:rPr>
              <w:t>“</w:t>
            </w:r>
            <w:r>
              <w:rPr>
                <w:rFonts w:ascii="仿宋_GB2312" w:hAnsi="仿宋_GB2312" w:cs="仿宋_GB2312" w:eastAsia="仿宋_GB2312"/>
                <w:sz w:val="20"/>
              </w:rPr>
              <w:t>主食类</w:t>
            </w:r>
            <w:r>
              <w:rPr>
                <w:rFonts w:ascii="仿宋_GB2312" w:hAnsi="仿宋_GB2312" w:cs="仿宋_GB2312" w:eastAsia="仿宋_GB2312"/>
                <w:sz w:val="20"/>
              </w:rPr>
              <w:t>(</w:t>
            </w:r>
            <w:r>
              <w:rPr>
                <w:rFonts w:ascii="仿宋_GB2312" w:hAnsi="仿宋_GB2312" w:cs="仿宋_GB2312" w:eastAsia="仿宋_GB2312"/>
                <w:sz w:val="20"/>
              </w:rPr>
              <w:t>米、面、油</w:t>
            </w:r>
            <w:r>
              <w:rPr>
                <w:rFonts w:ascii="仿宋_GB2312" w:hAnsi="仿宋_GB2312" w:cs="仿宋_GB2312" w:eastAsia="仿宋_GB2312"/>
                <w:sz w:val="20"/>
              </w:rPr>
              <w:t>)</w:t>
            </w:r>
            <w:r>
              <w:rPr>
                <w:rFonts w:ascii="仿宋_GB2312" w:hAnsi="仿宋_GB2312" w:cs="仿宋_GB2312" w:eastAsia="仿宋_GB2312"/>
                <w:sz w:val="20"/>
              </w:rPr>
              <w:t>供应商采购。副食类供应商采购。食材种类为蔬菜类、肉类、水产类、水果类、</w:t>
            </w:r>
            <w:r>
              <w:rPr>
                <w:rFonts w:ascii="仿宋_GB2312" w:hAnsi="仿宋_GB2312" w:cs="仿宋_GB2312" w:eastAsia="仿宋_GB2312"/>
                <w:sz w:val="20"/>
              </w:rPr>
              <w:t>干</w:t>
            </w:r>
            <w:r>
              <w:rPr>
                <w:rFonts w:ascii="仿宋_GB2312" w:hAnsi="仿宋_GB2312" w:cs="仿宋_GB2312" w:eastAsia="仿宋_GB2312"/>
                <w:sz w:val="20"/>
              </w:rPr>
              <w:t>货类、调料类、蛋类、豆制品类、奶制品类、糕点类等</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供应商根据采购人要求提供其所需产品及配送服务。</w:t>
            </w:r>
          </w:p>
          <w:p>
            <w:pPr>
              <w:pStyle w:val="null3"/>
              <w:jc w:val="both"/>
            </w:pPr>
            <w:r>
              <w:rPr>
                <w:rFonts w:ascii="仿宋_GB2312" w:hAnsi="仿宋_GB2312" w:cs="仿宋_GB2312" w:eastAsia="仿宋_GB2312"/>
                <w:sz w:val="20"/>
              </w:rPr>
              <w:t>（一）技术要求</w:t>
            </w:r>
          </w:p>
          <w:p>
            <w:pPr>
              <w:pStyle w:val="null3"/>
              <w:jc w:val="both"/>
            </w:pPr>
            <w:r>
              <w:rPr>
                <w:rFonts w:ascii="仿宋_GB2312" w:hAnsi="仿宋_GB2312" w:cs="仿宋_GB2312" w:eastAsia="仿宋_GB2312"/>
                <w:sz w:val="20"/>
              </w:rPr>
              <w:t>1、按照采购方提供的采购计划进行食材采购。</w:t>
            </w:r>
          </w:p>
          <w:p>
            <w:pPr>
              <w:pStyle w:val="null3"/>
              <w:jc w:val="both"/>
            </w:pPr>
            <w:r>
              <w:rPr>
                <w:rFonts w:ascii="仿宋_GB2312" w:hAnsi="仿宋_GB2312" w:cs="仿宋_GB2312" w:eastAsia="仿宋_GB2312"/>
                <w:sz w:val="20"/>
              </w:rPr>
              <w:t>2、按照采购方指定的时间地点及配送次数进行食材配送。</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其他要求</w:t>
            </w:r>
            <w:r>
              <w:rPr>
                <w:rFonts w:ascii="仿宋_GB2312" w:hAnsi="仿宋_GB2312" w:cs="仿宋_GB2312" w:eastAsia="仿宋_GB2312"/>
                <w:sz w:val="20"/>
              </w:rPr>
              <w:t>：</w:t>
            </w:r>
            <w:r>
              <w:rPr>
                <w:rFonts w:ascii="仿宋_GB2312" w:hAnsi="仿宋_GB2312" w:cs="仿宋_GB2312" w:eastAsia="仿宋_GB2312"/>
                <w:sz w:val="20"/>
              </w:rPr>
              <w:t>所采购食材必须符合《中华人民共和国食品安全法》</w:t>
            </w:r>
            <w:r>
              <w:rPr>
                <w:rFonts w:ascii="仿宋_GB2312" w:hAnsi="仿宋_GB2312" w:cs="仿宋_GB2312" w:eastAsia="仿宋_GB2312"/>
                <w:sz w:val="20"/>
              </w:rPr>
              <w:t>、《动物检疫法》、《食品安全国家标准食品添加剂使用标准》（</w:t>
            </w:r>
            <w:r>
              <w:rPr>
                <w:rFonts w:ascii="仿宋_GB2312" w:hAnsi="仿宋_GB2312" w:cs="仿宋_GB2312" w:eastAsia="仿宋_GB2312"/>
                <w:sz w:val="20"/>
              </w:rPr>
              <w:t>GB 2760-2014）等相关规定</w:t>
            </w:r>
            <w:r>
              <w:rPr>
                <w:rFonts w:ascii="仿宋_GB2312" w:hAnsi="仿宋_GB2312" w:cs="仿宋_GB2312" w:eastAsia="仿宋_GB2312"/>
                <w:sz w:val="20"/>
              </w:rPr>
              <w:t>，配送过程安全可靠，无损坏及污染</w:t>
            </w:r>
            <w:r>
              <w:rPr>
                <w:rFonts w:ascii="仿宋_GB2312" w:hAnsi="仿宋_GB2312" w:cs="仿宋_GB2312" w:eastAsia="仿宋_GB2312"/>
                <w:sz w:val="20"/>
              </w:rPr>
              <w:t>，</w:t>
            </w:r>
            <w:r>
              <w:rPr>
                <w:rFonts w:ascii="仿宋_GB2312" w:hAnsi="仿宋_GB2312" w:cs="仿宋_GB2312" w:eastAsia="仿宋_GB2312"/>
                <w:sz w:val="20"/>
              </w:rPr>
              <w:t>食品原料新鲜、清洁卫生。</w:t>
            </w:r>
          </w:p>
          <w:p>
            <w:pPr>
              <w:pStyle w:val="null3"/>
              <w:ind w:firstLine="400"/>
              <w:jc w:val="both"/>
            </w:pPr>
            <w:r>
              <w:rPr>
                <w:rFonts w:ascii="仿宋_GB2312" w:hAnsi="仿宋_GB2312" w:cs="仿宋_GB2312" w:eastAsia="仿宋_GB2312"/>
                <w:sz w:val="20"/>
              </w:rPr>
              <w:t>供应商提供五年内无重大食品安全、人员安全事故声明。</w:t>
            </w:r>
          </w:p>
          <w:p>
            <w:pPr>
              <w:pStyle w:val="null3"/>
              <w:ind w:firstLine="400"/>
              <w:jc w:val="both"/>
            </w:pPr>
            <w:r>
              <w:rPr>
                <w:rFonts w:ascii="仿宋_GB2312" w:hAnsi="仿宋_GB2312" w:cs="仿宋_GB2312" w:eastAsia="仿宋_GB2312"/>
                <w:sz w:val="20"/>
              </w:rPr>
              <w:t>一经发现供应以下食品，除全部退货外，将取消供货单位的供货资格，并由供货商承担由此造成的经济责任和法律责任：</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腐败变质，油脂酸败，霉变，生虫，污秽不洁，混有异物或者其他感官性状异常，含有毒，有害物质污染，可能对人体健康有害的食品；</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含有毒、有害物质或者被有害物质污染，对人体健康有害的；</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含有致病性寄生虫、微生物或者微生物含量超过国家限定标准的；</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未经动物检疫部门检疫、检验或者检疫、检验不合格的肉类及其制品；</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5）</w:t>
            </w:r>
            <w:r>
              <w:rPr>
                <w:rFonts w:ascii="仿宋_GB2312" w:hAnsi="仿宋_GB2312" w:cs="仿宋_GB2312" w:eastAsia="仿宋_GB2312"/>
                <w:sz w:val="20"/>
              </w:rPr>
              <w:t>掺假、掺杂、以次充好，影响营养、卫生的；</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用非食品原料加工的，加入非食品用化学物质。</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无品名、产地、厂名，生产日期，保质期及中文标识及原料说明的定型包装食品；</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超过保质期限或不符合食品标签规定的定型包装食品；</w:t>
            </w:r>
          </w:p>
          <w:p>
            <w:pPr>
              <w:pStyle w:val="null3"/>
              <w:ind w:firstLine="400"/>
              <w:jc w:val="both"/>
            </w:pPr>
            <w:r>
              <w:rPr>
                <w:rFonts w:ascii="仿宋_GB2312" w:hAnsi="仿宋_GB2312" w:cs="仿宋_GB2312" w:eastAsia="仿宋_GB2312"/>
                <w:sz w:val="20"/>
              </w:rPr>
              <w:t>9）</w:t>
            </w:r>
            <w:r>
              <w:rPr>
                <w:rFonts w:ascii="仿宋_GB2312" w:hAnsi="仿宋_GB2312" w:cs="仿宋_GB2312" w:eastAsia="仿宋_GB2312"/>
                <w:sz w:val="20"/>
              </w:rPr>
              <w:t>病死或者死因不明的水产品，畜，禽及其制品，劣质食用油，不合格调味品，工业用盐，非食品原料和滥用</w:t>
            </w:r>
            <w:r>
              <w:rPr>
                <w:rFonts w:ascii="仿宋_GB2312" w:hAnsi="仿宋_GB2312" w:cs="仿宋_GB2312" w:eastAsia="仿宋_GB2312"/>
                <w:sz w:val="20"/>
              </w:rPr>
              <w:t>食品添加剂，农药残留超标的蔬菜等；</w:t>
            </w:r>
          </w:p>
          <w:p>
            <w:pPr>
              <w:pStyle w:val="null3"/>
              <w:ind w:firstLine="400"/>
              <w:jc w:val="both"/>
            </w:pPr>
            <w:r>
              <w:rPr>
                <w:rFonts w:ascii="仿宋_GB2312" w:hAnsi="仿宋_GB2312" w:cs="仿宋_GB2312" w:eastAsia="仿宋_GB2312"/>
                <w:sz w:val="20"/>
              </w:rPr>
              <w:t>10）</w:t>
            </w:r>
            <w:r>
              <w:rPr>
                <w:rFonts w:ascii="仿宋_GB2312" w:hAnsi="仿宋_GB2312" w:cs="仿宋_GB2312" w:eastAsia="仿宋_GB2312"/>
                <w:sz w:val="20"/>
              </w:rPr>
              <w:t>其他不符合食品卫生标准和要求的食品。</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规模</w:t>
            </w:r>
            <w:r>
              <w:rPr>
                <w:rFonts w:ascii="仿宋_GB2312" w:hAnsi="仿宋_GB2312" w:cs="仿宋_GB2312" w:eastAsia="仿宋_GB2312"/>
                <w:sz w:val="20"/>
              </w:rPr>
              <w:t>：</w:t>
            </w:r>
            <w:r>
              <w:rPr>
                <w:rFonts w:ascii="仿宋_GB2312" w:hAnsi="仿宋_GB2312" w:cs="仿宋_GB2312" w:eastAsia="仿宋_GB2312"/>
                <w:sz w:val="20"/>
              </w:rPr>
              <w:t>西安市城市快速干道管理中心主、副食供应商采购</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配送方式：</w:t>
            </w:r>
            <w:r>
              <w:rPr>
                <w:rFonts w:ascii="仿宋_GB2312" w:hAnsi="仿宋_GB2312" w:cs="仿宋_GB2312" w:eastAsia="仿宋_GB2312"/>
                <w:sz w:val="20"/>
              </w:rPr>
              <w:t>供应商自备送货车（冷藏或恒温），装卸费、送货费用及运输安全由供货方承担</w:t>
            </w:r>
            <w:r>
              <w:rPr>
                <w:rFonts w:ascii="仿宋_GB2312" w:hAnsi="仿宋_GB2312" w:cs="仿宋_GB2312" w:eastAsia="仿宋_GB2312"/>
                <w:sz w:val="20"/>
              </w:rPr>
              <w:t>，</w:t>
            </w:r>
            <w:r>
              <w:rPr>
                <w:rFonts w:ascii="仿宋_GB2312" w:hAnsi="仿宋_GB2312" w:cs="仿宋_GB2312" w:eastAsia="仿宋_GB2312"/>
                <w:sz w:val="20"/>
              </w:rPr>
              <w:t>并指定</w:t>
            </w:r>
            <w:r>
              <w:rPr>
                <w:rFonts w:ascii="仿宋_GB2312" w:hAnsi="仿宋_GB2312" w:cs="仿宋_GB2312" w:eastAsia="仿宋_GB2312"/>
                <w:sz w:val="20"/>
              </w:rPr>
              <w:t>1名联络人（联络及配送人员须提供健康证），供应商按照需求清单及相关要求，将所需产品准时送至配送地点。供应商送货时需附经公司盖章的副食品送货机打清单，食堂验收人员按照产品质量标准要求，对照需求清单组织产品验收，经验收合格后，在供应商提供的送货清单上签字盖章确认。送货清单一式两份，双方各留存一份，用于月底清算配送费用，配送人员需有相应的配送业务经历，便于业务沟通。</w:t>
            </w:r>
          </w:p>
          <w:p>
            <w:pPr>
              <w:pStyle w:val="null3"/>
            </w:pPr>
            <w:r>
              <w:rPr>
                <w:rFonts w:ascii="仿宋_GB2312" w:hAnsi="仿宋_GB2312" w:cs="仿宋_GB2312" w:eastAsia="仿宋_GB2312"/>
                <w:sz w:val="20"/>
              </w:rPr>
              <w:t>（</w:t>
            </w:r>
            <w:r>
              <w:rPr>
                <w:rFonts w:ascii="仿宋_GB2312" w:hAnsi="仿宋_GB2312" w:cs="仿宋_GB2312" w:eastAsia="仿宋_GB2312"/>
              </w:rPr>
              <w:t>二</w:t>
            </w:r>
            <w:r>
              <w:rPr>
                <w:rFonts w:ascii="仿宋_GB2312" w:hAnsi="仿宋_GB2312" w:cs="仿宋_GB2312" w:eastAsia="仿宋_GB2312"/>
              </w:rPr>
              <w:t>）质量验收标准或规范</w:t>
            </w:r>
          </w:p>
          <w:p>
            <w:pPr>
              <w:pStyle w:val="null3"/>
            </w:pP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蔬菜类</w:t>
            </w:r>
          </w:p>
          <w:p>
            <w:pPr>
              <w:pStyle w:val="null3"/>
            </w:pPr>
            <w:r>
              <w:rPr>
                <w:rFonts w:ascii="仿宋_GB2312" w:hAnsi="仿宋_GB2312" w:cs="仿宋_GB2312" w:eastAsia="仿宋_GB2312"/>
              </w:rPr>
              <w:t>叶菜</w:t>
            </w:r>
            <w:r>
              <w:rPr>
                <w:rFonts w:ascii="仿宋_GB2312" w:hAnsi="仿宋_GB2312" w:cs="仿宋_GB2312" w:eastAsia="仿宋_GB2312"/>
              </w:rPr>
              <w:t>(</w:t>
            </w:r>
            <w:r>
              <w:rPr>
                <w:rFonts w:ascii="仿宋_GB2312" w:hAnsi="仿宋_GB2312" w:cs="仿宋_GB2312" w:eastAsia="仿宋_GB2312"/>
              </w:rPr>
              <w:t>白菜、菠菜、空心菜、简篙、芹菜等</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外形正常，肉质鲜嫩形态好，色泽正常</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叶梗光滑幼嫩，茎基部削平，无枯黄叶、病叶、泥土、明显机械伤和病虫害伤，无烧心焦边、腐烂等现象</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无抽苔</w:t>
            </w:r>
            <w:r>
              <w:rPr>
                <w:rFonts w:ascii="仿宋_GB2312" w:hAnsi="仿宋_GB2312" w:cs="仿宋_GB2312" w:eastAsia="仿宋_GB2312"/>
              </w:rPr>
              <w:t>(</w:t>
            </w:r>
            <w:r>
              <w:rPr>
                <w:rFonts w:ascii="仿宋_GB2312" w:hAnsi="仿宋_GB2312" w:cs="仿宋_GB2312" w:eastAsia="仿宋_GB2312"/>
              </w:rPr>
              <w:t>菜心除外</w:t>
            </w:r>
            <w:r>
              <w:rPr>
                <w:rFonts w:ascii="仿宋_GB2312" w:hAnsi="仿宋_GB2312" w:cs="仿宋_GB2312" w:eastAsia="仿宋_GB2312"/>
              </w:rPr>
              <w:t>)</w:t>
            </w:r>
            <w:r>
              <w:rPr>
                <w:rFonts w:ascii="仿宋_GB2312" w:hAnsi="仿宋_GB2312" w:cs="仿宋_GB2312" w:eastAsia="仿宋_GB2312"/>
              </w:rPr>
              <w:t>，无异味，结球叶菜要结球适度，花菜应新鲜洁白，不带叶鼓，无畸形花</w:t>
            </w:r>
            <w:r>
              <w:rPr>
                <w:rFonts w:ascii="仿宋_GB2312" w:hAnsi="仿宋_GB2312" w:cs="仿宋_GB2312" w:eastAsia="仿宋_GB2312"/>
              </w:rPr>
              <w:t>;</w:t>
            </w:r>
          </w:p>
          <w:p>
            <w:pPr>
              <w:pStyle w:val="null3"/>
            </w:pPr>
            <w:r>
              <w:rPr>
                <w:rFonts w:ascii="仿宋_GB2312" w:hAnsi="仿宋_GB2312" w:cs="仿宋_GB2312" w:eastAsia="仿宋_GB2312"/>
              </w:rPr>
              <w:t>4.</w:t>
            </w:r>
            <w:r>
              <w:rPr>
                <w:rFonts w:ascii="仿宋_GB2312" w:hAnsi="仿宋_GB2312" w:cs="仿宋_GB2312" w:eastAsia="仿宋_GB2312"/>
              </w:rPr>
              <w:t>无明显浸水现象</w:t>
            </w:r>
            <w:r>
              <w:rPr>
                <w:rFonts w:ascii="仿宋_GB2312" w:hAnsi="仿宋_GB2312" w:cs="仿宋_GB2312" w:eastAsia="仿宋_GB2312"/>
              </w:rPr>
              <w:t>;</w:t>
            </w:r>
          </w:p>
          <w:p>
            <w:pPr>
              <w:pStyle w:val="null3"/>
            </w:pPr>
            <w:r>
              <w:rPr>
                <w:rFonts w:ascii="仿宋_GB2312" w:hAnsi="仿宋_GB2312" w:cs="仿宋_GB2312" w:eastAsia="仿宋_GB2312"/>
              </w:rPr>
              <w:t>5.</w:t>
            </w:r>
            <w:r>
              <w:rPr>
                <w:rFonts w:ascii="仿宋_GB2312" w:hAnsi="仿宋_GB2312" w:cs="仿宋_GB2312" w:eastAsia="仿宋_GB2312"/>
              </w:rPr>
              <w:t>农药残留不超标。鲜度嫩度明显不佳，含黄叶、须根、泥土，虫害严重</w:t>
            </w:r>
            <w:r>
              <w:rPr>
                <w:rFonts w:ascii="仿宋_GB2312" w:hAnsi="仿宋_GB2312" w:cs="仿宋_GB2312" w:eastAsia="仿宋_GB2312"/>
              </w:rPr>
              <w:t>,</w:t>
            </w:r>
            <w:r>
              <w:rPr>
                <w:rFonts w:ascii="仿宋_GB2312" w:hAnsi="仿宋_GB2312" w:cs="仿宋_GB2312" w:eastAsia="仿宋_GB2312"/>
              </w:rPr>
              <w:t>萎捏严重，浸水后仍不可恢复，农药残留超标。国家或行业相关标准。</w:t>
            </w:r>
          </w:p>
          <w:p>
            <w:pPr>
              <w:pStyle w:val="null3"/>
            </w:pP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果蔬类</w:t>
            </w:r>
          </w:p>
          <w:p>
            <w:pPr>
              <w:pStyle w:val="null3"/>
            </w:pPr>
            <w:r>
              <w:rPr>
                <w:rFonts w:ascii="仿宋_GB2312" w:hAnsi="仿宋_GB2312" w:cs="仿宋_GB2312" w:eastAsia="仿宋_GB2312"/>
              </w:rPr>
              <w:t>果实整洁，成熟度适中，无裂果及空洞现象，茄果不能有裂蒂及果皮变硬现象，无虫害，无疤点，无断裂，无腐烂、异味，不带泥土，无明显机械伤，农残留不超标。无虫咬、发芽、发霉现象，表皮细致光滑，肉质脆嫩致密新鲜，无腐烂、裂痕、糠心、异味。</w:t>
            </w:r>
          </w:p>
          <w:p>
            <w:pPr>
              <w:pStyle w:val="null3"/>
            </w:pP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葱蒜类</w:t>
            </w:r>
          </w:p>
          <w:p>
            <w:pPr>
              <w:pStyle w:val="null3"/>
            </w:pPr>
            <w:r>
              <w:rPr>
                <w:rFonts w:ascii="仿宋_GB2312" w:hAnsi="仿宋_GB2312" w:cs="仿宋_GB2312" w:eastAsia="仿宋_GB2312"/>
              </w:rPr>
              <w:t>允许葱、青蒜类保留干净须根，葱、蒜、韭菜不带老叶，蒜头、洋葱去根去枯叶，可食部新鲜幼嫩，无腐烂、异味。</w:t>
            </w:r>
          </w:p>
          <w:p>
            <w:pPr>
              <w:pStyle w:val="null3"/>
            </w:pPr>
            <w:r>
              <w:rPr>
                <w:rFonts w:ascii="仿宋_GB2312" w:hAnsi="仿宋_GB2312" w:cs="仿宋_GB2312" w:eastAsia="仿宋_GB2312"/>
              </w:rPr>
              <w:t>四</w:t>
            </w:r>
            <w:r>
              <w:rPr>
                <w:rFonts w:ascii="仿宋_GB2312" w:hAnsi="仿宋_GB2312" w:cs="仿宋_GB2312" w:eastAsia="仿宋_GB2312"/>
              </w:rPr>
              <w:t>)</w:t>
            </w:r>
            <w:r>
              <w:rPr>
                <w:rFonts w:ascii="仿宋_GB2312" w:hAnsi="仿宋_GB2312" w:cs="仿宋_GB2312" w:eastAsia="仿宋_GB2312"/>
              </w:rPr>
              <w:t>水生菜类</w:t>
            </w:r>
          </w:p>
          <w:p>
            <w:pPr>
              <w:pStyle w:val="null3"/>
            </w:pPr>
            <w:r>
              <w:rPr>
                <w:rFonts w:ascii="仿宋_GB2312" w:hAnsi="仿宋_GB2312" w:cs="仿宋_GB2312" w:eastAsia="仿宋_GB2312"/>
              </w:rPr>
              <w:t>肉质嫩，成熟度适中，无腐烂、异味，无明显机械伤，不带泥土和杂质，不干瘪，菱白不黑心。</w:t>
            </w:r>
          </w:p>
          <w:p>
            <w:pPr>
              <w:pStyle w:val="null3"/>
            </w:pPr>
            <w:r>
              <w:rPr>
                <w:rFonts w:ascii="仿宋_GB2312" w:hAnsi="仿宋_GB2312" w:cs="仿宋_GB2312" w:eastAsia="仿宋_GB2312"/>
              </w:rPr>
              <w:t>五</w:t>
            </w:r>
            <w:r>
              <w:rPr>
                <w:rFonts w:ascii="仿宋_GB2312" w:hAnsi="仿宋_GB2312" w:cs="仿宋_GB2312" w:eastAsia="仿宋_GB2312"/>
              </w:rPr>
              <w:t>)</w:t>
            </w:r>
            <w:r>
              <w:rPr>
                <w:rFonts w:ascii="仿宋_GB2312" w:hAnsi="仿宋_GB2312" w:cs="仿宋_GB2312" w:eastAsia="仿宋_GB2312"/>
              </w:rPr>
              <w:t>芽苗类</w:t>
            </w:r>
          </w:p>
          <w:p>
            <w:pPr>
              <w:pStyle w:val="null3"/>
            </w:pPr>
            <w:r>
              <w:rPr>
                <w:rFonts w:ascii="仿宋_GB2312" w:hAnsi="仿宋_GB2312" w:cs="仿宋_GB2312" w:eastAsia="仿宋_GB2312"/>
              </w:rPr>
              <w:t>芽苗幼嫩，不带豆壳杂质，新鲜，不浸水，无腐烂、异味。肉类</w:t>
            </w:r>
            <w:r>
              <w:rPr>
                <w:rFonts w:ascii="仿宋_GB2312" w:hAnsi="仿宋_GB2312" w:cs="仿宋_GB2312" w:eastAsia="仿宋_GB2312"/>
              </w:rPr>
              <w:t>(</w:t>
            </w:r>
            <w:r>
              <w:rPr>
                <w:rFonts w:ascii="仿宋_GB2312" w:hAnsi="仿宋_GB2312" w:cs="仿宋_GB2312" w:eastAsia="仿宋_GB2312"/>
              </w:rPr>
              <w:t>均为全国区域知名品牌肉类</w:t>
            </w:r>
            <w:r>
              <w:rPr>
                <w:rFonts w:ascii="仿宋_GB2312" w:hAnsi="仿宋_GB2312" w:cs="仿宋_GB2312" w:eastAsia="仿宋_GB2312"/>
              </w:rPr>
              <w:t>)</w:t>
            </w:r>
          </w:p>
          <w:p>
            <w:pPr>
              <w:pStyle w:val="null3"/>
            </w:pPr>
            <w:r>
              <w:rPr>
                <w:rFonts w:ascii="仿宋_GB2312" w:hAnsi="仿宋_GB2312" w:cs="仿宋_GB2312" w:eastAsia="仿宋_GB2312"/>
              </w:rPr>
              <w:t>六</w:t>
            </w:r>
            <w:r>
              <w:rPr>
                <w:rFonts w:ascii="仿宋_GB2312" w:hAnsi="仿宋_GB2312" w:cs="仿宋_GB2312" w:eastAsia="仿宋_GB2312"/>
              </w:rPr>
              <w:t>)</w:t>
            </w:r>
            <w:r>
              <w:rPr>
                <w:rFonts w:ascii="仿宋_GB2312" w:hAnsi="仿宋_GB2312" w:cs="仿宋_GB2312" w:eastAsia="仿宋_GB2312"/>
              </w:rPr>
              <w:t>猪肉</w:t>
            </w:r>
          </w:p>
          <w:p>
            <w:pPr>
              <w:pStyle w:val="null3"/>
            </w:pPr>
            <w:r>
              <w:rPr>
                <w:rFonts w:ascii="仿宋_GB2312" w:hAnsi="仿宋_GB2312" w:cs="仿宋_GB2312" w:eastAsia="仿宋_GB2312"/>
              </w:rPr>
              <w:t>1.</w:t>
            </w:r>
            <w:r>
              <w:rPr>
                <w:rFonts w:ascii="仿宋_GB2312" w:hAnsi="仿宋_GB2312" w:cs="仿宋_GB2312" w:eastAsia="仿宋_GB2312"/>
              </w:rPr>
              <w:t>色泽鲜艳，无注水，表面有一层微干的薄膜，瘦肉新切面稍湿润，呈淡玫瑰色或淡红色</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触摸有弹性，不粘手，指压不留陷窝</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外表干净，皮毛清理干净，无异味，根据需要进行了改刀和加工</w:t>
            </w:r>
            <w:r>
              <w:rPr>
                <w:rFonts w:ascii="仿宋_GB2312" w:hAnsi="仿宋_GB2312" w:cs="仿宋_GB2312" w:eastAsia="仿宋_GB2312"/>
              </w:rPr>
              <w:t>:</w:t>
            </w:r>
          </w:p>
          <w:p>
            <w:pPr>
              <w:pStyle w:val="null3"/>
            </w:pPr>
            <w:r>
              <w:rPr>
                <w:rFonts w:ascii="仿宋_GB2312" w:hAnsi="仿宋_GB2312" w:cs="仿宋_GB2312" w:eastAsia="仿宋_GB2312"/>
              </w:rPr>
              <w:t>4.</w:t>
            </w:r>
            <w:r>
              <w:rPr>
                <w:rFonts w:ascii="仿宋_GB2312" w:hAnsi="仿宋_GB2312" w:cs="仿宋_GB2312" w:eastAsia="仿宋_GB2312"/>
              </w:rPr>
              <w:t>含水量检测值低于</w:t>
            </w:r>
            <w:r>
              <w:rPr>
                <w:rFonts w:ascii="仿宋_GB2312" w:hAnsi="仿宋_GB2312" w:cs="仿宋_GB2312" w:eastAsia="仿宋_GB2312"/>
              </w:rPr>
              <w:t>77%</w:t>
            </w:r>
            <w:r>
              <w:rPr>
                <w:rFonts w:ascii="仿宋_GB2312" w:hAnsi="仿宋_GB2312" w:cs="仿宋_GB2312" w:eastAsia="仿宋_GB2312"/>
              </w:rPr>
              <w:t>。</w:t>
            </w:r>
          </w:p>
          <w:p>
            <w:pPr>
              <w:pStyle w:val="null3"/>
            </w:pPr>
            <w:r>
              <w:rPr>
                <w:rFonts w:ascii="仿宋_GB2312" w:hAnsi="仿宋_GB2312" w:cs="仿宋_GB2312" w:eastAsia="仿宋_GB2312"/>
              </w:rPr>
              <w:t>七</w:t>
            </w:r>
            <w:r>
              <w:rPr>
                <w:rFonts w:ascii="仿宋_GB2312" w:hAnsi="仿宋_GB2312" w:cs="仿宋_GB2312" w:eastAsia="仿宋_GB2312"/>
              </w:rPr>
              <w:t>)</w:t>
            </w:r>
            <w:r>
              <w:rPr>
                <w:rFonts w:ascii="仿宋_GB2312" w:hAnsi="仿宋_GB2312" w:cs="仿宋_GB2312" w:eastAsia="仿宋_GB2312"/>
              </w:rPr>
              <w:t>牛羊肉</w:t>
            </w:r>
          </w:p>
          <w:p>
            <w:pPr>
              <w:pStyle w:val="null3"/>
            </w:pPr>
            <w:r>
              <w:rPr>
                <w:rFonts w:ascii="仿宋_GB2312" w:hAnsi="仿宋_GB2312" w:cs="仿宋_GB2312" w:eastAsia="仿宋_GB2312"/>
              </w:rPr>
              <w:t>1.</w:t>
            </w:r>
            <w:r>
              <w:rPr>
                <w:rFonts w:ascii="仿宋_GB2312" w:hAnsi="仿宋_GB2312" w:cs="仿宋_GB2312" w:eastAsia="仿宋_GB2312"/>
              </w:rPr>
              <w:t>肌肉有光泽，色泽鲜红或深红</w:t>
            </w:r>
            <w:r>
              <w:rPr>
                <w:rFonts w:ascii="仿宋_GB2312" w:hAnsi="仿宋_GB2312" w:cs="仿宋_GB2312" w:eastAsia="仿宋_GB2312"/>
              </w:rPr>
              <w:t>;</w:t>
            </w:r>
            <w:r>
              <w:rPr>
                <w:rFonts w:ascii="仿宋_GB2312" w:hAnsi="仿宋_GB2312" w:cs="仿宋_GB2312" w:eastAsia="仿宋_GB2312"/>
              </w:rPr>
              <w:t>脂肪呈乳白色或黄色</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外表微干有风干膜，不粘手</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具有鲜牛羊肉正常气味</w:t>
            </w:r>
            <w:r>
              <w:rPr>
                <w:rFonts w:ascii="仿宋_GB2312" w:hAnsi="仿宋_GB2312" w:cs="仿宋_GB2312" w:eastAsia="仿宋_GB2312"/>
              </w:rPr>
              <w:t>;</w:t>
            </w:r>
          </w:p>
          <w:p>
            <w:pPr>
              <w:pStyle w:val="null3"/>
            </w:pPr>
            <w:r>
              <w:rPr>
                <w:rFonts w:ascii="仿宋_GB2312" w:hAnsi="仿宋_GB2312" w:cs="仿宋_GB2312" w:eastAsia="仿宋_GB2312"/>
              </w:rPr>
              <w:t>4.</w:t>
            </w:r>
            <w:r>
              <w:rPr>
                <w:rFonts w:ascii="仿宋_GB2312" w:hAnsi="仿宋_GB2312" w:cs="仿宋_GB2312" w:eastAsia="仿宋_GB2312"/>
              </w:rPr>
              <w:t>牛肉、羊肉含水量检测值分别低于</w:t>
            </w:r>
            <w:r>
              <w:rPr>
                <w:rFonts w:ascii="仿宋_GB2312" w:hAnsi="仿宋_GB2312" w:cs="仿宋_GB2312" w:eastAsia="仿宋_GB2312"/>
              </w:rPr>
              <w:t>77%</w:t>
            </w:r>
            <w:r>
              <w:rPr>
                <w:rFonts w:ascii="仿宋_GB2312" w:hAnsi="仿宋_GB2312" w:cs="仿宋_GB2312" w:eastAsia="仿宋_GB2312"/>
              </w:rPr>
              <w:t>、</w:t>
            </w:r>
            <w:r>
              <w:rPr>
                <w:rFonts w:ascii="仿宋_GB2312" w:hAnsi="仿宋_GB2312" w:cs="仿宋_GB2312" w:eastAsia="仿宋_GB2312"/>
              </w:rPr>
              <w:t>78%</w:t>
            </w:r>
            <w:r>
              <w:rPr>
                <w:rFonts w:ascii="仿宋_GB2312" w:hAnsi="仿宋_GB2312" w:cs="仿宋_GB2312" w:eastAsia="仿宋_GB2312"/>
              </w:rPr>
              <w:t>。</w:t>
            </w:r>
          </w:p>
          <w:p>
            <w:pPr>
              <w:pStyle w:val="null3"/>
            </w:pPr>
            <w:r>
              <w:rPr>
                <w:rFonts w:ascii="仿宋_GB2312" w:hAnsi="仿宋_GB2312" w:cs="仿宋_GB2312" w:eastAsia="仿宋_GB2312"/>
              </w:rPr>
              <w:t>八</w:t>
            </w:r>
            <w:r>
              <w:rPr>
                <w:rFonts w:ascii="仿宋_GB2312" w:hAnsi="仿宋_GB2312" w:cs="仿宋_GB2312" w:eastAsia="仿宋_GB2312"/>
              </w:rPr>
              <w:t>)</w:t>
            </w:r>
            <w:r>
              <w:rPr>
                <w:rFonts w:ascii="仿宋_GB2312" w:hAnsi="仿宋_GB2312" w:cs="仿宋_GB2312" w:eastAsia="仿宋_GB2312"/>
              </w:rPr>
              <w:t>禽肉</w:t>
            </w:r>
          </w:p>
          <w:p>
            <w:pPr>
              <w:pStyle w:val="null3"/>
            </w:pPr>
            <w:r>
              <w:rPr>
                <w:rFonts w:ascii="仿宋_GB2312" w:hAnsi="仿宋_GB2312" w:cs="仿宋_GB2312" w:eastAsia="仿宋_GB2312"/>
              </w:rPr>
              <w:t>1.</w:t>
            </w:r>
            <w:r>
              <w:rPr>
                <w:rFonts w:ascii="仿宋_GB2312" w:hAnsi="仿宋_GB2312" w:cs="仿宋_GB2312" w:eastAsia="仿宋_GB2312"/>
              </w:rPr>
              <w:t>杜绝注水禽类</w:t>
            </w:r>
            <w:r>
              <w:rPr>
                <w:rFonts w:ascii="仿宋_GB2312" w:hAnsi="仿宋_GB2312" w:cs="仿宋_GB2312" w:eastAsia="仿宋_GB2312"/>
              </w:rPr>
              <w:t>;净</w:t>
            </w:r>
          </w:p>
          <w:p>
            <w:pPr>
              <w:pStyle w:val="null3"/>
            </w:pPr>
            <w:r>
              <w:rPr>
                <w:rFonts w:ascii="仿宋_GB2312" w:hAnsi="仿宋_GB2312" w:cs="仿宋_GB2312" w:eastAsia="仿宋_GB2312"/>
              </w:rPr>
              <w:t>2.</w:t>
            </w:r>
            <w:r>
              <w:rPr>
                <w:rFonts w:ascii="仿宋_GB2312" w:hAnsi="仿宋_GB2312" w:cs="仿宋_GB2312" w:eastAsia="仿宋_GB2312"/>
              </w:rPr>
              <w:t>体表色泽洁白，肉质紧密，角膜有弹性，不粘手，指压不留陷窝</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具有该禽类所固有的气味，无其他异味</w:t>
            </w:r>
            <w:r>
              <w:rPr>
                <w:rFonts w:ascii="仿宋_GB2312" w:hAnsi="仿宋_GB2312" w:cs="仿宋_GB2312" w:eastAsia="仿宋_GB2312"/>
              </w:rPr>
              <w:t>;</w:t>
            </w:r>
          </w:p>
          <w:p>
            <w:pPr>
              <w:pStyle w:val="null3"/>
            </w:pPr>
            <w:r>
              <w:rPr>
                <w:rFonts w:ascii="仿宋_GB2312" w:hAnsi="仿宋_GB2312" w:cs="仿宋_GB2312" w:eastAsia="仿宋_GB2312"/>
              </w:rPr>
              <w:t>4.</w:t>
            </w:r>
            <w:r>
              <w:rPr>
                <w:rFonts w:ascii="仿宋_GB2312" w:hAnsi="仿宋_GB2312" w:cs="仿宋_GB2312" w:eastAsia="仿宋_GB2312"/>
              </w:rPr>
              <w:t>腔内无杂物。</w:t>
            </w:r>
          </w:p>
          <w:p>
            <w:pPr>
              <w:pStyle w:val="null3"/>
            </w:pPr>
            <w:r>
              <w:rPr>
                <w:rFonts w:ascii="仿宋_GB2312" w:hAnsi="仿宋_GB2312" w:cs="仿宋_GB2312" w:eastAsia="仿宋_GB2312"/>
              </w:rPr>
              <w:t>九</w:t>
            </w:r>
            <w:r>
              <w:rPr>
                <w:rFonts w:ascii="仿宋_GB2312" w:hAnsi="仿宋_GB2312" w:cs="仿宋_GB2312" w:eastAsia="仿宋_GB2312"/>
              </w:rPr>
              <w:t>)</w:t>
            </w:r>
            <w:r>
              <w:rPr>
                <w:rFonts w:ascii="仿宋_GB2312" w:hAnsi="仿宋_GB2312" w:cs="仿宋_GB2312" w:eastAsia="仿宋_GB2312"/>
              </w:rPr>
              <w:t>鱼类</w:t>
            </w:r>
          </w:p>
          <w:p>
            <w:pPr>
              <w:pStyle w:val="null3"/>
            </w:pPr>
            <w:r>
              <w:rPr>
                <w:rFonts w:ascii="仿宋_GB2312" w:hAnsi="仿宋_GB2312" w:cs="仿宋_GB2312" w:eastAsia="仿宋_GB2312"/>
              </w:rPr>
              <w:t>1.</w:t>
            </w:r>
            <w:r>
              <w:rPr>
                <w:rFonts w:ascii="仿宋_GB2312" w:hAnsi="仿宋_GB2312" w:cs="仿宋_GB2312" w:eastAsia="仿宋_GB2312"/>
              </w:rPr>
              <w:t>鱼眼突出，角膜清晰透明</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体表面色泽鲜明，鳞完整或稍有花鳞，鳞片紧粘皮上不易剥落，有透明粘液</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鳃鲜红，鳃丝鲜红或紫红，保证新鲜可食用。</w:t>
            </w:r>
          </w:p>
          <w:p>
            <w:pPr>
              <w:pStyle w:val="null3"/>
            </w:pPr>
            <w:r>
              <w:rPr>
                <w:rFonts w:ascii="仿宋_GB2312" w:hAnsi="仿宋_GB2312" w:cs="仿宋_GB2312" w:eastAsia="仿宋_GB2312"/>
              </w:rPr>
              <w:t>十</w:t>
            </w:r>
            <w:r>
              <w:rPr>
                <w:rFonts w:ascii="仿宋_GB2312" w:hAnsi="仿宋_GB2312" w:cs="仿宋_GB2312" w:eastAsia="仿宋_GB2312"/>
              </w:rPr>
              <w:t>)</w:t>
            </w:r>
            <w:r>
              <w:rPr>
                <w:rFonts w:ascii="仿宋_GB2312" w:hAnsi="仿宋_GB2312" w:cs="仿宋_GB2312" w:eastAsia="仿宋_GB2312"/>
              </w:rPr>
              <w:t>冻货类冻货</w:t>
            </w:r>
          </w:p>
          <w:p>
            <w:pPr>
              <w:pStyle w:val="null3"/>
            </w:pPr>
            <w:r>
              <w:rPr>
                <w:rFonts w:ascii="仿宋_GB2312" w:hAnsi="仿宋_GB2312" w:cs="仿宋_GB2312" w:eastAsia="仿宋_GB2312"/>
              </w:rPr>
              <w:t>1</w:t>
            </w:r>
            <w:r>
              <w:rPr>
                <w:rFonts w:ascii="仿宋_GB2312" w:hAnsi="仿宋_GB2312" w:cs="仿宋_GB2312" w:eastAsia="仿宋_GB2312"/>
              </w:rPr>
              <w:t>.保持较好的外观</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.达到相应的等级要求</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.必须是在保质期内，生产日期、质保期等信息与内容物相符，标示清晰，批次号清楚等</w:t>
            </w:r>
            <w:r>
              <w:rPr>
                <w:rFonts w:ascii="仿宋_GB2312" w:hAnsi="仿宋_GB2312" w:cs="仿宋_GB2312" w:eastAsia="仿宋_GB2312"/>
              </w:rPr>
              <w:t>;</w:t>
            </w:r>
          </w:p>
          <w:p>
            <w:pPr>
              <w:pStyle w:val="null3"/>
            </w:pPr>
            <w:r>
              <w:rPr>
                <w:rFonts w:ascii="仿宋_GB2312" w:hAnsi="仿宋_GB2312" w:cs="仿宋_GB2312" w:eastAsia="仿宋_GB2312"/>
              </w:rPr>
              <w:t>4</w:t>
            </w:r>
            <w:r>
              <w:rPr>
                <w:rFonts w:ascii="仿宋_GB2312" w:hAnsi="仿宋_GB2312" w:cs="仿宋_GB2312" w:eastAsia="仿宋_GB2312"/>
              </w:rPr>
              <w:t>.经食品检验检疫合格，符合国家卫生标准。</w:t>
            </w:r>
          </w:p>
          <w:p>
            <w:pPr>
              <w:pStyle w:val="null3"/>
            </w:pPr>
            <w:r>
              <w:rPr>
                <w:rFonts w:ascii="仿宋_GB2312" w:hAnsi="仿宋_GB2312" w:cs="仿宋_GB2312" w:eastAsia="仿宋_GB2312"/>
              </w:rPr>
              <w:t>十一</w:t>
            </w:r>
            <w:r>
              <w:rPr>
                <w:rFonts w:ascii="仿宋_GB2312" w:hAnsi="仿宋_GB2312" w:cs="仿宋_GB2312" w:eastAsia="仿宋_GB2312"/>
              </w:rPr>
              <w:t>)</w:t>
            </w:r>
            <w:r>
              <w:rPr>
                <w:rFonts w:ascii="仿宋_GB2312" w:hAnsi="仿宋_GB2312" w:cs="仿宋_GB2312" w:eastAsia="仿宋_GB2312"/>
              </w:rPr>
              <w:t>鸡蛋</w:t>
            </w:r>
          </w:p>
          <w:p>
            <w:pPr>
              <w:pStyle w:val="null3"/>
            </w:pPr>
            <w:r>
              <w:rPr>
                <w:rFonts w:ascii="仿宋_GB2312" w:hAnsi="仿宋_GB2312" w:cs="仿宋_GB2312" w:eastAsia="仿宋_GB2312"/>
              </w:rPr>
              <w:t>蛋壳清洁完整，色泽鲜明，无破损、裂纹，无霉斑，灯光透视时，整个蛋呈桔黄色至橙红色，蛋黄不见或略见阴影，没有霉味、酸味，臭味等不良气味，打开后蛋黄凸起、完整、有韧性，蛋白澄清、透明、稀稠分明，无异味。</w:t>
            </w:r>
          </w:p>
          <w:p>
            <w:pPr>
              <w:pStyle w:val="null3"/>
            </w:pPr>
            <w:r>
              <w:rPr>
                <w:rFonts w:ascii="仿宋_GB2312" w:hAnsi="仿宋_GB2312" w:cs="仿宋_GB2312" w:eastAsia="仿宋_GB2312"/>
              </w:rPr>
              <w:t>十二</w:t>
            </w:r>
            <w:r>
              <w:rPr>
                <w:rFonts w:ascii="仿宋_GB2312" w:hAnsi="仿宋_GB2312" w:cs="仿宋_GB2312" w:eastAsia="仿宋_GB2312"/>
              </w:rPr>
              <w:t>)</w:t>
            </w:r>
            <w:r>
              <w:rPr>
                <w:rFonts w:ascii="仿宋_GB2312" w:hAnsi="仿宋_GB2312" w:cs="仿宋_GB2312" w:eastAsia="仿宋_GB2312"/>
              </w:rPr>
              <w:t>皮蛋</w:t>
            </w:r>
          </w:p>
          <w:p>
            <w:pPr>
              <w:pStyle w:val="null3"/>
            </w:pPr>
            <w:r>
              <w:rPr>
                <w:rFonts w:ascii="仿宋_GB2312" w:hAnsi="仿宋_GB2312" w:cs="仿宋_GB2312" w:eastAsia="仿宋_GB2312"/>
              </w:rPr>
              <w:t>外表泥状包料完整、无霉斑，包料除掉后蛋壳亦完整无损，灯光透照蛋内容物凝固不动，打开观察，整个蛋凝固、不粘壳、清洁而有弹性，呈半透明的棕黄色，闻起来有芳香，无辛辣气。</w:t>
            </w:r>
          </w:p>
          <w:p>
            <w:pPr>
              <w:pStyle w:val="null3"/>
            </w:pPr>
            <w:r>
              <w:rPr>
                <w:rFonts w:ascii="仿宋_GB2312" w:hAnsi="仿宋_GB2312" w:cs="仿宋_GB2312" w:eastAsia="仿宋_GB2312"/>
              </w:rPr>
              <w:t>十三</w:t>
            </w:r>
            <w:r>
              <w:rPr>
                <w:rFonts w:ascii="仿宋_GB2312" w:hAnsi="仿宋_GB2312" w:cs="仿宋_GB2312" w:eastAsia="仿宋_GB2312"/>
              </w:rPr>
              <w:t>)</w:t>
            </w:r>
            <w:r>
              <w:rPr>
                <w:rFonts w:ascii="仿宋_GB2312" w:hAnsi="仿宋_GB2312" w:cs="仿宋_GB2312" w:eastAsia="仿宋_GB2312"/>
              </w:rPr>
              <w:t>咸蛋</w:t>
            </w:r>
          </w:p>
          <w:p>
            <w:pPr>
              <w:pStyle w:val="null3"/>
            </w:pPr>
            <w:r>
              <w:rPr>
                <w:rFonts w:ascii="仿宋_GB2312" w:hAnsi="仿宋_GB2312" w:cs="仿宋_GB2312" w:eastAsia="仿宋_GB2312"/>
              </w:rPr>
              <w:t>蛋壳完整无损，无裂纹或霉斑，摇动时有轻度水荡漾感觉，灯光透视蛋黄凝结、呈橙黄色且靠近蛋壳，蛋清呈白色水样透明，生蛋打开可见蛋清稀薄透明蛋黄呈红色或淡红色，浓缩粘度增强，但不硬固，煮熟后打开，可见蛋清白蛋黄口味有细沙感，富于油脂，品尝则有咸蛋固有的香味。</w:t>
            </w:r>
          </w:p>
          <w:p>
            <w:pPr>
              <w:pStyle w:val="null3"/>
            </w:pPr>
            <w:r>
              <w:rPr>
                <w:rFonts w:ascii="仿宋_GB2312" w:hAnsi="仿宋_GB2312" w:cs="仿宋_GB2312" w:eastAsia="仿宋_GB2312"/>
              </w:rPr>
              <w:t>十四</w:t>
            </w:r>
            <w:r>
              <w:rPr>
                <w:rFonts w:ascii="仿宋_GB2312" w:hAnsi="仿宋_GB2312" w:cs="仿宋_GB2312" w:eastAsia="仿宋_GB2312"/>
              </w:rPr>
              <w:t>)</w:t>
            </w:r>
            <w:r>
              <w:rPr>
                <w:rFonts w:ascii="仿宋_GB2312" w:hAnsi="仿宋_GB2312" w:cs="仿宋_GB2312" w:eastAsia="仿宋_GB2312"/>
              </w:rPr>
              <w:t>牛奶</w:t>
            </w:r>
            <w:r>
              <w:rPr>
                <w:rFonts w:ascii="仿宋_GB2312" w:hAnsi="仿宋_GB2312" w:cs="仿宋_GB2312" w:eastAsia="仿宋_GB2312"/>
              </w:rPr>
              <w:t>(</w:t>
            </w:r>
            <w:r>
              <w:rPr>
                <w:rFonts w:ascii="仿宋_GB2312" w:hAnsi="仿宋_GB2312" w:cs="仿宋_GB2312" w:eastAsia="仿宋_GB2312"/>
              </w:rPr>
              <w:t>为品牌牛奶</w:t>
            </w:r>
            <w:r>
              <w:rPr>
                <w:rFonts w:ascii="仿宋_GB2312" w:hAnsi="仿宋_GB2312" w:cs="仿宋_GB2312" w:eastAsia="仿宋_GB2312"/>
              </w:rPr>
              <w:t>)</w:t>
            </w:r>
          </w:p>
          <w:p>
            <w:pPr>
              <w:pStyle w:val="null3"/>
            </w:pPr>
            <w:r>
              <w:rPr>
                <w:rFonts w:ascii="仿宋_GB2312" w:hAnsi="仿宋_GB2312" w:cs="仿宋_GB2312" w:eastAsia="仿宋_GB2312"/>
              </w:rPr>
              <w:t>品牌袋装奶，距出厂日期</w:t>
            </w:r>
            <w:r>
              <w:rPr>
                <w:rFonts w:ascii="仿宋_GB2312" w:hAnsi="仿宋_GB2312" w:cs="仿宋_GB2312" w:eastAsia="仿宋_GB2312"/>
              </w:rPr>
              <w:t>10</w:t>
            </w:r>
            <w:r>
              <w:rPr>
                <w:rFonts w:ascii="仿宋_GB2312" w:hAnsi="仿宋_GB2312" w:cs="仿宋_GB2312" w:eastAsia="仿宋_GB2312"/>
              </w:rPr>
              <w:t>天以内且按照厂家要求保存条件储存未超出保质期，色泽乳白，有纯奶的鲜香味，符合质量标准。</w:t>
            </w:r>
          </w:p>
          <w:p>
            <w:pPr>
              <w:pStyle w:val="null3"/>
            </w:pPr>
            <w:r>
              <w:rPr>
                <w:rFonts w:ascii="仿宋_GB2312" w:hAnsi="仿宋_GB2312" w:cs="仿宋_GB2312" w:eastAsia="仿宋_GB2312"/>
              </w:rPr>
              <w:t>十五</w:t>
            </w:r>
            <w:r>
              <w:rPr>
                <w:rFonts w:ascii="仿宋_GB2312" w:hAnsi="仿宋_GB2312" w:cs="仿宋_GB2312" w:eastAsia="仿宋_GB2312"/>
              </w:rPr>
              <w:t>)</w:t>
            </w:r>
            <w:r>
              <w:rPr>
                <w:rFonts w:ascii="仿宋_GB2312" w:hAnsi="仿宋_GB2312" w:cs="仿宋_GB2312" w:eastAsia="仿宋_GB2312"/>
              </w:rPr>
              <w:t>豆制品豆腐</w:t>
            </w:r>
          </w:p>
          <w:p>
            <w:pPr>
              <w:pStyle w:val="null3"/>
            </w:pPr>
            <w:r>
              <w:rPr>
                <w:rFonts w:ascii="仿宋_GB2312" w:hAnsi="仿宋_GB2312" w:cs="仿宋_GB2312" w:eastAsia="仿宋_GB2312"/>
              </w:rPr>
              <w:t>豆腐呈均匀的乳白色或淡黄色，稍有光泽，块形完整，软硬适度，富有一定的弹性，质地细嫩，结构均匀，无杂质，具有豆腐特有的香味，取样品品尝时口感细腻鲜嫩，味道纯正清香，符合标准要求，达到国家及行业标准。</w:t>
            </w:r>
          </w:p>
          <w:p>
            <w:pPr>
              <w:pStyle w:val="null3"/>
            </w:pPr>
            <w:r>
              <w:rPr>
                <w:rFonts w:ascii="仿宋_GB2312" w:hAnsi="仿宋_GB2312" w:cs="仿宋_GB2312" w:eastAsia="仿宋_GB2312"/>
              </w:rPr>
              <w:t>十六</w:t>
            </w:r>
            <w:r>
              <w:rPr>
                <w:rFonts w:ascii="仿宋_GB2312" w:hAnsi="仿宋_GB2312" w:cs="仿宋_GB2312" w:eastAsia="仿宋_GB2312"/>
              </w:rPr>
              <w:t>）</w:t>
            </w:r>
            <w:r>
              <w:rPr>
                <w:rFonts w:ascii="仿宋_GB2312" w:hAnsi="仿宋_GB2312" w:cs="仿宋_GB2312" w:eastAsia="仿宋_GB2312"/>
              </w:rPr>
              <w:t>米、面、油。</w:t>
            </w:r>
          </w:p>
          <w:p>
            <w:pPr>
              <w:pStyle w:val="null3"/>
            </w:pPr>
            <w:r>
              <w:rPr>
                <w:rFonts w:ascii="仿宋_GB2312" w:hAnsi="仿宋_GB2312" w:cs="仿宋_GB2312" w:eastAsia="仿宋_GB2312"/>
              </w:rPr>
              <w:t>粳米</w:t>
            </w:r>
            <w:r>
              <w:rPr>
                <w:rFonts w:ascii="仿宋_GB2312" w:hAnsi="仿宋_GB2312" w:cs="仿宋_GB2312" w:eastAsia="仿宋_GB2312"/>
              </w:rPr>
              <w:t xml:space="preserve">:25 </w:t>
            </w:r>
            <w:r>
              <w:rPr>
                <w:rFonts w:ascii="仿宋_GB2312" w:hAnsi="仿宋_GB2312" w:cs="仿宋_GB2312" w:eastAsia="仿宋_GB2312"/>
              </w:rPr>
              <w:t>千克</w:t>
            </w:r>
            <w:r>
              <w:rPr>
                <w:rFonts w:ascii="仿宋_GB2312" w:hAnsi="仿宋_GB2312" w:cs="仿宋_GB2312" w:eastAsia="仿宋_GB2312"/>
              </w:rPr>
              <w:t>/</w:t>
            </w:r>
            <w:r>
              <w:rPr>
                <w:rFonts w:ascii="仿宋_GB2312" w:hAnsi="仿宋_GB2312" w:cs="仿宋_GB2312" w:eastAsia="仿宋_GB2312"/>
              </w:rPr>
              <w:t>袋</w:t>
            </w:r>
            <w:r>
              <w:rPr>
                <w:rFonts w:ascii="仿宋_GB2312" w:hAnsi="仿宋_GB2312" w:cs="仿宋_GB2312" w:eastAsia="仿宋_GB2312"/>
              </w:rPr>
              <w:t>;</w:t>
            </w:r>
          </w:p>
          <w:p>
            <w:pPr>
              <w:pStyle w:val="null3"/>
            </w:pPr>
            <w:r>
              <w:rPr>
                <w:rFonts w:ascii="仿宋_GB2312" w:hAnsi="仿宋_GB2312" w:cs="仿宋_GB2312" w:eastAsia="仿宋_GB2312"/>
              </w:rPr>
              <w:t>面粉</w:t>
            </w:r>
            <w:r>
              <w:rPr>
                <w:rFonts w:ascii="仿宋_GB2312" w:hAnsi="仿宋_GB2312" w:cs="仿宋_GB2312" w:eastAsia="仿宋_GB2312"/>
              </w:rPr>
              <w:t xml:space="preserve">:25 </w:t>
            </w:r>
            <w:r>
              <w:rPr>
                <w:rFonts w:ascii="仿宋_GB2312" w:hAnsi="仿宋_GB2312" w:cs="仿宋_GB2312" w:eastAsia="仿宋_GB2312"/>
              </w:rPr>
              <w:t>千克</w:t>
            </w:r>
            <w:r>
              <w:rPr>
                <w:rFonts w:ascii="仿宋_GB2312" w:hAnsi="仿宋_GB2312" w:cs="仿宋_GB2312" w:eastAsia="仿宋_GB2312"/>
              </w:rPr>
              <w:t>/</w:t>
            </w:r>
            <w:r>
              <w:rPr>
                <w:rFonts w:ascii="仿宋_GB2312" w:hAnsi="仿宋_GB2312" w:cs="仿宋_GB2312" w:eastAsia="仿宋_GB2312"/>
              </w:rPr>
              <w:t>袋</w:t>
            </w:r>
            <w:r>
              <w:rPr>
                <w:rFonts w:ascii="仿宋_GB2312" w:hAnsi="仿宋_GB2312" w:cs="仿宋_GB2312" w:eastAsia="仿宋_GB2312"/>
              </w:rPr>
              <w:t>;</w:t>
            </w:r>
          </w:p>
          <w:p>
            <w:pPr>
              <w:pStyle w:val="null3"/>
            </w:pPr>
            <w:r>
              <w:rPr>
                <w:rFonts w:ascii="仿宋_GB2312" w:hAnsi="仿宋_GB2312" w:cs="仿宋_GB2312" w:eastAsia="仿宋_GB2312"/>
              </w:rPr>
              <w:t>一级、四级非转基因菜籽油</w:t>
            </w:r>
            <w:r>
              <w:rPr>
                <w:rFonts w:ascii="仿宋_GB2312" w:hAnsi="仿宋_GB2312" w:cs="仿宋_GB2312" w:eastAsia="仿宋_GB2312"/>
              </w:rPr>
              <w:t>:16.4</w:t>
            </w:r>
            <w:r>
              <w:rPr>
                <w:rFonts w:ascii="仿宋_GB2312" w:hAnsi="仿宋_GB2312" w:cs="仿宋_GB2312" w:eastAsia="仿宋_GB2312"/>
              </w:rPr>
              <w:t>升</w:t>
            </w:r>
            <w:r>
              <w:rPr>
                <w:rFonts w:ascii="仿宋_GB2312" w:hAnsi="仿宋_GB2312" w:cs="仿宋_GB2312" w:eastAsia="仿宋_GB2312"/>
              </w:rPr>
              <w:t>/</w:t>
            </w:r>
            <w:r>
              <w:rPr>
                <w:rFonts w:ascii="仿宋_GB2312" w:hAnsi="仿宋_GB2312" w:cs="仿宋_GB2312" w:eastAsia="仿宋_GB2312"/>
              </w:rPr>
              <w:t>桶。</w:t>
            </w:r>
          </w:p>
          <w:p>
            <w:pPr>
              <w:pStyle w:val="null3"/>
            </w:pPr>
            <w:r>
              <w:rPr>
                <w:rFonts w:ascii="仿宋_GB2312" w:hAnsi="仿宋_GB2312" w:cs="仿宋_GB2312" w:eastAsia="仿宋_GB2312"/>
              </w:rPr>
              <w:t>米、面、油的供应商须提供食品生产许可证、产品检验报告。</w:t>
            </w:r>
          </w:p>
          <w:p>
            <w:pPr>
              <w:pStyle w:val="null3"/>
            </w:pPr>
            <w:r>
              <w:rPr>
                <w:rFonts w:ascii="仿宋_GB2312" w:hAnsi="仿宋_GB2312" w:cs="仿宋_GB2312" w:eastAsia="仿宋_GB2312"/>
              </w:rPr>
              <w:t>所供应的货物必须为保质期内产品，所有货物质量必须符合国家有关规范和相关法规。</w:t>
            </w:r>
          </w:p>
          <w:p>
            <w:pPr>
              <w:pStyle w:val="null3"/>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售后服务</w:t>
            </w:r>
          </w:p>
          <w:p>
            <w:pPr>
              <w:pStyle w:val="null3"/>
              <w:jc w:val="both"/>
            </w:pPr>
            <w:r>
              <w:rPr>
                <w:rFonts w:ascii="仿宋_GB2312" w:hAnsi="仿宋_GB2312" w:cs="仿宋_GB2312" w:eastAsia="仿宋_GB2312"/>
                <w:sz w:val="21"/>
              </w:rPr>
              <w:t>供应商整个配送过程应科学合理，运输必须采用符合卫生要求的外包装和运载工具，并且要保持清洁和定期消毒，车厢内无不良气味、异味。运达指定地点后积极配合采购人验收人员进行验收。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详见第3章 服务要求，按项目需求配置。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详见第3章 服务要求，按项目需求配置。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西安市城市快速干道管理中心食堂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符合国家相关行业标准及《中华人民共和国食品安全法》规定。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供货送交甲方，经甲方验货人对数量与质量进行验收后，由乙方出具送货单据，一季度经甲方，乙方核对确认后，结算支付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供货送交甲方，经甲方验货人对数量与质量进行验收后，由乙方出具送货单据，二季度经甲方，乙方核对确认后，结算支付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供货送交甲方，经甲方验货人对数量与质量进行验收后，由乙方出具送货单据，三季度经甲方，乙方核对确认后，结算支付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供货送交甲方，经甲方验货人对数量与质量进行验收后，由乙方出具送货单据，四季度经甲方，乙方核对确认后，结算支付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若因特殊情况发生，致使甲方不再需要乙方供货的，或乙方不能够及时向甲方供货的，均应提前1个月告知对方，双方可解除合同；未按要求告知的由应告知方赔偿由此给对方造成的损失。一方无正当理由终止履行或单方变更、解除合同的，应赔偿由此给对方造成的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成交供应商在领取成交通知书时，需无偿向采购代理机构提供三份（一正两副）纸质版响应文件，纸质版响应文件应与电子化交易系统上传的一致）用于备案及档案保存。 供应商务必在开标截止时间30分钟前，通过项目电子化交易系统进行签到，如未进行签到，产生的一起后果由供应商自行承担。 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 签名是指手写签名或者加盖姓名章，盖章是指加盖单位印章。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①供应商需在项目电子化交易系统中按要求填写《投标函》完成承诺并进行电子签章。 ②供应商具有独立承担民事责任能力的法人、其他组织或自然人，并出具合法有效的营业执照或事业单位法人证书等国家规定的相关证明，自然人参与的提供其合法登记证明文件； ③供应商须提供2024年度财务审计报告（至少包括资产负债表、利润表、现金流量表及财务报表附注，成立时间至提交投标文件截止时间不足一年的可提供成立后任意时段的资产负债表）或投标前6个月内其基本存款账户开户银行出具的资信证明及基本存款账户开户证明资料。 ④供应商具有2024年1月至今已缴纳任意1个月的纳税证明或完税证明，依法免税的单位应提供相关证明材料并加盖供应商公章。 ⑤提供2024年1月至今已缴纳任意1个月的社会保障资金缴存单据或社保机构开具的社会保险参保缴费情况证明，依法不需要缴纳社会保障资金的单位应提供相关证明材料并加盖供应商公章。 ⑥提供具有履行合同所必需的设备和专业技术能力声明。 ⑦供应商参加政府采购活动前三年内，在经营活动中无重大违法记录的书面声明（成立时间至提交响应文件截止时间不足三年的可提供成立至今的书面声明）。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响应函 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2024年度财务审计报告（至少包括资产负债表、利润表、现金流量表及财务报表附注，成立时间至提交投标文件截止时间不足一年的可提供成立后任意时段的资产负债表）或投标前6个月内其基本存款账户开户银行出具的资信证明及基本存款账户开户证明资料。</w:t>
            </w:r>
          </w:p>
        </w:tc>
        <w:tc>
          <w:tcPr>
            <w:tcW w:type="dxa" w:w="1661"/>
          </w:tcPr>
          <w:p>
            <w:pPr>
              <w:pStyle w:val="null3"/>
            </w:pPr>
            <w:r>
              <w:rPr>
                <w:rFonts w:ascii="仿宋_GB2312" w:hAnsi="仿宋_GB2312" w:cs="仿宋_GB2312" w:eastAsia="仿宋_GB2312"/>
              </w:rPr>
              <w:t>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 （监狱企业与残疾人福利性单位视同小型、微型企业）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磋商的，须提供法定代表人身份证明及其身份证复印件加盖供应商公章；法定代表人授权他人参加磋商的，须提供法定代表人授权委托书（附法定代表人、被授权人身份证复印件加盖供应商公章）</w:t>
            </w:r>
          </w:p>
        </w:tc>
        <w:tc>
          <w:tcPr>
            <w:tcW w:type="dxa" w:w="1661"/>
          </w:tcPr>
          <w:p>
            <w:pPr>
              <w:pStyle w:val="null3"/>
            </w:pPr>
            <w:r>
              <w:rPr>
                <w:rFonts w:ascii="仿宋_GB2312" w:hAnsi="仿宋_GB2312" w:cs="仿宋_GB2312" w:eastAsia="仿宋_GB2312"/>
              </w:rPr>
              <w:t>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磋商响应文件开启结束后，采购人或代理机构查询供应商在响应文件提交截止时间前的信用记录并保存信用记录结果网页截图）</w:t>
            </w:r>
          </w:p>
        </w:tc>
        <w:tc>
          <w:tcPr>
            <w:tcW w:type="dxa" w:w="1661"/>
          </w:tcPr>
          <w:p>
            <w:pPr>
              <w:pStyle w:val="null3"/>
            </w:pPr>
            <w:r>
              <w:rPr>
                <w:rFonts w:ascii="仿宋_GB2312" w:hAnsi="仿宋_GB2312" w:cs="仿宋_GB2312" w:eastAsia="仿宋_GB2312"/>
              </w:rPr>
              <w:t>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供应商应具备的资格条件</w:t>
            </w:r>
          </w:p>
        </w:tc>
        <w:tc>
          <w:tcPr>
            <w:tcW w:type="dxa" w:w="3322"/>
          </w:tcPr>
          <w:p>
            <w:pPr>
              <w:pStyle w:val="null3"/>
            </w:pPr>
            <w:r>
              <w:rPr>
                <w:rFonts w:ascii="仿宋_GB2312" w:hAnsi="仿宋_GB2312" w:cs="仿宋_GB2312" w:eastAsia="仿宋_GB2312"/>
              </w:rPr>
              <w:t>供应商须提供在有效期内的《食品经营许可证》</w:t>
            </w:r>
          </w:p>
        </w:tc>
        <w:tc>
          <w:tcPr>
            <w:tcW w:type="dxa" w:w="1661"/>
          </w:tcPr>
          <w:p>
            <w:pPr>
              <w:pStyle w:val="null3"/>
            </w:pPr>
            <w:r>
              <w:rPr>
                <w:rFonts w:ascii="仿宋_GB2312" w:hAnsi="仿宋_GB2312" w:cs="仿宋_GB2312" w:eastAsia="仿宋_GB2312"/>
              </w:rPr>
              <w:t>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不接受联合体相关要求</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 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同时满足以下条款：（1）货币单位符合磋商文件要求 （2）报价符合唯一性要求 （3）未超出采购包最高限价 （4）符合《报价表》《标的清单》的填报要求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评审内容：提供针对本项目的整体服务方案包括但不限于①项目实施计划；②供货计划安排；③食材保管方案；④配送服务方案；⑤退、换货方案。 评审标准：服务方案切合本项目实际情况及实施要求，内容与要点相符、每个要点均有展开详细的阐述且能够适用于本项目的最高得15分； 评审内容每缺一项扣3分；评审内容有一项内容缺陷扣1分。（缺陷是指：方案内容不完整、缺少关键点、条理不清晰、与项目内容不匹配、凭空编造、出现常识性错误、不可能实现的夸大情形、只有标题没有实质性内容或存在不适用项目实际情况的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食品原材料仓储方案及能力</w:t>
            </w:r>
          </w:p>
        </w:tc>
        <w:tc>
          <w:tcPr>
            <w:tcW w:type="dxa" w:w="2492"/>
          </w:tcPr>
          <w:p>
            <w:pPr>
              <w:pStyle w:val="null3"/>
            </w:pPr>
            <w:r>
              <w:rPr>
                <w:rFonts w:ascii="仿宋_GB2312" w:hAnsi="仿宋_GB2312" w:cs="仿宋_GB2312" w:eastAsia="仿宋_GB2312"/>
              </w:rPr>
              <w:t>评审内容：①仓储场地、设备及设施条件，食材储存场地符合相应的技术标准和环保、安全要求，能够确保食材新鲜、卫生、安全；②提供仓储场地、设备及设施条件证明材料（不限于租赁合同、场地购置合同、购置发票及储存场地的图片等，证明材料缺失或不合格，本项评审内容计0分）。 评审标准：服务方案切合本项目实际情况及实施要求，内容与要点相符且证明材料齐全的最高得10分； 评审内容每缺一项扣5分；评审内容有一项内容缺陷扣2分。（缺陷是指：证明材料不齐全、方案内容不完整、缺少关键点、条理不清晰、与项目内容不匹配、凭空编造、出现常识性错误、不可能实现的夸大情形、只有标题没有实质性内容或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食品质量保证措施</w:t>
            </w:r>
          </w:p>
        </w:tc>
        <w:tc>
          <w:tcPr>
            <w:tcW w:type="dxa" w:w="2492"/>
          </w:tcPr>
          <w:p>
            <w:pPr>
              <w:pStyle w:val="null3"/>
            </w:pPr>
            <w:r>
              <w:rPr>
                <w:rFonts w:ascii="仿宋_GB2312" w:hAnsi="仿宋_GB2312" w:cs="仿宋_GB2312" w:eastAsia="仿宋_GB2312"/>
              </w:rPr>
              <w:t>评审内容：食品质量保证措施，包括但不限于①食材原料来源质量控制方案；②生产加工环节质量控制方案；③验收保管信息收集处理；④服务期间的食品安全保证措施；⑤供货渠道（产品采购渠道正常、稳定，质量有保证，提供拟配送产品的来源渠道合法证明文件）；⑥卫生管理方案等。 评审标准：保证措施切合本项目实际情况及实施要求，内容与要点相符、每个要点均有展开详细的阐述且能够适用于本项目的最高得30分； 评审内容每缺一项扣5分；评审内容有一项内容缺陷扣2分。（缺陷是指：方案内容不完整、缺少关键点、条理不清晰、与项目内容不匹配、凭空编造、出现常识性错误、不可能实现的夸大情形、只有标题没有实质性内容或存在不适用项目实际情况的情形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评审内容：针对本项目的安全事故应急方案包括但不限于①食品配送安全防护方案；②若发生食物中毒或者其他潜在造成人员健康问题的安全事故的应急方案。 评审标准：应急方案切合本项目实际情况及实施要求，内容与要点相符、每个要点均有展开详细的阐述且能够适用于本项目的最高得10分；评审内容每缺一项扣5分；评审内容有一项内容缺陷扣2分。（缺陷是指：方案内容不完整、缺少关键点、条理不清晰、与项目内容不匹配、凭空编造、出现常识性错误、不可能实现的夸大情形、只有标题没有实质性内容或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评审内容：针对本项目的应急配送方案，包括但不限于①针对采购人临时增加采购需求；②恶劣天气影响；③交通延误；④重大节假日或活动等特殊情况等制定应急处理方案。 评审标准：应急方案切合本项目实际情况及实施要求，内容与要点相符、每个要点均有展开详细的阐述且能够适用于本项目的最高得10分；评审内容每缺一项扣2.5分；评审内容有一项内容缺陷扣1分（缺陷是指：方案内容不完整、缺少关键点、条理不清晰、与项目内容不匹配、凭空编造、出现常识性错误、不可能实现的夸大情形、只有标题没有实质性内容或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评审内容： ①承诺满足招标人的配送要求及最短响应时间；②服务期内所提供产品食品安全、质量等方面具有详细的服务承诺。 评审标准：以上承诺内容切合本项目实际情况及实施要求，内容与要点相符且能够适用于本项目的最高得10分；评审内容每缺一项扣5分；评审内容有一项内容缺陷扣2分（缺陷是指：承诺内容条理不清晰、与项目内容不匹配、凭空编造、出现常识性错误、不可能实现的夸大情形、只有标题没有实质性内容或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2022年1月1日起至今的类似项目业绩，业绩以合同扫描件（复印件）为依据每提供一个有效业绩得1分，满分5分。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2.满足磋商文件实质性要求且优惠率最大的磋商报价为评标基准价，其价格分为满分10分。（即评标基准价=1-优惠率），其价格分为满分。 3.其他投标人的价格分统一按照下列公式计算：磋商报价得分=(评标基准价/（1-其他投标人的优惠率）)×10。 4.不正当竞争预防措施:在评审过程中，磋商小组认定某供应商的报价明显低于其他通过符合性审查供应商的报价，有可能影响服务质量或者不能诚信履约的，有权要求该供应商在磋商现场合理时间内，提供必要的书面文件予以解释和说明并附带相关证明材料。磋商单位书面说明应当签字确认或者加盖公章,否则无效。磋商单位拒绝或者变相拒绝提供有效书面说明或者书面说明不能证明其报价合理性的，磋商小组将按照其响应文件作为无效响应处理。（因落实政府采购政策进行价格调整的，以调整后的价格计算评标基准价和投标报价，详见磋商文件本部分政府采购政策评分标准，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详见附件：应提交的相关资格证明材料</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