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版本号：GR25-CS-01820250415001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市场监管辅助工作外包项目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GR25-CS-018</w:t>
      </w:r>
      <w:r>
        <w:br/>
      </w:r>
      <w:r>
        <w:br/>
      </w:r>
      <w:r>
        <w:br/>
      </w:r>
    </w:p>
    <w:p>
      <w:pPr>
        <w:pStyle w:val="null3"/>
        <w:jc w:val="center"/>
        <w:outlineLvl w:val="2"/>
      </w:pPr>
      <w:r>
        <w:rPr>
          <w:rFonts w:ascii="仿宋_GB2312" w:hAnsi="仿宋_GB2312" w:cs="仿宋_GB2312" w:eastAsia="仿宋_GB2312"/>
          <w:sz w:val="28"/>
          <w:b/>
        </w:rPr>
        <w:t>西安市市场监督管理局浐灞国际港分局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西安市市场监督管理局浐灞国际港分局</w:t>
      </w:r>
      <w:r>
        <w:rPr>
          <w:rFonts w:ascii="仿宋_GB2312" w:hAnsi="仿宋_GB2312" w:cs="仿宋_GB2312" w:eastAsia="仿宋_GB2312"/>
        </w:rPr>
        <w:t>委托，拟对</w:t>
      </w:r>
      <w:r>
        <w:rPr>
          <w:rFonts w:ascii="仿宋_GB2312" w:hAnsi="仿宋_GB2312" w:cs="仿宋_GB2312" w:eastAsia="仿宋_GB2312"/>
        </w:rPr>
        <w:t>市场监管辅助工作外包项目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市场监管辅助工作外包项目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本项目为西安市市场监督管理局浐灞国际港分局市场监管辅助工作外包项目。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采购包1（市场监管辅助工作外包项目）：属于专门面向中小企业采购。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西安市市场监督管理局浐灞国际港分局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西安市浐灞国际港港务大道7号物联网应用产业园3楼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029-83339326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西安市新城区龙首北路东段大明宫圣元广场A座8001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采购包1：1,405,600.00元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由成交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西安市市场监督管理局浐灞国际港分局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西安市市场监督管理局浐灞国际港分局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西安市市场监督管理局浐灞国际港分局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地址：西安市新城区龙首北路东段大明宫圣元广场A座8001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西安市市场监督管理局浐灞国际港分局市场监管辅助工作外包项目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1,405,600.00</w:t>
      </w:r>
    </w:p>
    <w:p>
      <w:pPr>
        <w:pStyle w:val="null3"/>
      </w:pPr>
      <w:r>
        <w:rPr>
          <w:rFonts w:ascii="仿宋_GB2312" w:hAnsi="仿宋_GB2312" w:cs="仿宋_GB2312" w:eastAsia="仿宋_GB2312"/>
        </w:rPr>
        <w:t>采购包最高限价（元）: 1,405,600.00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市场监管辅助工作外包项目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1,405,600.00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标的名称：市场监管辅助工作外包项目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2"/>
              <w:jc w:val="both"/>
            </w:pPr>
            <w:r>
              <w:rPr>
                <w:rFonts w:ascii="仿宋_GB2312" w:hAnsi="仿宋_GB2312" w:cs="仿宋_GB2312" w:eastAsia="仿宋_GB2312"/>
                <w:sz w:val="24"/>
                <w:b/>
              </w:rPr>
              <w:t>一、采购项目内容</w:t>
            </w:r>
          </w:p>
          <w:tbl>
            <w:tblPr>
              <w:tblBorders>
                <w:top w:val="none" w:color="000000" w:sz="4"/>
                <w:left w:val="none" w:color="000000" w:sz="4"/>
                <w:bottom w:val="none" w:color="000000" w:sz="4"/>
                <w:right w:val="none" w:color="000000" w:sz="4"/>
                <w:insideH w:val="none"/>
                <w:insideV w:val="none"/>
              </w:tblBorders>
            </w:tblPr>
            <w:tblGrid>
              <w:gridCol w:w="172"/>
              <w:gridCol w:w="830"/>
              <w:gridCol w:w="351"/>
              <w:gridCol w:w="498"/>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采购内容</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数量（项）</w:t>
                  </w:r>
                </w:p>
              </w:tc>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预算金额（万元）</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西安市市场监督管理局港务浐灞分局市场监管辅助工作外包项目</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140.56</w:t>
                  </w:r>
                </w:p>
              </w:tc>
            </w:tr>
          </w:tbl>
          <w:p>
            <w:pPr>
              <w:pStyle w:val="null3"/>
              <w:ind w:firstLine="482"/>
              <w:jc w:val="both"/>
            </w:pPr>
            <w:r>
              <w:rPr>
                <w:rFonts w:ascii="仿宋_GB2312" w:hAnsi="仿宋_GB2312" w:cs="仿宋_GB2312" w:eastAsia="仿宋_GB2312"/>
                <w:sz w:val="24"/>
                <w:b/>
              </w:rPr>
              <w:t>二、工作内容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负责公务用车驾驶、</w:t>
            </w:r>
            <w:r>
              <w:rPr>
                <w:rFonts w:ascii="仿宋_GB2312" w:hAnsi="仿宋_GB2312" w:cs="仿宋_GB2312" w:eastAsia="仿宋_GB2312"/>
                <w:sz w:val="24"/>
              </w:rPr>
              <w:t>自办廉政灶厨师</w:t>
            </w:r>
            <w:r>
              <w:rPr>
                <w:rFonts w:ascii="仿宋_GB2312" w:hAnsi="仿宋_GB2312" w:cs="仿宋_GB2312" w:eastAsia="仿宋_GB2312"/>
                <w:sz w:val="24"/>
              </w:rPr>
              <w:t>等后勤保障服务工作。</w:t>
            </w:r>
          </w:p>
          <w:p>
            <w:pPr>
              <w:pStyle w:val="null3"/>
              <w:ind w:firstLine="480"/>
              <w:jc w:val="both"/>
            </w:pPr>
            <w:r>
              <w:rPr>
                <w:rFonts w:ascii="仿宋_GB2312" w:hAnsi="仿宋_GB2312" w:cs="仿宋_GB2312" w:eastAsia="仿宋_GB2312"/>
                <w:sz w:val="24"/>
              </w:rPr>
              <w:t>2.协助市场监管人员开展政务大厅</w:t>
            </w:r>
            <w:r>
              <w:rPr>
                <w:rFonts w:ascii="仿宋_GB2312" w:hAnsi="仿宋_GB2312" w:cs="仿宋_GB2312" w:eastAsia="仿宋_GB2312"/>
                <w:sz w:val="24"/>
              </w:rPr>
              <w:t>窗口保障服务、档案管理等日常事务辅助工作。</w:t>
            </w:r>
          </w:p>
          <w:p>
            <w:pPr>
              <w:pStyle w:val="null3"/>
              <w:ind w:firstLine="480"/>
              <w:jc w:val="both"/>
            </w:pPr>
            <w:r>
              <w:rPr>
                <w:rFonts w:ascii="仿宋_GB2312" w:hAnsi="仿宋_GB2312" w:cs="仿宋_GB2312" w:eastAsia="仿宋_GB2312"/>
                <w:sz w:val="24"/>
              </w:rPr>
              <w:t>2.协助完成</w:t>
            </w:r>
            <w:r>
              <w:rPr>
                <w:rFonts w:ascii="仿宋_GB2312" w:hAnsi="仿宋_GB2312" w:cs="仿宋_GB2312" w:eastAsia="仿宋_GB2312"/>
                <w:sz w:val="24"/>
              </w:rPr>
              <w:t>市场</w:t>
            </w:r>
            <w:r>
              <w:rPr>
                <w:rFonts w:ascii="仿宋_GB2312" w:hAnsi="仿宋_GB2312" w:cs="仿宋_GB2312" w:eastAsia="仿宋_GB2312"/>
                <w:sz w:val="24"/>
              </w:rPr>
              <w:t>监督管理其他辅助性工作。</w:t>
            </w:r>
          </w:p>
          <w:p>
            <w:pPr>
              <w:pStyle w:val="null3"/>
              <w:ind w:firstLine="482"/>
              <w:jc w:val="both"/>
            </w:pPr>
            <w:r>
              <w:rPr>
                <w:rFonts w:ascii="仿宋_GB2312" w:hAnsi="仿宋_GB2312" w:cs="仿宋_GB2312" w:eastAsia="仿宋_GB2312"/>
                <w:sz w:val="24"/>
                <w:b/>
              </w:rPr>
              <w:t>三、服务团队要求</w:t>
            </w:r>
          </w:p>
          <w:p>
            <w:pPr>
              <w:pStyle w:val="null3"/>
              <w:ind w:firstLine="480"/>
              <w:jc w:val="both"/>
            </w:pPr>
            <w:r>
              <w:rPr>
                <w:rFonts w:ascii="仿宋_GB2312" w:hAnsi="仿宋_GB2312" w:cs="仿宋_GB2312" w:eastAsia="仿宋_GB2312"/>
                <w:sz w:val="24"/>
              </w:rPr>
              <w:t>（一）基本条件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1）贯彻执行党的方针政策，遵守国家法律法规；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人品正直诚信，遵纪守法，有较强的责任心和上进心，具有担当意识；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身体健康，具有正常履行职责的身心条件；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具有中华人民共和国国籍。</w:t>
            </w:r>
          </w:p>
          <w:p>
            <w:pPr>
              <w:pStyle w:val="null3"/>
              <w:ind w:firstLine="480"/>
              <w:jc w:val="both"/>
            </w:pPr>
            <w:r>
              <w:rPr>
                <w:rFonts w:ascii="仿宋_GB2312" w:hAnsi="仿宋_GB2312" w:cs="仿宋_GB2312" w:eastAsia="仿宋_GB2312"/>
                <w:sz w:val="24"/>
              </w:rPr>
              <w:t>（二）资格条件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1）日常事务辅助相关工作</w:t>
            </w:r>
            <w:r>
              <w:rPr>
                <w:rFonts w:ascii="仿宋_GB2312" w:hAnsi="仿宋_GB2312" w:cs="仿宋_GB2312" w:eastAsia="仿宋_GB2312"/>
                <w:sz w:val="24"/>
              </w:rPr>
              <w:t>年龄</w:t>
            </w:r>
            <w:r>
              <w:rPr>
                <w:rFonts w:ascii="仿宋_GB2312" w:hAnsi="仿宋_GB2312" w:cs="仿宋_GB2312" w:eastAsia="仿宋_GB2312"/>
                <w:sz w:val="24"/>
              </w:rPr>
              <w:t>为18周岁以上、50</w:t>
            </w:r>
            <w:r>
              <w:rPr>
                <w:rFonts w:ascii="仿宋_GB2312" w:hAnsi="仿宋_GB2312" w:cs="仿宋_GB2312" w:eastAsia="仿宋_GB2312"/>
                <w:sz w:val="24"/>
              </w:rPr>
              <w:t>周岁以下，后</w:t>
            </w:r>
            <w:r>
              <w:rPr>
                <w:rFonts w:ascii="仿宋_GB2312" w:hAnsi="仿宋_GB2312" w:cs="仿宋_GB2312" w:eastAsia="仿宋_GB2312"/>
                <w:sz w:val="24"/>
              </w:rPr>
              <w:t>勤</w:t>
            </w:r>
            <w:r>
              <w:rPr>
                <w:rFonts w:ascii="仿宋_GB2312" w:hAnsi="仿宋_GB2312" w:cs="仿宋_GB2312" w:eastAsia="仿宋_GB2312"/>
                <w:sz w:val="24"/>
              </w:rPr>
              <w:t>保障相关工作</w:t>
            </w:r>
            <w:r>
              <w:rPr>
                <w:rFonts w:ascii="仿宋_GB2312" w:hAnsi="仿宋_GB2312" w:cs="仿宋_GB2312" w:eastAsia="仿宋_GB2312"/>
                <w:sz w:val="24"/>
              </w:rPr>
              <w:t>年龄</w:t>
            </w:r>
            <w:r>
              <w:rPr>
                <w:rFonts w:ascii="仿宋_GB2312" w:hAnsi="仿宋_GB2312" w:cs="仿宋_GB2312" w:eastAsia="仿宋_GB2312"/>
                <w:sz w:val="24"/>
              </w:rPr>
              <w:t>为18周岁以上、女50</w:t>
            </w:r>
            <w:r>
              <w:rPr>
                <w:rFonts w:ascii="仿宋_GB2312" w:hAnsi="仿宋_GB2312" w:cs="仿宋_GB2312" w:eastAsia="仿宋_GB2312"/>
                <w:sz w:val="24"/>
              </w:rPr>
              <w:t>周岁以下、男</w:t>
            </w:r>
            <w:r>
              <w:rPr>
                <w:rFonts w:ascii="仿宋_GB2312" w:hAnsi="仿宋_GB2312" w:cs="仿宋_GB2312" w:eastAsia="仿宋_GB2312"/>
                <w:sz w:val="24"/>
              </w:rPr>
              <w:t>60周岁以下。其中，</w:t>
            </w:r>
            <w:r>
              <w:rPr>
                <w:rFonts w:ascii="仿宋_GB2312" w:hAnsi="仿宋_GB2312" w:cs="仿宋_GB2312" w:eastAsia="仿宋_GB2312"/>
                <w:sz w:val="24"/>
              </w:rPr>
              <w:t>驾驶员岗位</w:t>
            </w:r>
            <w:r>
              <w:rPr>
                <w:rFonts w:ascii="仿宋_GB2312" w:hAnsi="仿宋_GB2312" w:cs="仿宋_GB2312" w:eastAsia="仿宋_GB2312"/>
                <w:sz w:val="24"/>
              </w:rPr>
              <w:t>应具有C1驾照，驾龄5年及以上，无重大安全事故；厨师岗位应具有健康证，卫生习惯良好；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具有一定的沟通表达及分析解决问题能力，诚实守信、认真细致、有责任心、执行力强；具备团队意识，能够良好遵守工作纪律，无违法犯罪记录；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熟练掌握各本岗位的技能；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具有岗位职责相关工作经验者，同等条件下优先考虑。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签订合同后，根据采购人要求开具发票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全部服务内容完成后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 3.未满足招标文件商务、格式及其他要求的按无效文件处理。</w:t>
            </w:r>
          </w:p>
        </w:tc>
        <w:tc>
          <w:tcPr>
            <w:tcW w:type="dxa" w:w="1661"/>
          </w:tcPr>
          <w:p>
            <w:pPr>
              <w:pStyle w:val="null3"/>
            </w:pPr>
            <w:r>
              <w:rPr>
                <w:rFonts w:ascii="仿宋_GB2312" w:hAnsi="仿宋_GB2312" w:cs="仿宋_GB2312" w:eastAsia="仿宋_GB2312"/>
              </w:rPr>
              <w:t>响应文件封面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（1）供应商根据本项目内容及要求做出具体响应内容、列出具体服务方案、服务内容分析、服务目标等进行综合评定。（10）分 1.方案内容分析完整、全面、合理，服务目标明确，完全满足采购人需求计(7-10]分； 2.方案内容分析较全面，合理，服务目标基本明确计(4-7]分； 3.方案简单，内容空泛，不利于项目实施的计[0-4]分； 未提供方案不计分。 （2）供应商针对本项目提供健全的工作流程管理制度。（10分） 1.管理制度健全、规范，实施计划详细、可行性强计(7-10]分； 2.管理制度简单，实施计划基本可行计(4-7]分； 3.无明确管理制度，实施计划简单计[0-4分]； 未提供方案不计分。 （3）供应商具有健全的工作质量管理体系，并提供质量管理措施。（10分） 1.体系完善，措施合理计(7-10]分； 2.质量体系及管理措施基本合理计(4-7]分； 3.质量体系及管理措施内容欠缺，合理性差计[0-4]分； 未提供方案措施不计分。 （4）供应商具有可行完善的突发事件处理预案措施。（10分） 1.措施细致可操作性强、针对性强计(7-10]分； 2.提供突发事件处理预案措施，措施没有注重细节可行性一般计(4-7]分； 3.提供突发事件处理预案措施，措施宽泛未贴合实际可操作性不强计[0-4]分）； 未提供突发事件处理预案措施的不得分。 （5）针对本项目情况及采购人要求，对投入本项目服务人员进行岗位培训。（10分） 1.培训方案科学完整、可行性、针对性强得(7-10]分； 2.培训方案基本符合要求，但方案可行性一般得(4-7]分； 3.提供基本的岗位培训，方案宽泛、针对性差，不能保证服务人员服务水平得[0-4]分 未提供方案不计分。 （6）针对本项目的实施组织机构、团队人员配备情况、责任明确，能确保项目顺利实施（10分） 1.团队人员工作经验丰富、方案详细，安排科学合理，可行性强，针对性强，完全满足项目需求计(7-10]分； 2.团队人员工作经验满足、方案较为科学合理，基本可行，基本满足项目需求计(4-7]分； 3.团队人员工作经验一般、方案简单，安排欠缺合理性，难以满足项目需求计[0-4]分。 未提供方案不计分。 （7）具有完善的档案资料管理和移交工作制度。（10分） 1.制度可操作性强、具体细致计(7-10]分； 2.具有档案资料管理和移交工作制度，内容基本贴合实际计(4-7]分； 3.具有相关制度但是内容宽泛计[0-4]分； 未提供档案资料管理和移交工作制度不计分。</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（1）针对本项目提供的服务内容和承诺，包括但不限于承诺完全配合采购人的工作，确保人员的社保及相关费用准时、准确按期缴纳。 1.承诺内容及措施完善合理计(1-2]分； 2.承诺内容及措施合理性一般计[0-1]分； 未提供不计分。 （2）根据人员工资、奖金、福利、补贴及社保缴纳的金额进行评审，各项费用缴纳最多得6分，其次得4分,以此类推。</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为更好的服务于本项目及采购人，供应商对项目提出相应的合理化建议（0-7分） 1.提供具有针对性、切实、可行性、有效性的合理化建议，建议内容合理、可行计(4-7]分； 2.建议内容基本合理可行计[0-4]分；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供应商具有2021年1月1日至今（以合同签订时间为准）的类似项目业绩。每提供一份得1分，满分5分。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