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版本号：ZHPM-ZC-2563020250415001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西安市莲湖区人民法院大兴人民法庭业务用房租赁项目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ZHPM-ZC-25630</w:t>
      </w:r>
      <w:r>
        <w:br/>
      </w:r>
      <w:r>
        <w:br/>
      </w:r>
      <w:r>
        <w:br/>
      </w:r>
    </w:p>
    <w:p>
      <w:pPr>
        <w:pStyle w:val="null3"/>
        <w:jc w:val="center"/>
        <w:outlineLvl w:val="5"/>
      </w:pPr>
      <w:r>
        <w:rPr>
          <w:rFonts w:ascii="仿宋_GB2312" w:hAnsi="仿宋_GB2312" w:cs="仿宋_GB2312" w:eastAsia="仿宋_GB2312"/>
          <w:sz w:val="15"/>
          <w:b/>
        </w:rPr>
        <w:t>西安市莲湖区人民法院[155]</w:t>
      </w:r>
    </w:p>
    <w:p>
      <w:pPr>
        <w:pStyle w:val="null3"/>
        <w:jc w:val="center"/>
        <w:outlineLvl w:val="5"/>
      </w:pPr>
      <w:r>
        <w:rPr>
          <w:rFonts w:ascii="仿宋_GB2312" w:hAnsi="仿宋_GB2312" w:cs="仿宋_GB2312" w:eastAsia="仿宋_GB2312"/>
          <w:sz w:val="15"/>
          <w:b/>
        </w:rPr>
        <w:t>中昊项目管理有限公司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西安市莲湖区人民法院[155]</w:t>
      </w:r>
      <w:r>
        <w:rPr>
          <w:rFonts w:ascii="仿宋_GB2312" w:hAnsi="仿宋_GB2312" w:cs="仿宋_GB2312" w:eastAsia="仿宋_GB2312"/>
        </w:rPr>
        <w:t>委托，拟对</w:t>
      </w:r>
      <w:r>
        <w:rPr>
          <w:rFonts w:ascii="仿宋_GB2312" w:hAnsi="仿宋_GB2312" w:cs="仿宋_GB2312" w:eastAsia="仿宋_GB2312"/>
        </w:rPr>
        <w:t>西安市莲湖区人民法院大兴人民法庭业务用房租赁项目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ZHPM-ZC-25630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西安市莲湖区人民法院大兴人民法庭业务用房租赁项目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满足西安市莲湖区人民法院大兴人民法庭办公需求，原址续租办公用房。</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采购包1（大兴人民法庭业务用房租赁项目）：属于专门面向中小企业采购。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1、法定代表人身份证明或法定代表人授权书：1）法定代表人直接参加投标，须提供法定代表人身份证明及身份证复印件 2）授权代表参与投标，须提供法定代表人授权书（附法定代表人、被授权人身份证复印件）及被授权人身份证复印件；</w:t>
      </w:r>
    </w:p>
    <w:p>
      <w:pPr>
        <w:pStyle w:val="null3"/>
      </w:pPr>
      <w:r>
        <w:rPr>
          <w:rFonts w:ascii="仿宋_GB2312" w:hAnsi="仿宋_GB2312" w:cs="仿宋_GB2312" w:eastAsia="仿宋_GB2312"/>
        </w:rPr>
        <w:t>2、信用要求：供应商不得为“信用中国”网站(http://www.creditchina.gov.cn)列入“失信被执行人或重大税收违法失信主体或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3、不接受联合体谈判：本项目不接受联合体谈判。</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西安市莲湖区人民法院[155]</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西安市莲湖区西大街柴家什字88号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029-87619243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西安市高新区丈八街办团结南路35号高新新天地2号楼24层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刘小会、杨小倩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029-87303582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采购包1：949,500.00元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采购包1：949,500.00元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1、中标单位在领取中标通知书前，须向采购代理机构一次性支付代理服务费。 2、招标代理服务费：以中标金额为基数，参照国家计委颁发的《招标代理服务收费管理暂行办法》(计价格[2002]1980号)和国家发展改革委员会办公厅颁发的《关于招标代理服务收费有关问题的通知》(发改办价格[2003]857号)的有关规定执行。 开户名称：中昊项目管理有限公司 开户银行：中国民生银行股份有限公司西安枫林绿洲支行 账号:160927203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西安市莲湖区人民法院[155]</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西安市莲湖区人民法院[155]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满足西安市莲湖区人民法院大兴人民法庭办公需求，原址续租办公用房。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949,500.00</w:t>
      </w:r>
    </w:p>
    <w:p>
      <w:pPr>
        <w:pStyle w:val="null3"/>
      </w:pPr>
      <w:r>
        <w:rPr>
          <w:rFonts w:ascii="仿宋_GB2312" w:hAnsi="仿宋_GB2312" w:cs="仿宋_GB2312" w:eastAsia="仿宋_GB2312"/>
        </w:rPr>
        <w:t>采购包最高限价（元）: 949,500.00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949500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949,500.00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标的名称：949500</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2"/>
              <w:jc w:val="both"/>
            </w:pPr>
            <w:r>
              <w:rPr>
                <w:rFonts w:ascii="仿宋_GB2312" w:hAnsi="仿宋_GB2312" w:cs="仿宋_GB2312" w:eastAsia="仿宋_GB2312"/>
                <w:sz w:val="21"/>
                <w:b/>
              </w:rPr>
              <w:t>一、项目概况</w:t>
            </w:r>
          </w:p>
          <w:p>
            <w:pPr>
              <w:pStyle w:val="null3"/>
              <w:ind w:left="480"/>
              <w:jc w:val="both"/>
            </w:pPr>
            <w:r>
              <w:rPr>
                <w:rFonts w:ascii="仿宋_GB2312" w:hAnsi="仿宋_GB2312" w:cs="仿宋_GB2312" w:eastAsia="仿宋_GB2312"/>
                <w:sz w:val="21"/>
              </w:rPr>
              <w:t>1、满足西安市西安市莲湖区人民法院大兴人民法庭办公需求，原址续租办公用房。</w:t>
            </w:r>
          </w:p>
          <w:p>
            <w:pPr>
              <w:pStyle w:val="null3"/>
              <w:ind w:firstLine="480"/>
              <w:jc w:val="both"/>
            </w:pPr>
            <w:r>
              <w:rPr>
                <w:rFonts w:ascii="仿宋_GB2312" w:hAnsi="仿宋_GB2312" w:cs="仿宋_GB2312" w:eastAsia="仿宋_GB2312"/>
                <w:sz w:val="21"/>
              </w:rPr>
              <w:t>2、出租房屋位于西安市莲湖区大兴东路18号大兴九臻6号住宅楼下S5号商业二层</w:t>
            </w:r>
          </w:p>
          <w:p>
            <w:pPr>
              <w:pStyle w:val="null3"/>
              <w:ind w:firstLine="720"/>
              <w:jc w:val="both"/>
            </w:pPr>
            <w:r>
              <w:rPr>
                <w:rFonts w:ascii="仿宋_GB2312" w:hAnsi="仿宋_GB2312" w:cs="仿宋_GB2312" w:eastAsia="仿宋_GB2312"/>
                <w:sz w:val="21"/>
              </w:rPr>
              <w:t>10201-02号商铺。</w:t>
            </w:r>
          </w:p>
          <w:p>
            <w:pPr>
              <w:pStyle w:val="null3"/>
              <w:ind w:firstLine="480"/>
              <w:jc w:val="both"/>
            </w:pPr>
            <w:r>
              <w:rPr>
                <w:rFonts w:ascii="仿宋_GB2312" w:hAnsi="仿宋_GB2312" w:cs="仿宋_GB2312" w:eastAsia="仿宋_GB2312"/>
                <w:sz w:val="21"/>
              </w:rPr>
              <w:t>3、出租房屋建筑面积满足办公用房使用。</w:t>
            </w:r>
          </w:p>
          <w:p>
            <w:pPr>
              <w:pStyle w:val="null3"/>
              <w:ind w:left="480"/>
              <w:jc w:val="both"/>
            </w:pPr>
            <w:r>
              <w:rPr>
                <w:rFonts w:ascii="仿宋_GB2312" w:hAnsi="仿宋_GB2312" w:cs="仿宋_GB2312" w:eastAsia="仿宋_GB2312"/>
                <w:sz w:val="21"/>
                <w:b/>
              </w:rPr>
              <w:t>二、商务要求</w:t>
            </w:r>
          </w:p>
          <w:p>
            <w:pPr>
              <w:pStyle w:val="null3"/>
              <w:ind w:firstLine="480"/>
              <w:jc w:val="both"/>
            </w:pPr>
            <w:r>
              <w:rPr>
                <w:rFonts w:ascii="仿宋_GB2312" w:hAnsi="仿宋_GB2312" w:cs="仿宋_GB2312" w:eastAsia="仿宋_GB2312"/>
                <w:sz w:val="21"/>
              </w:rPr>
              <w:t>1.服务期限：一年。</w:t>
            </w:r>
          </w:p>
          <w:p>
            <w:pPr>
              <w:pStyle w:val="null3"/>
              <w:ind w:firstLine="480"/>
              <w:jc w:val="both"/>
            </w:pPr>
            <w:r>
              <w:rPr>
                <w:rFonts w:ascii="仿宋_GB2312" w:hAnsi="仿宋_GB2312" w:cs="仿宋_GB2312" w:eastAsia="仿宋_GB2312"/>
                <w:sz w:val="21"/>
              </w:rPr>
              <w:t>2.服务地点：采购人指定地点。</w:t>
            </w:r>
          </w:p>
          <w:p>
            <w:pPr>
              <w:pStyle w:val="null3"/>
              <w:ind w:firstLine="480"/>
              <w:jc w:val="both"/>
            </w:pPr>
            <w:r>
              <w:rPr>
                <w:rFonts w:ascii="仿宋_GB2312" w:hAnsi="仿宋_GB2312" w:cs="仿宋_GB2312" w:eastAsia="仿宋_GB2312"/>
                <w:sz w:val="21"/>
              </w:rPr>
              <w:t>3.结算方式：银行转账。</w:t>
            </w:r>
          </w:p>
          <w:p>
            <w:pPr>
              <w:pStyle w:val="null3"/>
              <w:ind w:firstLine="482"/>
              <w:jc w:val="both"/>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详见服务要求和采购合同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本项目属于一签服务三年项目，合同一年一签，合同签订后，一次性支付当年合同金额。</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谈判截止日前一年内任意一个月的纳税证明或完税证明，纳税证明或完税证明上应有代收机构或税务机关的公章或业务专用章；其他组织和自然人提供谈判截止日前一年内任意一个月缴纳税收的凭据；依法免税的或者依法不需缴税的供应商应提供相关文件证明；③社会保障资金缴纳证明：提供谈判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会计师事务所出具的有效的2023年度或2024年度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注：此项资格提供“陕西省政府采购供应商信用承诺书”的，可不再提供其他证明文件。</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1）法定代表人直接参加投标，须提供法定代表人身份证明及身份证复印件 2）授权代表参与投标，须提供法定代表人授权书（附法定代表人、被授权人身份证复印件）及被授权人身份证复印件；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http://www.creditchina.gov.cn)列入“失信被执行人或重大税收违法失信主体或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不接受联合体谈判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完整无缺项，未超过最高限价(单价限价)， 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谈判响应文件的有效期</w:t>
            </w:r>
          </w:p>
        </w:tc>
        <w:tc>
          <w:tcPr>
            <w:tcW w:type="dxa" w:w="3322"/>
          </w:tcPr>
          <w:p>
            <w:pPr>
              <w:pStyle w:val="null3"/>
            </w:pPr>
            <w:r>
              <w:rPr>
                <w:rFonts w:ascii="仿宋_GB2312" w:hAnsi="仿宋_GB2312" w:cs="仿宋_GB2312" w:eastAsia="仿宋_GB2312"/>
              </w:rPr>
              <w:t>自谈判响应文件递交截止之日起90个日历日。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谈判响应文件签字、盖章</w:t>
            </w:r>
          </w:p>
        </w:tc>
        <w:tc>
          <w:tcPr>
            <w:tcW w:type="dxa" w:w="3322"/>
          </w:tcPr>
          <w:p>
            <w:pPr>
              <w:pStyle w:val="null3"/>
            </w:pPr>
            <w:r>
              <w:rPr>
                <w:rFonts w:ascii="仿宋_GB2312" w:hAnsi="仿宋_GB2312" w:cs="仿宋_GB2312" w:eastAsia="仿宋_GB2312"/>
              </w:rPr>
              <w:t>谈判响应文件的签字盖章合格有效</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完全理解并响应谈判文件合同条款的要求，且未含有采购人不能接受的附加条件的。</w:t>
            </w:r>
          </w:p>
        </w:tc>
        <w:tc>
          <w:tcPr>
            <w:tcW w:type="dxa" w:w="1661"/>
          </w:tcPr>
          <w:p>
            <w:pPr>
              <w:pStyle w:val="null3"/>
            </w:pPr>
            <w:r>
              <w:rPr>
                <w:rFonts w:ascii="仿宋_GB2312" w:hAnsi="仿宋_GB2312" w:cs="仿宋_GB2312" w:eastAsia="仿宋_GB2312"/>
              </w:rPr>
              <w:t>服务条款偏离表.docx 商务条款偏离表.docx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符合谈判文件的实质性要求</w:t>
            </w:r>
          </w:p>
        </w:tc>
        <w:tc>
          <w:tcPr>
            <w:tcW w:type="dxa" w:w="3322"/>
          </w:tcPr>
          <w:p>
            <w:pPr>
              <w:pStyle w:val="null3"/>
            </w:pPr>
            <w:r>
              <w:rPr>
                <w:rFonts w:ascii="仿宋_GB2312" w:hAnsi="仿宋_GB2312" w:cs="仿宋_GB2312" w:eastAsia="仿宋_GB2312"/>
              </w:rPr>
              <w:t>供应商按照谈判文件要求上传谈判响应文件</w:t>
            </w:r>
          </w:p>
        </w:tc>
        <w:tc>
          <w:tcPr>
            <w:tcW w:type="dxa" w:w="1661"/>
          </w:tcPr>
          <w:p>
            <w:pPr>
              <w:pStyle w:val="null3"/>
            </w:pPr>
            <w:r>
              <w:rPr>
                <w:rFonts w:ascii="仿宋_GB2312" w:hAnsi="仿宋_GB2312" w:cs="仿宋_GB2312" w:eastAsia="仿宋_GB2312"/>
              </w:rPr>
              <w:t>谈判响应方案说明书.docx 其他证明材料.docx 服务条款偏离表.docx 商务条款偏离表.docx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详见附件：服务条款偏离表.docx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详见附件：谈判响应方案说明书.docx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