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版本号：HDFX-2025—Z11020250414001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皮肤科改造及监理项目(二次)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HDFX-2025—Z110</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皮肤科改造及监理项目(二次)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皮肤科改造及监理项目(二次)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皮肤科改造及监理，对诊楼4层行政办公区整体维修及装修改造为皮肤科门诊，总建筑面积约693.62㎡。改造项目涉及建筑工程、装饰装修工程、给排水工程、弱电工程、电气设备安装工程、通风消防工程等，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pPr>
        <w:pStyle w:val="null3"/>
      </w:pPr>
      <w:r>
        <w:rPr>
          <w:rFonts w:ascii="仿宋_GB2312" w:hAnsi="仿宋_GB2312" w:cs="仿宋_GB2312" w:eastAsia="仿宋_GB2312"/>
        </w:rPr>
        <w:t>4、社会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pPr>
        <w:pStyle w:val="null3"/>
      </w:pPr>
      <w:r>
        <w:rPr>
          <w:rFonts w:ascii="仿宋_GB2312" w:hAnsi="仿宋_GB2312" w:cs="仿宋_GB2312" w:eastAsia="仿宋_GB2312"/>
        </w:rPr>
        <w:t>5、供应商履约能力：供应商须提供具有履行合同所必需的设备和专业技术能力的承诺；</w:t>
      </w:r>
    </w:p>
    <w:p>
      <w:pPr>
        <w:pStyle w:val="null3"/>
      </w:pPr>
      <w:r>
        <w:rPr>
          <w:rFonts w:ascii="仿宋_GB2312" w:hAnsi="仿宋_GB2312" w:cs="仿宋_GB2312" w:eastAsia="仿宋_GB2312"/>
        </w:rPr>
        <w:t>6、近三年无重大违法记录声明：参加政府采购活动前3年内，在经营活动中没有重大违法记录的书面声明；</w:t>
      </w:r>
    </w:p>
    <w:p>
      <w:pPr>
        <w:pStyle w:val="null3"/>
      </w:pPr>
      <w:r>
        <w:rPr>
          <w:rFonts w:ascii="仿宋_GB2312" w:hAnsi="仿宋_GB2312" w:cs="仿宋_GB2312" w:eastAsia="仿宋_GB2312"/>
        </w:rPr>
        <w:t>7、其他声明：为采购项目提供整体设计、规范编制或者项目管理、监理、检测等服务的供应商，不得再参加本项目的采购活动。</w:t>
      </w:r>
    </w:p>
    <w:p>
      <w:pPr>
        <w:pStyle w:val="null3"/>
      </w:pPr>
      <w:r>
        <w:rPr>
          <w:rFonts w:ascii="仿宋_GB2312" w:hAnsi="仿宋_GB2312" w:cs="仿宋_GB2312" w:eastAsia="仿宋_GB2312"/>
        </w:rPr>
        <w:t>8、法定代表人身份证明/法定代表人授权委托书：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p>
    <w:p>
      <w:pPr>
        <w:pStyle w:val="null3"/>
      </w:pPr>
      <w:r>
        <w:rPr>
          <w:rFonts w:ascii="仿宋_GB2312" w:hAnsi="仿宋_GB2312" w:cs="仿宋_GB2312" w:eastAsia="仿宋_GB2312"/>
        </w:rPr>
        <w:t>9、特定资格要求：供应商具备建设行政主管部门颁发的建筑工程施工总承包二级及以上资质及建筑机电安装工程专业承包三级及以上资质；并提供合格有效的安全生产许可证；</w:t>
      </w:r>
    </w:p>
    <w:p>
      <w:pPr>
        <w:pStyle w:val="null3"/>
      </w:pPr>
      <w:r>
        <w:rPr>
          <w:rFonts w:ascii="仿宋_GB2312" w:hAnsi="仿宋_GB2312" w:cs="仿宋_GB2312" w:eastAsia="仿宋_GB2312"/>
        </w:rPr>
        <w:t>10、项目经理：拟派项目经理须具有建筑工程专业二级及以上建造师注册证和中级及以上职称，具备有效的安全生产考核证书（B证），在本单位注册（提供项目经理近一年连续12个月养老保险缴纳证明，缴费单位与供应商一致），且无在建工程；（提供无在建工程承诺书）</w:t>
      </w:r>
    </w:p>
    <w:p>
      <w:pPr>
        <w:pStyle w:val="null3"/>
      </w:pPr>
      <w:r>
        <w:rPr>
          <w:rFonts w:ascii="仿宋_GB2312" w:hAnsi="仿宋_GB2312" w:cs="仿宋_GB2312" w:eastAsia="仿宋_GB2312"/>
        </w:rPr>
        <w:t>11、信誉要求：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12、供应商承诺：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声明函）</w:t>
      </w:r>
    </w:p>
    <w:p>
      <w:pPr>
        <w:pStyle w:val="null3"/>
      </w:pPr>
      <w:r>
        <w:rPr>
          <w:rFonts w:ascii="仿宋_GB2312" w:hAnsi="仿宋_GB2312" w:cs="仿宋_GB2312" w:eastAsia="仿宋_GB2312"/>
        </w:rPr>
        <w:t>13、非联合体投标：本项目不接受联合体投标。供应商应提供《非联合体不分包投标声明》，视为独立响应，不分包。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3、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pPr>
        <w:pStyle w:val="null3"/>
      </w:pPr>
      <w:r>
        <w:rPr>
          <w:rFonts w:ascii="仿宋_GB2312" w:hAnsi="仿宋_GB2312" w:cs="仿宋_GB2312" w:eastAsia="仿宋_GB2312"/>
        </w:rPr>
        <w:t>4、社会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pPr>
        <w:pStyle w:val="null3"/>
      </w:pPr>
      <w:r>
        <w:rPr>
          <w:rFonts w:ascii="仿宋_GB2312" w:hAnsi="仿宋_GB2312" w:cs="仿宋_GB2312" w:eastAsia="仿宋_GB2312"/>
        </w:rPr>
        <w:t>5、供应商履约能力：供应商须提供具有履行合同所必需的设备和专业技术能力的承诺；</w:t>
      </w:r>
    </w:p>
    <w:p>
      <w:pPr>
        <w:pStyle w:val="null3"/>
      </w:pPr>
      <w:r>
        <w:rPr>
          <w:rFonts w:ascii="仿宋_GB2312" w:hAnsi="仿宋_GB2312" w:cs="仿宋_GB2312" w:eastAsia="仿宋_GB2312"/>
        </w:rPr>
        <w:t>6、近三年无重大违法记录声明：参加政府采购活动前3年内，在经营活动中没有重大违法记录的书面声明；</w:t>
      </w:r>
    </w:p>
    <w:p>
      <w:pPr>
        <w:pStyle w:val="null3"/>
      </w:pPr>
      <w:r>
        <w:rPr>
          <w:rFonts w:ascii="仿宋_GB2312" w:hAnsi="仿宋_GB2312" w:cs="仿宋_GB2312" w:eastAsia="仿宋_GB2312"/>
        </w:rPr>
        <w:t>7、其他声明：为采购项目提供整体设计、规范编制或者项目管理、监理、检测等服务的供应商，不得再参加本项目的采购活动。</w:t>
      </w:r>
    </w:p>
    <w:p>
      <w:pPr>
        <w:pStyle w:val="null3"/>
      </w:pPr>
      <w:r>
        <w:rPr>
          <w:rFonts w:ascii="仿宋_GB2312" w:hAnsi="仿宋_GB2312" w:cs="仿宋_GB2312" w:eastAsia="仿宋_GB2312"/>
        </w:rPr>
        <w:t>8、法定代表人身份证明/法定代表人授权委托书：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p>
    <w:p>
      <w:pPr>
        <w:pStyle w:val="null3"/>
      </w:pPr>
      <w:r>
        <w:rPr>
          <w:rFonts w:ascii="仿宋_GB2312" w:hAnsi="仿宋_GB2312" w:cs="仿宋_GB2312" w:eastAsia="仿宋_GB2312"/>
        </w:rPr>
        <w:t>9、特定资格要求：供应商须具备建设行政主管部门颁发的工程监理综合资质或房屋建筑工程监理乙级及以上资质，并在人员、设备、资金等方面具备相应的监理能力；</w:t>
      </w:r>
    </w:p>
    <w:p>
      <w:pPr>
        <w:pStyle w:val="null3"/>
      </w:pPr>
      <w:r>
        <w:rPr>
          <w:rFonts w:ascii="仿宋_GB2312" w:hAnsi="仿宋_GB2312" w:cs="仿宋_GB2312" w:eastAsia="仿宋_GB2312"/>
        </w:rPr>
        <w:t>10、总监理工程师：拟派的项目总监理工程师具备房屋建筑工程专业国家注册监理工程师资格证书，并在本单位注册，且未担任其他在建工程项目的总监理工程师；（提供无在监工程承诺书）</w:t>
      </w:r>
    </w:p>
    <w:p>
      <w:pPr>
        <w:pStyle w:val="null3"/>
      </w:pPr>
      <w:r>
        <w:rPr>
          <w:rFonts w:ascii="仿宋_GB2312" w:hAnsi="仿宋_GB2312" w:cs="仿宋_GB2312" w:eastAsia="仿宋_GB2312"/>
        </w:rPr>
        <w:t>11、信誉要求：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12、供应商承诺：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声明函）</w:t>
      </w:r>
    </w:p>
    <w:p>
      <w:pPr>
        <w:pStyle w:val="null3"/>
      </w:pPr>
      <w:r>
        <w:rPr>
          <w:rFonts w:ascii="仿宋_GB2312" w:hAnsi="仿宋_GB2312" w:cs="仿宋_GB2312" w:eastAsia="仿宋_GB2312"/>
        </w:rPr>
        <w:t>13、非联合体投标：本项目不接受联合体投标。供应商应提供《非联合体不分包投标声明》，视为独立响应，不分包。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陕西省西安市未央区朱宏路福清商会大厦11楼1101室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业务经办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采购包1：1,965,425.30元</w:t>
            </w:r>
          </w:p>
          <w:p>
            <w:pPr>
              <w:pStyle w:val="null3"/>
            </w:pPr>
            <w:r>
              <w:rPr>
                <w:rFonts w:ascii="仿宋_GB2312" w:hAnsi="仿宋_GB2312" w:cs="仿宋_GB2312" w:eastAsia="仿宋_GB2312"/>
              </w:rPr>
              <w:t>采购包2：35,000.00元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规定标准下浮20%收取，不足3000，按3000收取。代理服务费由成交供应商在办理成交通知书手续之前向采购代理机构一次性付清。招标代理服务费缴纳账户信息： 开户名称：陕西华达峰信项目管理有限公司 开户银行：中国工商银行股份有限公司西安未央支行 银行账号：3700034009100001556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按合同相关条款执行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西安市第三医院</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联系人：杨主任</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地址：陕西省西安市未央区朱宏路福清商会大厦11楼1101室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1,965,425.30</w:t>
      </w:r>
    </w:p>
    <w:p>
      <w:pPr>
        <w:pStyle w:val="null3"/>
      </w:pPr>
      <w:r>
        <w:rPr>
          <w:rFonts w:ascii="仿宋_GB2312" w:hAnsi="仿宋_GB2312" w:cs="仿宋_GB2312" w:eastAsia="仿宋_GB2312"/>
        </w:rPr>
        <w:t>采购包最高限价（元）: 1,930,425.30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皮肤科改造项目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1,965,425.30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35,000.00</w:t>
      </w:r>
    </w:p>
    <w:p>
      <w:pPr>
        <w:pStyle w:val="null3"/>
      </w:pPr>
      <w:r>
        <w:rPr>
          <w:rFonts w:ascii="仿宋_GB2312" w:hAnsi="仿宋_GB2312" w:cs="仿宋_GB2312" w:eastAsia="仿宋_GB2312"/>
        </w:rPr>
        <w:t>采购包最高限价（元）: 35,000.00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皮肤科改造监理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标的名称：皮肤科改造项目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项目概况及规模</w:t>
            </w:r>
          </w:p>
        </w:tc>
        <w:tc>
          <w:tcPr>
            <w:tcW w:type="dxa" w:w="2076"/>
          </w:tcPr>
          <w:p>
            <w:pPr>
              <w:pStyle w:val="null3"/>
              <w:ind w:firstLine="400"/>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该工程位于西安市未央区凤城三路东段10号西安市第三医院门诊楼4层东北角,将门诊楼4层行政办公区整体维修及装修改造为皮肤科门诊，总建筑面积约693.62m。改造项目涉及建筑工程、装饰装修工程、给排水工程、弱电工程、电气设备安装工程、通风消防工程，主要包括:</w:t>
            </w:r>
          </w:p>
          <w:p>
            <w:pPr>
              <w:pStyle w:val="null3"/>
            </w:pPr>
            <w:r>
              <w:rPr>
                <w:rFonts w:ascii="仿宋_GB2312" w:hAnsi="仿宋_GB2312" w:cs="仿宋_GB2312" w:eastAsia="仿宋_GB2312"/>
              </w:rPr>
              <w:t>（1）原行政办公区装修拆除，包括吊顶、墙体、桥架、风管、地面等:</w:t>
            </w:r>
          </w:p>
          <w:p>
            <w:pPr>
              <w:pStyle w:val="null3"/>
            </w:pPr>
            <w:r>
              <w:rPr>
                <w:rFonts w:ascii="仿宋_GB2312" w:hAnsi="仿宋_GB2312" w:cs="仿宋_GB2312" w:eastAsia="仿宋_GB2312"/>
              </w:rPr>
              <w:t>（2）医生办公室、候诊大厅、导诊处、卫生间空间分割重新设置;</w:t>
            </w:r>
          </w:p>
          <w:p>
            <w:pPr>
              <w:pStyle w:val="null3"/>
            </w:pPr>
            <w:r>
              <w:rPr>
                <w:rFonts w:ascii="仿宋_GB2312" w:hAnsi="仿宋_GB2312" w:cs="仿宋_GB2312" w:eastAsia="仿宋_GB2312"/>
              </w:rPr>
              <w:t>（3）增设供电线路、给排水、通风消防设施设备并进行消防并网;</w:t>
            </w:r>
          </w:p>
          <w:p>
            <w:pPr>
              <w:pStyle w:val="null3"/>
            </w:pPr>
            <w:r>
              <w:rPr>
                <w:rFonts w:ascii="仿宋_GB2312" w:hAnsi="仿宋_GB2312" w:cs="仿宋_GB2312" w:eastAsia="仿宋_GB2312"/>
              </w:rPr>
              <w:t>（4）各空间吊顶、墙面装修、灯具安装:</w:t>
            </w:r>
          </w:p>
          <w:p>
            <w:pPr>
              <w:pStyle w:val="null3"/>
            </w:pPr>
            <w:r>
              <w:rPr>
                <w:rFonts w:ascii="仿宋_GB2312" w:hAnsi="仿宋_GB2312" w:cs="仿宋_GB2312" w:eastAsia="仿宋_GB2312"/>
              </w:rPr>
              <w:t>（5）各空间小电器安装、抗菌板洁净板安装、眼镜安装等；</w:t>
            </w:r>
          </w:p>
          <w:p>
            <w:pPr>
              <w:pStyle w:val="null3"/>
            </w:pPr>
            <w:r>
              <w:rPr>
                <w:rFonts w:ascii="仿宋_GB2312" w:hAnsi="仿宋_GB2312" w:cs="仿宋_GB2312" w:eastAsia="仿宋_GB2312"/>
              </w:rPr>
              <w:t>（6）具体施工内容详见设计图纸及工程量清单。</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工程量清单和计价依据</w:t>
            </w:r>
          </w:p>
        </w:tc>
        <w:tc>
          <w:tcPr>
            <w:tcW w:type="dxa" w:w="2076"/>
          </w:tcPr>
          <w:p>
            <w:pPr>
              <w:pStyle w:val="null3"/>
            </w:pPr>
            <w:r>
              <w:rPr>
                <w:rFonts w:ascii="仿宋_GB2312" w:hAnsi="仿宋_GB2312" w:cs="仿宋_GB2312" w:eastAsia="仿宋_GB2312"/>
              </w:rPr>
              <w:t>二、工程量清单和计价依据</w:t>
            </w:r>
          </w:p>
          <w:p>
            <w:pPr>
              <w:pStyle w:val="null3"/>
            </w:pPr>
            <w:r>
              <w:rPr>
                <w:rFonts w:ascii="仿宋_GB2312" w:hAnsi="仿宋_GB2312" w:cs="仿宋_GB2312" w:eastAsia="仿宋_GB2312"/>
              </w:rPr>
              <w:t>（一）计价依据：</w:t>
            </w:r>
          </w:p>
          <w:p>
            <w:pPr>
              <w:pStyle w:val="null3"/>
            </w:pPr>
            <w:r>
              <w:rPr>
                <w:rFonts w:ascii="仿宋_GB2312" w:hAnsi="仿宋_GB2312" w:cs="仿宋_GB2312" w:eastAsia="仿宋_GB2312"/>
              </w:rPr>
              <w:t>1.西安市第三医院皮肤科门诊室内改造项目施工图；</w:t>
            </w:r>
          </w:p>
          <w:p>
            <w:pPr>
              <w:pStyle w:val="null3"/>
            </w:pPr>
            <w:r>
              <w:rPr>
                <w:rFonts w:ascii="仿宋_GB2312" w:hAnsi="仿宋_GB2312" w:cs="仿宋_GB2312" w:eastAsia="仿宋_GB2312"/>
              </w:rPr>
              <w:t>2.《陕西省建设工程工程量清单计价规则》（2009）；</w:t>
            </w:r>
          </w:p>
          <w:p>
            <w:pPr>
              <w:pStyle w:val="null3"/>
            </w:pPr>
            <w:r>
              <w:rPr>
                <w:rFonts w:ascii="仿宋_GB2312" w:hAnsi="仿宋_GB2312" w:cs="仿宋_GB2312" w:eastAsia="仿宋_GB2312"/>
              </w:rPr>
              <w:t>3.《陕西省建筑装饰工程消耗量定额》（2004）《陕西省安装工程消耗量定额》（2004）、《陕西省建设工程消耗量定额补充定额》（2004）、《陕西省室内装饰工程定额》（2002）、《陕西省建设工程工程量清单计价费率》（2009）、《全统修缮定额土建工程陕西省价目表》（2001）、《陕西省室内装饰工程》（2002）及其他相关文件；</w:t>
            </w:r>
          </w:p>
          <w:p>
            <w:pPr>
              <w:pStyle w:val="null3"/>
            </w:pPr>
            <w:r>
              <w:rPr>
                <w:rFonts w:ascii="仿宋_GB2312" w:hAnsi="仿宋_GB2312" w:cs="仿宋_GB2312" w:eastAsia="仿宋_GB2312"/>
              </w:rPr>
              <w:t>4.《陕西省建筑装饰工程价目表》（2009）、《陕西省安装工程价目表》（2009）及其他相关文件；</w:t>
            </w:r>
          </w:p>
          <w:p>
            <w:pPr>
              <w:pStyle w:val="null3"/>
            </w:pPr>
            <w:r>
              <w:rPr>
                <w:rFonts w:ascii="仿宋_GB2312" w:hAnsi="仿宋_GB2312" w:cs="仿宋_GB2312" w:eastAsia="仿宋_GB2312"/>
              </w:rPr>
              <w:t>5.人工费执行陕建发〔2021〕1097号文；</w:t>
            </w:r>
          </w:p>
          <w:p>
            <w:pPr>
              <w:pStyle w:val="null3"/>
            </w:pPr>
            <w:r>
              <w:rPr>
                <w:rFonts w:ascii="仿宋_GB2312" w:hAnsi="仿宋_GB2312" w:cs="仿宋_GB2312" w:eastAsia="仿宋_GB2312"/>
              </w:rPr>
              <w:t>6.本工程计价程序执行陕建发〔2019〕45号文件,陕建发〔2019〕1246号文件及相关配套文件；建筑施工安全生产责任险执行陕建发〔2020〕1097号文件；陕建发〔2021〕1021号文《陕西省住房和城乡建设厅关于全省统一停止收缴建筑业劳保费用的通知》，其他规费按现行《计价规则》及配套计价文件计取；</w:t>
            </w:r>
          </w:p>
          <w:p>
            <w:pPr>
              <w:pStyle w:val="null3"/>
            </w:pPr>
            <w:r>
              <w:rPr>
                <w:rFonts w:ascii="仿宋_GB2312" w:hAnsi="仿宋_GB2312" w:cs="仿宋_GB2312" w:eastAsia="仿宋_GB2312"/>
              </w:rPr>
              <w:t>7.正常施工组织设计及施工方法；</w:t>
            </w:r>
          </w:p>
          <w:p>
            <w:pPr>
              <w:pStyle w:val="null3"/>
            </w:pPr>
            <w:r>
              <w:rPr>
                <w:rFonts w:ascii="仿宋_GB2312" w:hAnsi="仿宋_GB2312" w:cs="仿宋_GB2312" w:eastAsia="仿宋_GB2312"/>
              </w:rPr>
              <w:t>8.施工图中采用的相关标准图集、施工规范及验收规范；</w:t>
            </w:r>
          </w:p>
          <w:p>
            <w:pPr>
              <w:pStyle w:val="null3"/>
            </w:pPr>
            <w:r>
              <w:rPr>
                <w:rFonts w:ascii="仿宋_GB2312" w:hAnsi="仿宋_GB2312" w:cs="仿宋_GB2312" w:eastAsia="仿宋_GB2312"/>
              </w:rPr>
              <w:t>9.主要材料价格执行《陕西工程造价信息》2024年10月信息价，信息价中没有的材料按当地市场价计入；</w:t>
            </w:r>
          </w:p>
          <w:p>
            <w:pPr>
              <w:pStyle w:val="null3"/>
            </w:pPr>
            <w:r>
              <w:rPr>
                <w:rFonts w:ascii="仿宋_GB2312" w:hAnsi="仿宋_GB2312" w:cs="仿宋_GB2312" w:eastAsia="仿宋_GB2312"/>
              </w:rPr>
              <w:t>10.与建设工程项目有关的答疑文件；</w:t>
            </w:r>
          </w:p>
          <w:p>
            <w:pPr>
              <w:pStyle w:val="null3"/>
            </w:pPr>
            <w:r>
              <w:rPr>
                <w:rFonts w:ascii="仿宋_GB2312" w:hAnsi="仿宋_GB2312" w:cs="仿宋_GB2312" w:eastAsia="仿宋_GB2312"/>
              </w:rPr>
              <w:t>11.其他相关资料。</w:t>
            </w:r>
          </w:p>
          <w:p>
            <w:pPr>
              <w:pStyle w:val="null3"/>
            </w:pPr>
            <w:r>
              <w:rPr>
                <w:rFonts w:ascii="仿宋_GB2312" w:hAnsi="仿宋_GB2312" w:cs="仿宋_GB2312" w:eastAsia="仿宋_GB2312"/>
              </w:rPr>
              <w:t>（二）其他说明：</w:t>
            </w:r>
          </w:p>
          <w:p>
            <w:pPr>
              <w:pStyle w:val="null3"/>
            </w:pPr>
            <w:r>
              <w:rPr>
                <w:rFonts w:ascii="仿宋_GB2312" w:hAnsi="仿宋_GB2312" w:cs="仿宋_GB2312" w:eastAsia="仿宋_GB2312"/>
              </w:rPr>
              <w:t>1.给排水拆除仅考虑卫生间部分进行拆除，其余均为新做部分；电伴热因图纸未提供做法，暂未考虑；</w:t>
            </w:r>
          </w:p>
          <w:p>
            <w:pPr>
              <w:pStyle w:val="null3"/>
            </w:pPr>
            <w:r>
              <w:rPr>
                <w:rFonts w:ascii="仿宋_GB2312" w:hAnsi="仿宋_GB2312" w:cs="仿宋_GB2312" w:eastAsia="仿宋_GB2312"/>
              </w:rPr>
              <w:t>2.消火栓系统中拆除仅计取环管及连接至消火栓处管道及附属阀门与消火栓，喷淋灭火系统水平管道、连接喷头管道及水喷头全部进行更换，水喷头按玻璃球喷头计取；</w:t>
            </w:r>
          </w:p>
          <w:p>
            <w:pPr>
              <w:pStyle w:val="null3"/>
            </w:pPr>
            <w:r>
              <w:rPr>
                <w:rFonts w:ascii="仿宋_GB2312" w:hAnsi="仿宋_GB2312" w:cs="仿宋_GB2312" w:eastAsia="仿宋_GB2312"/>
              </w:rPr>
              <w:t>3.电气工程按开槽更换穿线管考虑；</w:t>
            </w:r>
          </w:p>
          <w:p>
            <w:pPr>
              <w:pStyle w:val="null3"/>
            </w:pPr>
            <w:r>
              <w:rPr>
                <w:rFonts w:ascii="仿宋_GB2312" w:hAnsi="仿宋_GB2312" w:cs="仿宋_GB2312" w:eastAsia="仿宋_GB2312"/>
              </w:rPr>
              <w:t>4.消防电配管暂按sc25考虑；</w:t>
            </w:r>
          </w:p>
          <w:p>
            <w:pPr>
              <w:pStyle w:val="null3"/>
            </w:pPr>
            <w:r>
              <w:rPr>
                <w:rFonts w:ascii="仿宋_GB2312" w:hAnsi="仿宋_GB2312" w:cs="仿宋_GB2312" w:eastAsia="仿宋_GB2312"/>
              </w:rPr>
              <w:t>5.弱电显示屏、摄像头，选号扩音对讲设备不包含在本次范围内；</w:t>
            </w:r>
          </w:p>
          <w:p>
            <w:pPr>
              <w:pStyle w:val="null3"/>
            </w:pPr>
            <w:r>
              <w:rPr>
                <w:rFonts w:ascii="仿宋_GB2312" w:hAnsi="仿宋_GB2312" w:cs="仿宋_GB2312" w:eastAsia="仿宋_GB2312"/>
              </w:rPr>
              <w:t>6.电气工程按开槽更换穿线管考虑；</w:t>
            </w:r>
          </w:p>
          <w:p>
            <w:pPr>
              <w:pStyle w:val="null3"/>
            </w:pPr>
            <w:r>
              <w:rPr>
                <w:rFonts w:ascii="仿宋_GB2312" w:hAnsi="仿宋_GB2312" w:cs="仿宋_GB2312" w:eastAsia="仿宋_GB2312"/>
              </w:rPr>
              <w:t>7.所有砂浆采用现拌砂浆考虑；</w:t>
            </w:r>
          </w:p>
          <w:p>
            <w:pPr>
              <w:pStyle w:val="null3"/>
            </w:pPr>
            <w:r>
              <w:rPr>
                <w:rFonts w:ascii="仿宋_GB2312" w:hAnsi="仿宋_GB2312" w:cs="仿宋_GB2312" w:eastAsia="仿宋_GB2312"/>
              </w:rPr>
              <w:t>8.本工程量清单编制采用广联达云计价平台GCCP6.0（陕西西安增值税版本：6.4100.23.121）。</w:t>
            </w:r>
          </w:p>
          <w:p>
            <w:pPr>
              <w:pStyle w:val="null3"/>
            </w:pPr>
            <w:r>
              <w:rPr>
                <w:rFonts w:ascii="仿宋_GB2312" w:hAnsi="仿宋_GB2312" w:cs="仿宋_GB2312" w:eastAsia="仿宋_GB2312"/>
              </w:rPr>
              <w:t>（三）工程量清单：</w:t>
            </w:r>
          </w:p>
          <w:p>
            <w:pPr>
              <w:pStyle w:val="null3"/>
            </w:pPr>
            <w:r>
              <w:rPr>
                <w:rFonts w:ascii="仿宋_GB2312" w:hAnsi="仿宋_GB2312" w:cs="仿宋_GB2312" w:eastAsia="仿宋_GB2312"/>
              </w:rPr>
              <w:t>附件：详见工程量清单。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标的名称：皮肤科改造监理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服务范围：皮肤科改造项目施工和保修阶段内全部监理工作。具体包含本项目施工过程中的质量、安全、进度、投资控制，资料管理、信息管理及协调施工现场各方关系。</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服务期：自项目开工令发出之日起至项目施工验收合格之日止。</w:t>
            </w:r>
          </w:p>
          <w:p>
            <w:pPr>
              <w:pStyle w:val="null3"/>
            </w:pPr>
            <w:r>
              <w:rPr>
                <w:rFonts w:ascii="仿宋_GB2312" w:hAnsi="仿宋_GB2312" w:cs="仿宋_GB2312" w:eastAsia="仿宋_GB2312"/>
              </w:rPr>
              <w:t>服务质量：达到国家现行施工验收规范“合格”标准。</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监理目标：</w:t>
            </w:r>
          </w:p>
          <w:p>
            <w:pPr>
              <w:pStyle w:val="null3"/>
            </w:pPr>
            <w:r>
              <w:rPr>
                <w:rFonts w:ascii="仿宋_GB2312" w:hAnsi="仿宋_GB2312" w:cs="仿宋_GB2312" w:eastAsia="仿宋_GB2312"/>
              </w:rPr>
              <w:t>1、确保所监理的工程能够达到该工程施工合同所约定的质量标准和质量目标；</w:t>
            </w:r>
          </w:p>
          <w:p>
            <w:pPr>
              <w:pStyle w:val="null3"/>
            </w:pPr>
            <w:r>
              <w:rPr>
                <w:rFonts w:ascii="仿宋_GB2312" w:hAnsi="仿宋_GB2312" w:cs="仿宋_GB2312" w:eastAsia="仿宋_GB2312"/>
              </w:rPr>
              <w:t>2、确保承包方能够按合同中要求的合同工期完成任务并及时交付使用；</w:t>
            </w:r>
          </w:p>
          <w:p>
            <w:pPr>
              <w:pStyle w:val="null3"/>
            </w:pPr>
            <w:r>
              <w:rPr>
                <w:rFonts w:ascii="仿宋_GB2312" w:hAnsi="仿宋_GB2312" w:cs="仿宋_GB2312" w:eastAsia="仿宋_GB2312"/>
              </w:rPr>
              <w:t>3、要求在整个项目实施阶段开展管理活动，实现项目的实际投资不超过计划投资；</w:t>
            </w:r>
          </w:p>
          <w:p>
            <w:pPr>
              <w:pStyle w:val="null3"/>
            </w:pPr>
            <w:r>
              <w:rPr>
                <w:rFonts w:ascii="仿宋_GB2312" w:hAnsi="仿宋_GB2312" w:cs="仿宋_GB2312" w:eastAsia="仿宋_GB2312"/>
              </w:rPr>
              <w:t>4、认真审查施工组织设计中的安全技术措施和专项施工方案，确保承包人建立健全安全生产责任制和安全生产专项系统，落实安全预防措施，确保工地安全无事故。</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rPr>
              <w:t>工程开工前应做好施工组织设计，严格遵守有关安全法规文件，针对本工程特点，制定安全专项施工方案，消除事故隐患。</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其他：</w:t>
            </w:r>
          </w:p>
          <w:p>
            <w:pPr>
              <w:pStyle w:val="null3"/>
            </w:pPr>
            <w:r>
              <w:rPr>
                <w:rFonts w:ascii="仿宋_GB2312" w:hAnsi="仿宋_GB2312" w:cs="仿宋_GB2312" w:eastAsia="仿宋_GB2312"/>
              </w:rPr>
              <w:t>（一）质量验收标准或规范</w:t>
            </w:r>
          </w:p>
          <w:p>
            <w:pPr>
              <w:pStyle w:val="null3"/>
            </w:pPr>
            <w:r>
              <w:rPr>
                <w:rFonts w:ascii="仿宋_GB2312" w:hAnsi="仿宋_GB2312" w:cs="仿宋_GB2312" w:eastAsia="仿宋_GB2312"/>
              </w:rPr>
              <w:t>适用规范标准：国家、行业、项目所在地现行规范。</w:t>
            </w:r>
          </w:p>
          <w:p>
            <w:pPr>
              <w:pStyle w:val="null3"/>
            </w:pPr>
            <w:r>
              <w:rPr>
                <w:rFonts w:ascii="仿宋_GB2312" w:hAnsi="仿宋_GB2312" w:cs="仿宋_GB2312" w:eastAsia="仿宋_GB2312"/>
              </w:rPr>
              <w:t>①《建设工程监理规范》（GB50319-2013）、《质量管理体系基础和术语》（GB/T19000）、《建筑工程施工质量验收统一标准》（GB50300）、《建筑工程施工质量验收统一标准》（GB50300）；</w:t>
            </w:r>
          </w:p>
          <w:p>
            <w:pPr>
              <w:pStyle w:val="null3"/>
            </w:pPr>
            <w:r>
              <w:rPr>
                <w:rFonts w:ascii="仿宋_GB2312" w:hAnsi="仿宋_GB2312" w:cs="仿宋_GB2312" w:eastAsia="仿宋_GB2312"/>
              </w:rPr>
              <w:t>②除合同另有约定外，本工程适用现行国家、省、市、行业和地方规范、标准和规程；</w:t>
            </w:r>
          </w:p>
          <w:p>
            <w:pPr>
              <w:pStyle w:val="null3"/>
            </w:pPr>
            <w:r>
              <w:rPr>
                <w:rFonts w:ascii="仿宋_GB2312" w:hAnsi="仿宋_GB2312" w:cs="仿宋_GB2312" w:eastAsia="仿宋_GB2312"/>
              </w:rPr>
              <w:t>③规范、标准和规程如发生不一致时，则以要求最为严格的规范、规程或标准作为工作依据；</w:t>
            </w:r>
          </w:p>
          <w:p>
            <w:pPr>
              <w:pStyle w:val="null3"/>
            </w:pPr>
            <w:r>
              <w:rPr>
                <w:rFonts w:ascii="仿宋_GB2312" w:hAnsi="仿宋_GB2312" w:cs="仿宋_GB2312" w:eastAsia="仿宋_GB2312"/>
              </w:rPr>
              <w:t>④在合同履行期间，监理人应满足委托人的特定技术要求，满足要求，满足陕西省及西安市的有关强制性规定；监理人应严格执行中华人民共和国强制性标准，执行现行的或即将颁布的行业标准、规范；如有新颁国家标准及行业标准、规范，委托人指令执行时，监理人应当执行。</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符合《绿色建筑和绿色建材政府采购需求标准》、《建筑工程施工质量验收统一标准》GB50300-2013等相关国家及行业标准。 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采购包1： 1、工程内容和施工地点、计划工期、缺陷责任期、质量保修期 （1）工程内容：对诊楼4层行政办公区整体维修及装修改造为皮肤科门诊，总建筑面积约693.62㎡。改造项目涉及建筑工程、装饰装修工程、给排水工程、弱电工程、电气设备安装工程、通风消防工程等，详见磋商文件及工程量清单。 （2）工程地点：西安市未央区凤城三路东段10号。 （3）工期：自进场之日起100个日历日内竣工。 （4）缺陷责任期：2年。 （5）质量保修期：2年。 2、施工要求 （1）在施工期间，中标供必须按照现行国家相关规范要求进行安全文明施工，例如：注意声污染、水污染、空气粉尘污染、施工垃圾处理问题，应考虑医院的工作时间和患者休息时间的需要，合理安排施工进度计划，且需采取合理保护措施进行噪声控制、粉尘控制、废水排放、施工垃圾等处理，以减少对医院运营的干扰。同时注意院内人员安全、加强安全措施、并对施工人员进行安全教育。施工人员必须持证上岗。因采购人工作的特殊性，要求中标供应商在施工中做到封闭性施工。 （2）工程质量必须符合现行相关工程施工规范及验收规范。规范、标准和规程如发生不一致时，则以要求最为严格的规范、规程或标准作为工作依据。 （3）在无不可抗力等规定工期顺延因素外，施工进度必须按照招标文件约定开竣工日期完成。 采购包2： 1、服务要求 （1）在合同履行期间，监理人应满足委托人的特定技术要求，满足设计要求，满足陕西省及西安市的有关强制性规定；监理人应严格执行中华人民共和国强制性标准，执行现行的 或即将颁布的行业标准、规范；如有新颁国家标准及行业标准、规范，委托人指令执行时， 监理人应当执行。 （2）在无不可抗力等规定工期顺延因素外，监理期必须按照招标文件约定日期完成。 2、成果交付要求：根据相关规定及现行国家标准及委托单位的要求，严格完成项目过程中及验收时的工作。 监理竣工资料1套，移交标准需按照采购人档案资料管理制度要求执行，同时须提供电子版扫描件监理竣工资料（1套，光盘4个），费用已包含在总价合同内。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（一）合同价款及结算方式 1、按照相关规范及相关要求完成全部施工内容，实际结算由采购人委托的第三方审计公司，按照本工程所发生的实际工程量审计后所认定的价格进行结算。合同价款包括招标文件、响应文件的全部内容以及配套设施、运输、装卸、安全施工及其他全部费用。 2、付款方式： 采购包1：合同签订后施工到总进度的30%（按照施工产值计算，监理确认后），支付至总价款的30%；施工到总进度的60%（按照施工产值计算，监理确认后），支付至总价款的60%；待所有施工项目全部完成、工程竣工验收合格后，支付至本工程实际工程量结算价格的97%，其余3%自验收合格之日起贰年内无质量及服务问题，15个工作日内一次性无息付清。 采购包2：工程竣工验收合格，完成工程决算并向采购人移交资料，提交监理工作总结报告后，达到付款条件起15日内，提供含税等额发票后一次性支付监理费。 （二）违约责任 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 （三）其他 （1）为顺利推进政府采购电子化交易平台试点应用工作，供应商需要在线提交所有通过电子化交易平台实施的政府采购项目的响应文件，发布成交结果公告后，成交供应商应及时向采购代理机构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2）供应商务必在开标截止时间30分钟前，通过项目电子化交易系统进行签到，如未进行签到、解密、签章等产生的一起后果由供应商自行承担。 （3）供应商的磋商报价包括施工机械使用费、人工费、材料与设备费、维护费、其他（运杂费、质检费、安装费、缺陷修复 费、保 险费，以及合同明示或暗示的 风险、责任和义务等），以及管理费、税金、利润、采购代理服务费等所有费用，并符合建设工程计价规则。（4）签名是指手写签名或者加盖名章，盖章是指加盖单位印章。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是在中华人民共和国注册并具有独立承担民事责任能力的法人，其他组织或自然人，并出具合法有效的统一社会信用代码的营业执照或事业单位法人证书等国家规定的相关证明，自然人参与的提供其身份证明。 2、财务状况: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4、社会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5、供应商须提供具有履行合同所必需的设备和专业技术能力的承诺； 6、参加政府采购活动前3年内，在经营活动中没有重大违法记录的书面声明； 7、为采购项目提供整体设计、规范编制或者项目管理、监理、检测等服务的供应商，不得再参加本项目的采购活动。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是在中华人民共和国注册并具有独立承担民事责任能力的法人，其他组织或自然人，并出具合法有效的统一社会信用代码的营业执照或事业单位法人证书等国家规定的相关证明，自然人参与的提供其身份证明。 2、财务状况: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 4、社会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5、供应商须提供具有履行合同所必需的设备和专业技术能力的承诺； 6、参加政府采购活动前3年内，在经营活动中没有重大违法记录的书面声明； 7、为采购项目提供整体设计、规范编制或者项目管理、监理、检测等服务的供应商，不得再参加本项目的采购活动。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资格证明文件（2）.docx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其他声明</w:t>
            </w:r>
          </w:p>
        </w:tc>
        <w:tc>
          <w:tcPr>
            <w:tcW w:type="dxa" w:w="3322"/>
          </w:tcPr>
          <w:p>
            <w:pPr>
              <w:pStyle w:val="null3"/>
            </w:pPr>
            <w:r>
              <w:rPr>
                <w:rFonts w:ascii="仿宋_GB2312" w:hAnsi="仿宋_GB2312" w:cs="仿宋_GB2312" w:eastAsia="仿宋_GB2312"/>
              </w:rPr>
              <w:t>为采购项目提供整体设计、规范编制或者项目管理、监理、检测等服务的供应商，不得再参加本项目的采购活动。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供应商具备建设行政主管部门颁发的建筑工程施工总承包二级及以上资质及建筑机电安装工程专业承包三级及以上资质；并提供合格有效的安全生产许可证；</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建造师注册证和中级及以上职称，具备有效的安全生产考核证书（B证），在本单位注册（提供项目经理近一年连续12个月养老保险缴纳证明，缴费单位与供应商一致），且无在建工程；（提供无在建工程承诺书）</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声明函）</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本项目不接受联合体投标。供应商应提供《非联合体不分包投标声明》，视为独立响应，不分包。</w:t>
            </w:r>
          </w:p>
        </w:tc>
        <w:tc>
          <w:tcPr>
            <w:tcW w:type="dxa" w:w="1661"/>
          </w:tcPr>
          <w:p>
            <w:pPr>
              <w:pStyle w:val="null3"/>
            </w:pPr>
            <w:r>
              <w:rPr>
                <w:rFonts w:ascii="仿宋_GB2312" w:hAnsi="仿宋_GB2312" w:cs="仿宋_GB2312" w:eastAsia="仿宋_GB2312"/>
              </w:rPr>
              <w:t>资格证明文件（1）.docx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应是在中华人民共和国注册并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其他声明</w:t>
            </w:r>
          </w:p>
        </w:tc>
        <w:tc>
          <w:tcPr>
            <w:tcW w:type="dxa" w:w="3322"/>
          </w:tcPr>
          <w:p>
            <w:pPr>
              <w:pStyle w:val="null3"/>
            </w:pPr>
            <w:r>
              <w:rPr>
                <w:rFonts w:ascii="仿宋_GB2312" w:hAnsi="仿宋_GB2312" w:cs="仿宋_GB2312" w:eastAsia="仿宋_GB2312"/>
              </w:rPr>
              <w:t>为采购项目提供整体设计、规范编制或者项目管理、监理、检测等服务的供应商，不得再参加本项目的采购活动。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(近三个月社保缴纳证明)；</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供应商须具备建设行政主管部门颁发的工程监理综合资质或房屋建筑工程监理乙级及以上资质，并在人员、设备、资金等方面具备相应的监理能力；</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总监理工程师</w:t>
            </w:r>
          </w:p>
        </w:tc>
        <w:tc>
          <w:tcPr>
            <w:tcW w:type="dxa" w:w="3322"/>
          </w:tcPr>
          <w:p>
            <w:pPr>
              <w:pStyle w:val="null3"/>
            </w:pPr>
            <w:r>
              <w:rPr>
                <w:rFonts w:ascii="仿宋_GB2312" w:hAnsi="仿宋_GB2312" w:cs="仿宋_GB2312" w:eastAsia="仿宋_GB2312"/>
              </w:rPr>
              <w:t>拟派的项目总监理工程师具备房屋建筑工程专业国家注册监理工程师资格证书，并在本单位注册，且未担任其他在建工程项目的总监理工程师；（提供无在监工程承诺书）</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声明函）</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本项目不接受联合体投标。供应商应提供《非联合体不分包投标声明》，视为独立响应，不分包。</w:t>
            </w:r>
          </w:p>
        </w:tc>
        <w:tc>
          <w:tcPr>
            <w:tcW w:type="dxa" w:w="1661"/>
          </w:tcPr>
          <w:p>
            <w:pPr>
              <w:pStyle w:val="null3"/>
            </w:pPr>
            <w:r>
              <w:rPr>
                <w:rFonts w:ascii="仿宋_GB2312" w:hAnsi="仿宋_GB2312" w:cs="仿宋_GB2312" w:eastAsia="仿宋_GB2312"/>
              </w:rPr>
              <w:t>资格证明文件（2）.docx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技术响应偏离表.docx 供应商参与政府采购活动的承诺函.docx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技术响应偏离表.docx 供应商参与政府采购活动的承诺函.docx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需要法定代表人签字或盖章处，签字或盖章齐；需要加盖供应商公章处，加盖公章。</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技术响应偏离表.docx 供应商参与政府采购活动的承诺函.docx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技术响应偏离表.docx 供应商参与政府采购活动的承诺函.docx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技术响应偏离表.docx 供应商参与政府采购活动的承诺函.docx 报价函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报价函 技术响应偏离表.docx 供应商参与政府采购活动的承诺函.docx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报价函 技术响应偏离表.docx 供应商参与政府采购活动的承诺函.docx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报价函 技术响应偏离表.docx 供应商参与政府采购活动的承诺函.docx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无其他磋商文件或法规 明确规定响应无效的事 项</w:t>
            </w:r>
          </w:p>
        </w:tc>
        <w:tc>
          <w:tcPr>
            <w:tcW w:type="dxa" w:w="3322"/>
          </w:tcPr>
          <w:p>
            <w:pPr>
              <w:pStyle w:val="null3"/>
            </w:pPr>
            <w:r>
              <w:rPr>
                <w:rFonts w:ascii="仿宋_GB2312" w:hAnsi="仿宋_GB2312" w:cs="仿宋_GB2312" w:eastAsia="仿宋_GB2312"/>
              </w:rPr>
              <w:t>符合性审查其他要求：此外出现下列情况之一者（但不限于），按无效文件处理，并不得进入评分环节：A、供应商未经过正常渠道领取招标文件，或供应商名称与领取招标文件时登记的供应商名称不符的；B、供应商针对同一项目递交两份或多份内容不同的响应文件，未书面声明哪一份是有效的或出现选择性报价的；C、提供虚假技术性能指标；提供虚假资质、虚假资料、虚假证明（包括第三方提供的虚假证明）；出现虚假应答、承诺、声明的；D、供应商附加了采购单位难以接受的条件或条款的；E、供应商前期参与了本次项目方案设计的；F、在政府采购或其它重大项目履约过程中有不良记录或未能按期履约的；G、供应商使用虚假印章或印章无法证实为真实有效；H、报价子目出现漏项或未单独编制详细的分项报价表；I、供应商响应的采购范围及采购内容与招标文件要求出现重大负偏差的；J、实质性内容不满足、未完全未响应招标要求或擅自改动采购清单的；K、供应商有串通参与投标、行贿等违法行为的；L、响应文件的内容模糊、无法辨认的；M、不符合法律、法规规定的其它实质性要求的。</w:t>
            </w:r>
          </w:p>
        </w:tc>
        <w:tc>
          <w:tcPr>
            <w:tcW w:type="dxa" w:w="1661"/>
          </w:tcPr>
          <w:p>
            <w:pPr>
              <w:pStyle w:val="null3"/>
            </w:pPr>
            <w:r>
              <w:rPr>
                <w:rFonts w:ascii="仿宋_GB2312" w:hAnsi="仿宋_GB2312" w:cs="仿宋_GB2312" w:eastAsia="仿宋_GB2312"/>
              </w:rPr>
              <w:t>技术方案.docx 业绩一览表.docx 已标价工程量清单 中小企业声明函 其他证明材料.docx 响应文件封面 商务响应偏离表.docx 项目管理机构组成表 残疾人福利性单位声明函 报价函 技术响应偏离表.docx 供应商参与政府采购活动的承诺函.docx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业绩一览表.docx 中小企业声明函 其他证明材料.docx 响应文件封面 商务响应偏离表.docx 项目管理机构组成表 残疾人福利性单位声明函 报价函 技术响应偏离表.docx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业绩一览表.docx 商务响应偏离表.docx 项目管理机构组成表 中小企业声明函 残疾人福利性单位声明函 技术响应偏离表.docx 供应商参与政府采购活动的承诺函.docx 其他证明材料.docx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需要法定代表人签字或盖章处，签字或盖章齐；需要加盖供应商公章处，加盖公章。</w:t>
            </w:r>
          </w:p>
        </w:tc>
        <w:tc>
          <w:tcPr>
            <w:tcW w:type="dxa" w:w="1661"/>
          </w:tcPr>
          <w:p>
            <w:pPr>
              <w:pStyle w:val="null3"/>
            </w:pPr>
            <w:r>
              <w:rPr>
                <w:rFonts w:ascii="仿宋_GB2312" w:hAnsi="仿宋_GB2312" w:cs="仿宋_GB2312" w:eastAsia="仿宋_GB2312"/>
              </w:rPr>
              <w:t>响应文件封面 业绩一览表.docx 商务响应偏离表.docx 项目管理机构组成表 中小企业声明函 残疾人福利性单位声明函 技术响应偏离表.docx 供应商参与政府采购活动的承诺函.docx 其他证明材料.docx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业绩一览表.docx 商务响应偏离表.docx 项目管理机构组成表 中小企业声明函 残疾人福利性单位声明函 技术响应偏离表.docx 供应商参与政府采购活动的承诺函.docx 其他证明材料.docx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业绩一览表.docx 中小企业声明函 其他证明材料.docx 响应文件封面 商务响应偏离表.docx 项目管理机构组成表 残疾人福利性单位声明函 报价函 技术响应偏离表.docx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业绩一览表.docx 中小企业声明函 其他证明材料.docx 响应文件封面 商务响应偏离表.docx 项目管理机构组成表 残疾人福利性单位声明函 报价函 技术响应偏离表.docx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监理服务期、服务质量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中小企业声明函 其他证明材料.docx 响应文件封面 商务响应偏离表.docx 项目管理机构组成表 残疾人福利性单位声明函 报价函 技术响应偏离表.docx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业绩一览表.docx 中小企业声明函 其他证明材料.docx 响应文件封面 商务响应偏离表.docx 项目管理机构组成表 残疾人福利性单位声明函 报价函 技术响应偏离表.docx 供应商参与政府采购活动的承诺函.docx 标的清单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无其他磋商文件或法规 明确规定响应无效的事 项</w:t>
            </w:r>
          </w:p>
        </w:tc>
        <w:tc>
          <w:tcPr>
            <w:tcW w:type="dxa" w:w="3322"/>
          </w:tcPr>
          <w:p>
            <w:pPr>
              <w:pStyle w:val="null3"/>
            </w:pPr>
            <w:r>
              <w:rPr>
                <w:rFonts w:ascii="仿宋_GB2312" w:hAnsi="仿宋_GB2312" w:cs="仿宋_GB2312" w:eastAsia="仿宋_GB2312"/>
              </w:rPr>
              <w:t>符合性审查其他要求：此外出现下列情况之一者（但不限于），按无效文件处理，并不得进入评分环节：A、供应商未经过正常渠道领取招标文件，或供应商名称与领取招标文件时登记的供应商名称不符的；B、供应商针对同一项目递交两份或多份内容不同的响应文件，未书面声明哪一份是有效的或出现选择性报价的；C、提供虚假技术性能指标；提供虚假资质、虚假资料、虚假证明（包括第三方提供的虚假证明）；出现虚假应答、承诺、声明的；D、供应商附加了采购单位难以接受的条件或条款的；E、供应商前期参与了本次项目方案设计的；F、在政府采购或其它重大项目履约过程中有不良记录或未能按期履约的；G、供应商使用虚假印章或印章无法证实为真实有效；H、报价子目出现漏项或未单独编制详细的分项报价表；I、供应商响应的采购范围及采购内容与招标文件要求出现重大负偏差的；J、实质性内容不满足、未完全未响应招标要求或擅自改动采购清单的；K、供应商有串通参与投标、行贿等违法行为的；L、响应文件的内容模糊、无法辨认的；M、不符合法律、法规规定的其它实质性要求的。</w:t>
            </w:r>
          </w:p>
        </w:tc>
        <w:tc>
          <w:tcPr>
            <w:tcW w:type="dxa" w:w="1661"/>
          </w:tcPr>
          <w:p>
            <w:pPr>
              <w:pStyle w:val="null3"/>
            </w:pPr>
            <w:r>
              <w:rPr>
                <w:rFonts w:ascii="仿宋_GB2312" w:hAnsi="仿宋_GB2312" w:cs="仿宋_GB2312" w:eastAsia="仿宋_GB2312"/>
              </w:rPr>
              <w:t>业绩一览表.docx 中小企业声明函 其他证明材料.docx 响应文件封面 商务响应偏离表.docx 项目管理机构组成表 残疾人福利性单位声明函 报价函 技术响应偏离表.docx 供应商参与政府采购活动的承诺函.docx 标的清单 响应函 服务方案.docx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提供本项目施工方案，方案非常详细并且完整可行、有针对性，完全满足项目实施的得7分；方案较详细完整、可行，较利于项目实施的得5分； 方案基本可行，基本满足项目实施需要的得3分；未提供不计分。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 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安全文明、环保保证体系组织措施和控制点设置合理，内容合理、方案具体可行、完全符合要求得7分； 内容较合理、方案可行性一般，基本符合要求得5分； 内容不完备、方案可行性差、不能全面符合要求得3分；未提供不计分。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措施计划齐全、合理且切实可行，完全满足采购人需求得7分； 措施计划齐全、合理、基本可行，基本满足采购人需求得5分； 措施计划基本完备齐全、合理性、可行性较差，得3分；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人员配备合理、科学可行、完全符合要求得7分；人员配备较合理、可行性一般，基本符合要求得5分； 人员配备不完备、可行性差、不能全面符合要求得3分；未提供不计分。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 设备投入合理并提供来源证明材料，投入材料环保性达到国际标准得6分； 设备投入基本合理，材料环保性较好，得4分； 设备和材料投入计划有欠缺，得2分；未提供不计分。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内容合理、方案具体可行、完全符合要求得6分； 内容较合理、方案可行 性一般，基本符合要求得4分； 内容不完备、方案可行性差、不能全面符合要求2分；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现场扬尘管理措施合理、有详尽的扬尘控制措施并可达到国家控制的标准得6分； 现场扬尘管理措施较为合理得4分； 现场扬尘管理措施一般得2分；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2.满足磋商文件实质性要求且最终报价最低的供应商的价格为磋商基准价，其价格分为满分30分。 3.磋商报价得分=（磋商基准价/最终磋商报价）×30的公式计算得分。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监理大纲1</w:t>
            </w:r>
          </w:p>
        </w:tc>
        <w:tc>
          <w:tcPr>
            <w:tcW w:type="dxa" w:w="2492"/>
          </w:tcPr>
          <w:p>
            <w:pPr>
              <w:pStyle w:val="null3"/>
            </w:pPr>
            <w:r>
              <w:rPr>
                <w:rFonts w:ascii="仿宋_GB2312" w:hAnsi="仿宋_GB2312" w:cs="仿宋_GB2312" w:eastAsia="仿宋_GB2312"/>
              </w:rPr>
              <w:t>监理工作目标明确、工作程序和工作制度齐全，方案非常详细、完整，可行、有针对性，有利于项目实施的得15分；方案比较详细完整、可行，较利于项目实施的得12分；方案基本可行，基本满足项目实施需要的得9分；方案有缺漏项、不能完全满足项目实施需要的得6分； 方案内容粗略、不满足项目实施需要的得3分；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监理大纲2</w:t>
            </w:r>
          </w:p>
        </w:tc>
        <w:tc>
          <w:tcPr>
            <w:tcW w:type="dxa" w:w="2492"/>
          </w:tcPr>
          <w:p>
            <w:pPr>
              <w:pStyle w:val="null3"/>
            </w:pPr>
            <w:r>
              <w:rPr>
                <w:rFonts w:ascii="仿宋_GB2312" w:hAnsi="仿宋_GB2312" w:cs="仿宋_GB2312" w:eastAsia="仿宋_GB2312"/>
              </w:rPr>
              <w:t>项目监理机构组织完善、合理，方案非常详细、完整，可行、有针对性，有利于项目实施的得10分；方案比较详细完整、可行，较利于项目实施的得8分；方案基本可行，基本满足项目实施需要的得6分；方案有缺漏项、不能完全满足项目实施需要的得4分； 方案内容粗略、不满足项目实施需要的得2分；未提供得0分。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监理大纲3</w:t>
            </w:r>
          </w:p>
        </w:tc>
        <w:tc>
          <w:tcPr>
            <w:tcW w:type="dxa" w:w="2492"/>
          </w:tcPr>
          <w:p>
            <w:pPr>
              <w:pStyle w:val="null3"/>
            </w:pPr>
            <w:r>
              <w:rPr>
                <w:rFonts w:ascii="仿宋_GB2312" w:hAnsi="仿宋_GB2312" w:cs="仿宋_GB2312" w:eastAsia="仿宋_GB2312"/>
              </w:rPr>
              <w:t>安全防护控制措施、环境保护、文明施工控制措施，方案非常详细、完整，可行、有针对性，有利于项目实施的得15分；方案比较详细完整、可行，较利于项目实施的得12分；方案基本可行，基本满足项目实施需要的得9分；方案有缺漏项、不能完全满足项目实施需要的得6分；方案内容粗略、不满足项目实施需要的得3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监理大纲4</w:t>
            </w:r>
          </w:p>
        </w:tc>
        <w:tc>
          <w:tcPr>
            <w:tcW w:type="dxa" w:w="2492"/>
          </w:tcPr>
          <w:p>
            <w:pPr>
              <w:pStyle w:val="null3"/>
            </w:pPr>
            <w:r>
              <w:rPr>
                <w:rFonts w:ascii="仿宋_GB2312" w:hAnsi="仿宋_GB2312" w:cs="仿宋_GB2312" w:eastAsia="仿宋_GB2312"/>
              </w:rPr>
              <w:t>本工程重点、难点部位的监理措施，方案非常详细、完整，可行、有针对性，有利于项目实施的得10分；方案比较详细完整、可行，较利于项目实施的得8分；方案基本可行，基本满足项目实施需要的得6分；方案有缺漏项、不能完全满足项目实施需要的得4分； 方案内容粗略、不满足项目实施需要的得2分；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监理大纲5</w:t>
            </w:r>
          </w:p>
        </w:tc>
        <w:tc>
          <w:tcPr>
            <w:tcW w:type="dxa" w:w="2492"/>
          </w:tcPr>
          <w:p>
            <w:pPr>
              <w:pStyle w:val="null3"/>
            </w:pPr>
            <w:r>
              <w:rPr>
                <w:rFonts w:ascii="仿宋_GB2312" w:hAnsi="仿宋_GB2312" w:cs="仿宋_GB2312" w:eastAsia="仿宋_GB2312"/>
              </w:rPr>
              <w:t>合同管理、信息管理措施的全面合理性，方案非常详细、完整，可行、有针对性，有利于项目实施的得10分；方案比较详细完整、可行，较利于项目实施的得8分；方案基本可行，基本满足项目实施需要的得6分；方案有缺漏项、不能完全满足项目实施需要的得4分； 方案内容粗略、不满足项目实施需要的得2分；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监理大纲6</w:t>
            </w:r>
          </w:p>
        </w:tc>
        <w:tc>
          <w:tcPr>
            <w:tcW w:type="dxa" w:w="2492"/>
          </w:tcPr>
          <w:p>
            <w:pPr>
              <w:pStyle w:val="null3"/>
            </w:pPr>
            <w:r>
              <w:rPr>
                <w:rFonts w:ascii="仿宋_GB2312" w:hAnsi="仿宋_GB2312" w:cs="仿宋_GB2312" w:eastAsia="仿宋_GB2312"/>
              </w:rPr>
              <w:t>施工中各种矛盾组织协调及保修阶段的服务工作的保修阶段监理服务工作计划，矛盾分析、化解措施及保修阶段监理服务，方案非常详细、完整，可行、有针对性，有利于项目实施的得10分；方案比较详细完整、可行，较利于项目实施的得8分；方案基本可行，基本满足项目实施需要的得6分；方案有缺漏项、不能完全满足项目实施需要的得4分； 方案内容粗略、不满足项目实施需要的得2分；未提供得0分。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供应商根据磋商文件内容要求作出相关服务承诺，包括但不限于服务质量承诺、监理服务期限承诺，问题处理时限，现场监理服务质量保证措施等。 承诺非常详细、完整，可行、有针对性，有利于项目实施的得10分；比较详细完整、可行，较利于项目实施的得8分；基本可行，基本满足项目实施需要的得6分；有缺漏项、不能完全满足项目实施需要的得4分；内容粗略、不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详见附件：资格证明文件（2）.docx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