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版本号：HRC-ZBDL-2025-00135（1）20250401001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书画创作交流文化服务经费项目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HRC-ZBDL-2025-00135（1）</w:t>
      </w:r>
      <w:r>
        <w:br/>
      </w:r>
      <w:r>
        <w:br/>
      </w:r>
      <w:r>
        <w:br/>
      </w:r>
    </w:p>
    <w:p>
      <w:pPr>
        <w:pStyle w:val="null3"/>
        <w:jc w:val="center"/>
        <w:outlineLvl w:val="2"/>
      </w:pPr>
      <w:r>
        <w:rPr>
          <w:rFonts w:ascii="仿宋_GB2312" w:hAnsi="仿宋_GB2312" w:cs="仿宋_GB2312" w:eastAsia="仿宋_GB2312"/>
          <w:sz w:val="28"/>
          <w:b/>
        </w:rPr>
        <w:t>西安中国画院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西安中国画院</w:t>
      </w:r>
      <w:r>
        <w:rPr>
          <w:rFonts w:ascii="仿宋_GB2312" w:hAnsi="仿宋_GB2312" w:cs="仿宋_GB2312" w:eastAsia="仿宋_GB2312"/>
        </w:rPr>
        <w:t>委托，拟对</w:t>
      </w:r>
      <w:r>
        <w:rPr>
          <w:rFonts w:ascii="仿宋_GB2312" w:hAnsi="仿宋_GB2312" w:cs="仿宋_GB2312" w:eastAsia="仿宋_GB2312"/>
        </w:rPr>
        <w:t>书画创作交流文化服务经费项目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HRC-ZBDL-2025-00135（1）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书画创作交流文化服务经费项目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以人民为中心的创作导向，继续开展好艺术创作，促进艺术繁荣。做好书画艺术创作、研究交流及文化服务工作。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采购包1（书画创作交流文化服务经费项目）：属于专门面向小微企业采购。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1、供应商主体资格：供应商为在中华人民共和国境内注册的法人或其他组织，投标时提交有效的营业执照（或事业法人证书等相关证明）</w:t>
      </w:r>
    </w:p>
    <w:p>
      <w:pPr>
        <w:pStyle w:val="null3"/>
      </w:pPr>
      <w:r>
        <w:rPr>
          <w:rFonts w:ascii="仿宋_GB2312" w:hAnsi="仿宋_GB2312" w:cs="仿宋_GB2312" w:eastAsia="仿宋_GB2312"/>
        </w:rPr>
        <w:t>2、供应商代表资格：法定代表人直接参加投标的，须出具法定代表人身份证明并出具身份证；法定代表人授权代表参加投标的，须出具法定代表人授权书并出具授权代表身份证；</w:t>
      </w:r>
    </w:p>
    <w:p>
      <w:pPr>
        <w:pStyle w:val="null3"/>
      </w:pPr>
      <w:r>
        <w:rPr>
          <w:rFonts w:ascii="仿宋_GB2312" w:hAnsi="仿宋_GB2312" w:cs="仿宋_GB2312" w:eastAsia="仿宋_GB2312"/>
        </w:rPr>
        <w:t>3、没有重大违法记录的书面声明：参加政府采购活动前3年内，在经营活动中没有重大违法记录的书面声明；</w:t>
      </w:r>
    </w:p>
    <w:p>
      <w:pPr>
        <w:pStyle w:val="null3"/>
      </w:pPr>
      <w:r>
        <w:rPr>
          <w:rFonts w:ascii="仿宋_GB2312" w:hAnsi="仿宋_GB2312" w:cs="仿宋_GB2312" w:eastAsia="仿宋_GB2312"/>
        </w:rPr>
        <w:t>4、财务状况报告：财务状况报告：提供2023年或2024年的财务报告或开户银行出具的资信证明；</w:t>
      </w:r>
    </w:p>
    <w:p>
      <w:pPr>
        <w:pStyle w:val="null3"/>
      </w:pPr>
      <w:r>
        <w:rPr>
          <w:rFonts w:ascii="仿宋_GB2312" w:hAnsi="仿宋_GB2312" w:cs="仿宋_GB2312" w:eastAsia="仿宋_GB2312"/>
        </w:rPr>
        <w:t>5、税收缴纳证明：税收缴纳证明：提供投标人2024年3月至今任意一个月已缴纳完税凭证或税务机关开具的完税证明（任意税种）；依法免税的应提供相关文件证明；</w:t>
      </w:r>
    </w:p>
    <w:p>
      <w:pPr>
        <w:pStyle w:val="null3"/>
      </w:pPr>
      <w:r>
        <w:rPr>
          <w:rFonts w:ascii="仿宋_GB2312" w:hAnsi="仿宋_GB2312" w:cs="仿宋_GB2312" w:eastAsia="仿宋_GB2312"/>
        </w:rPr>
        <w:t>6、社会保障资金缴纳证明：社会保障资金缴纳证明：提供投标人2024年3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7、信誉截图：供应商不得为“信用中国”网站（www.creditchina.gov.cn）中列入严重失信主体名单，供应商不得为“中国执行信息公开网”（http://zxgk.court.gov.cn/shixin/）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西安中国画院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西安市雁塔区含光南路296号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西安市曲江新城区雁翔路3269号【旺座·曲江】E座29层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15591081207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以实际中标价为计算基数，参照国家计委[2002]1980号文件《招标代理服务收费管理暂行办法》、发改委[2011]534号文件《关于降低部分建设项目收费标准规范收费行为等有关问题的通知》规定的收费标准收取。 2、成交代理服务费由中标人支付。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西安中国画院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西安中国画院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西安中国画院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联系电话：15591081207</w:t>
      </w:r>
    </w:p>
    <w:p>
      <w:pPr>
        <w:pStyle w:val="null3"/>
      </w:pPr>
      <w:r>
        <w:rPr>
          <w:rFonts w:ascii="仿宋_GB2312" w:hAnsi="仿宋_GB2312" w:cs="仿宋_GB2312" w:eastAsia="仿宋_GB2312"/>
        </w:rPr>
        <w:t>地址：西安市曲江新城区雁翔路3269号【旺座·曲江】E座29层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以人民为中心的创作导向，继续开展好艺术创作，促进艺术繁荣。做好书画艺术创作、研究交流及文化服务工作。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书画创作交流文化服务经费项目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标的名称：书画创作交流文化服务经费项目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以人民为中心的创作导向，继续开展好艺术创作，促进艺术繁荣。做好书画艺术创作、研究交流及文化服务工作。</w:t>
            </w:r>
          </w:p>
        </w:tc>
        <w:tc>
          <w:tcPr>
            <w:tcW w:type="dxa" w:w="2076"/>
          </w:tcPr>
          <w:p>
            <w:pPr>
              <w:pStyle w:val="null3"/>
              <w:ind w:firstLine="700"/>
              <w:jc w:val="left"/>
            </w:pPr>
            <w:r>
              <w:rPr>
                <w:rFonts w:ascii="仿宋_GB2312" w:hAnsi="仿宋_GB2312" w:cs="仿宋_GB2312" w:eastAsia="仿宋_GB2312"/>
                <w:sz w:val="21"/>
              </w:rPr>
              <w:t>通过开展艺术创作，促进艺术繁荣。通过写生采风，艺术交流，专家辅导等形式，组织我院画家开展精品创作，并组织线上线下展览，助力西安美术高质量发展。同时保障我院各项工作正常开展，单位正常运行。 2025年组织书画艺术创作、文化惠民2次以上，采风写生2-3次，艺术交流3次以上，举办线下展览2次。</w:t>
            </w:r>
          </w:p>
          <w:p>
            <w:pPr>
              <w:pStyle w:val="null3"/>
              <w:ind w:firstLine="700"/>
              <w:jc w:val="left"/>
            </w:pPr>
            <w:r>
              <w:rPr>
                <w:rFonts w:ascii="仿宋_GB2312" w:hAnsi="仿宋_GB2312" w:cs="仿宋_GB2312" w:eastAsia="仿宋_GB2312"/>
                <w:sz w:val="21"/>
              </w:rPr>
              <w:t>1.艺术交流中心运营：包括展陈服务费、作品安保、藏品观摩等，确保艺术交流中心的正常运行，为艺术家提供交流和创作的良好环境；</w:t>
            </w:r>
          </w:p>
          <w:p>
            <w:pPr>
              <w:pStyle w:val="null3"/>
              <w:ind w:firstLine="700"/>
              <w:jc w:val="left"/>
            </w:pPr>
            <w:r>
              <w:rPr>
                <w:rFonts w:ascii="仿宋_GB2312" w:hAnsi="仿宋_GB2312" w:cs="仿宋_GB2312" w:eastAsia="仿宋_GB2312"/>
                <w:sz w:val="21"/>
              </w:rPr>
              <w:t>2.书画展厅运营：包括画院2楼、3楼美术馆展陈服务、安保、公共教育、作品日常养护等；</w:t>
            </w:r>
          </w:p>
          <w:p>
            <w:pPr>
              <w:pStyle w:val="null3"/>
              <w:ind w:firstLine="700"/>
              <w:jc w:val="left"/>
            </w:pPr>
            <w:r>
              <w:rPr>
                <w:rFonts w:ascii="仿宋_GB2312" w:hAnsi="仿宋_GB2312" w:cs="仿宋_GB2312" w:eastAsia="仿宋_GB2312"/>
                <w:sz w:val="21"/>
              </w:rPr>
              <w:t>3.采风写生：组织2-3次采风写生活动，计划重走长安画派之路，前往陕南、陕北、关中或甘肃、青海等地，每次写生时间为2-7天；</w:t>
            </w:r>
          </w:p>
          <w:p>
            <w:pPr>
              <w:pStyle w:val="null3"/>
              <w:ind w:firstLine="700"/>
              <w:jc w:val="left"/>
            </w:pPr>
            <w:r>
              <w:rPr>
                <w:rFonts w:ascii="仿宋_GB2312" w:hAnsi="仿宋_GB2312" w:cs="仿宋_GB2312" w:eastAsia="仿宋_GB2312"/>
                <w:sz w:val="21"/>
              </w:rPr>
              <w:t>4.开展文化惠民活动：拟开展文化惠民活动2次以上，义写春联400幅以上，以及赠送书画作品；</w:t>
            </w:r>
          </w:p>
          <w:p>
            <w:pPr>
              <w:pStyle w:val="null3"/>
              <w:ind w:firstLine="700"/>
              <w:jc w:val="left"/>
            </w:pPr>
            <w:r>
              <w:rPr>
                <w:rFonts w:ascii="仿宋_GB2312" w:hAnsi="仿宋_GB2312" w:cs="仿宋_GB2312" w:eastAsia="仿宋_GB2312"/>
                <w:sz w:val="21"/>
              </w:rPr>
              <w:t>5.展览：计划举办线下展览2次，计划上下半年各举办1次，每次展出作品80幅以上，展览时间15-30天，涵盖展览策划、布置等；</w:t>
            </w:r>
          </w:p>
          <w:p>
            <w:pPr>
              <w:pStyle w:val="null3"/>
              <w:ind w:firstLine="700"/>
              <w:jc w:val="left"/>
            </w:pPr>
            <w:r>
              <w:rPr>
                <w:rFonts w:ascii="仿宋_GB2312" w:hAnsi="仿宋_GB2312" w:cs="仿宋_GB2312" w:eastAsia="仿宋_GB2312"/>
                <w:sz w:val="21"/>
              </w:rPr>
              <w:t>6.艺术交流：用于画院院际学术交流费用；</w:t>
            </w:r>
          </w:p>
          <w:p>
            <w:pPr>
              <w:pStyle w:val="null3"/>
              <w:ind w:firstLine="700"/>
              <w:jc w:val="left"/>
            </w:pPr>
            <w:r>
              <w:rPr>
                <w:rFonts w:ascii="仿宋_GB2312" w:hAnsi="仿宋_GB2312" w:cs="仿宋_GB2312" w:eastAsia="仿宋_GB2312"/>
                <w:sz w:val="21"/>
              </w:rPr>
              <w:t>7.宣传：用于微信公众号、院刊、媒体宣传等稿费、编辑费、设计费等。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签订合同之日起至2025年12月31日（如遇不可预见事宜，可顺延）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1.乙方将系列艺术活动完成后，通知甲方验收。 2.甲方组织乙方在活动结束后进行最终验收，验收合格后，填写项目验收单。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合同签订后，甲方于3个工作日内向乙方支付合同总金额的50%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实施进度计划完成，乙方向甲方提交付款申请，甲方确认后；甲方向乙方支付合同总金额的50%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艺术活动或艺术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供应商为在中华人民共和国境内注册的法人或其他组织，投标时提交有效的营业执照（或事业法人证书等相关证明）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法定代表人直接参加投标的，须出具法定代表人身份证明并出具身份证；法定代表人授权代表参加投标的，须出具法定代表人授权书并出具授权代表身份证；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财务状况报告：提供2023年或2024年的财务报告或开户银行出具的资信证明；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税收缴纳证明：提供投标人2024年3月至今任意一个月已缴纳完税凭证或税务机关开具的完税证明（任意税种）；依法免税的应提供相关文件证明；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社会保障资金缴纳证明：提供投标人2024年3月至今任意一个月已缴纳的社会保障资金缴存单据或社保机构开具的社会保险参保缴费情况证明；依法不需要缴纳社会保障资金的应提供相关文件证明；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有法定代表人或其委托代理人签字（或盖章）并加盖单位公章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根据对项目需求的理解程度、认识程度、了解程度和拟定成果目标对采购要求的符合程度进行评价； 对项目需求、现状的认识全面、清晰、完全满足采购需求的得7＜得分≤10分； 对项目需求、现状的认识较全面、较清晰、基本满足采购需求的得4＜得分≤7分； 对项目需求、现状的认识欠缺、薄弱、不满足采购需求的得得1＜得分≤4分；未提供不得分。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策划组织</w:t>
            </w:r>
          </w:p>
        </w:tc>
        <w:tc>
          <w:tcPr>
            <w:tcW w:type="dxa" w:w="2492"/>
          </w:tcPr>
          <w:p>
            <w:pPr>
              <w:pStyle w:val="null3"/>
            </w:pPr>
            <w:r>
              <w:rPr>
                <w:rFonts w:ascii="仿宋_GB2312" w:hAnsi="仿宋_GB2312" w:cs="仿宋_GB2312" w:eastAsia="仿宋_GB2312"/>
              </w:rPr>
              <w:t>供应商提供针对本项目提供整体策划方案，综合考虑方案对采购需求的响应程度。 方案完整度高、针对性极强、统筹能力强、可执行性强、方案考虑全面得7＜得分≤10分； 方案完整度一般、策划能力较差、针对性较差、无执行性、方案考虑不到位得4＜得分≤7分； 方案完整度差、不具有策划能力、无针对性得1＜得分≤4分；未提供不得分。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综合考虑工作进度安排是否合理、可行，是否满足项目需求。 安排完善、科学合理，各环节衔接紧凑，可执行性强，能够完全满足采购需求的得10＜得分≤15分； 安排较为完善、较科学合理，各环节衔接较紧凑，可执行性较强，基本满足采购需求的得5＜得分≤10分； 安排较为完善、可行性一般，基本满足采购需求的得1＜得分≤5分；未提供不得分。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对项目的服务质量保障进行承诺，并提出对有利于本项目顺利开展的措施、建议。 服务质量保障承诺、措施、建议完善、合理得6＜得分≤10分； 服务质量保障承诺、措施、建议较完善、合理得1＜得分≤6分；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综合考虑应急预案的科学性、完整性（包括但不限于各活动的应急预案预案等，以及对项目需求的响应程度）。 方案科学合理，具有完善的应急管理体系,防范意识高，风险把控能力强，完全满足采购需求的，得6＜得分≤10分； 方案科学性合理性一般，应急管理体系及措施一般，防范意识不足，勉强满足采购需求的，得1≤得分≤6分；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综合考虑供应商针对本项目拟派的项目团队的经验及能力。 团队组成人员安排合理、专业性强、分工明确，且人员经验丰富，完全满足采购需求，得7＜得分≤10分； 团队组成人员安排较为合理、专业性较强、分工较为明确，人员经验较丰富，基本满足采购需求，得4＜得分≤7分； 团队组成人员安排差、专业性较弱、分工不明，人员经验较差，不满足采购需求，得1≤得分≤4分；未提供不得分。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2020年1月至今完成类似项目业绩，每有1项得2.5分，最高得5分（提供合同协议书或中标通知书复印件并加盖公章，时间以为合同协议书或中标通知书为准）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详见附件：书画创作交流文化服务经费项目合同.docx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