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版本号：TZZB-Z-2025055C20250401001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公务车租赁服务项目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TZZB-Z-2025055C</w:t>
      </w:r>
      <w:r>
        <w:br/>
      </w:r>
      <w:r>
        <w:br/>
      </w:r>
      <w:r>
        <w:br/>
      </w:r>
    </w:p>
    <w:p>
      <w:pPr>
        <w:pStyle w:val="null3"/>
        <w:jc w:val="center"/>
        <w:outlineLvl w:val="2"/>
      </w:pPr>
      <w:r>
        <w:rPr>
          <w:rFonts w:ascii="仿宋_GB2312" w:hAnsi="仿宋_GB2312" w:cs="仿宋_GB2312" w:eastAsia="仿宋_GB2312"/>
          <w:sz w:val="28"/>
          <w:b/>
        </w:rPr>
        <w:t>陕西西咸新区人民法院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陕西西咸新区人民法院</w:t>
      </w:r>
      <w:r>
        <w:rPr>
          <w:rFonts w:ascii="仿宋_GB2312" w:hAnsi="仿宋_GB2312" w:cs="仿宋_GB2312" w:eastAsia="仿宋_GB2312"/>
        </w:rPr>
        <w:t>委托，拟对</w:t>
      </w:r>
      <w:r>
        <w:rPr>
          <w:rFonts w:ascii="仿宋_GB2312" w:hAnsi="仿宋_GB2312" w:cs="仿宋_GB2312" w:eastAsia="仿宋_GB2312"/>
        </w:rPr>
        <w:t>公务车租赁服务项目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TZZB-Z-2025055C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公务车租赁服务项目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根据我院业务要求，拟租赁公务车辆，包含轿车（5 座）12辆，商务车（7 座）2辆，驾驶员12名（常备驾驶员1名）共计13名驾驶员。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采购包1（陕西西咸新区人民法院公务车租赁服务项目）：属于专门面向中小企业采购。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5、社保缴纳证明：提供自2024年4月1日以来已缴存的任意1个月的社会保障资金缴存单据或社保机构开具的社会保险参保缴费情况证明；依法不需要缴纳社会保障资金的供应商应提供相关证明文件。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4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7、提供具有履行合同所必需的设备和专业技术能力的书面承诺：提供具有履行合同所必需的设备和专业技术能力的书面承诺：提供承诺函，加盖供应商公章。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陕西省西咸新区空港新城俊采大街17号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陕西西咸新区人民法院经办王卫侠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029-32207033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陕西西咸新区人民法院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陕西西咸新区人民法院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陕西西咸新区人民法院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根据我院业务要求，拟租赁公务车辆，包含轿车（5 座）12辆，商务车（7 座）2辆，驾驶员12名（常备驾驶员1名）共计13名驾驶员。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1,125,000.00</w:t>
      </w:r>
    </w:p>
    <w:p>
      <w:pPr>
        <w:pStyle w:val="null3"/>
      </w:pPr>
      <w:r>
        <w:rPr>
          <w:rFonts w:ascii="仿宋_GB2312" w:hAnsi="仿宋_GB2312" w:cs="仿宋_GB2312" w:eastAsia="仿宋_GB2312"/>
        </w:rPr>
        <w:t>采购包最高限价（元）: 1,125,000.00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标的名称：车辆租赁服务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一、采购内容</w:t>
            </w:r>
          </w:p>
        </w:tc>
        <w:tc>
          <w:tcPr>
            <w:tcW w:type="dxa" w:w="2076"/>
          </w:tcPr>
          <w:p>
            <w:pPr>
              <w:pStyle w:val="null3"/>
              <w:jc w:val="both"/>
            </w:pPr>
            <w:r>
              <w:rPr>
                <w:rFonts w:ascii="仿宋_GB2312" w:hAnsi="仿宋_GB2312" w:cs="仿宋_GB2312" w:eastAsia="仿宋_GB2312"/>
                <w:sz w:val="24"/>
              </w:rPr>
              <w:t>根据我院业务要求，拟租赁公务车辆，</w:t>
            </w:r>
            <w:r>
              <w:rPr>
                <w:rFonts w:ascii="仿宋_GB2312" w:hAnsi="仿宋_GB2312" w:cs="仿宋_GB2312" w:eastAsia="仿宋_GB2312"/>
                <w:sz w:val="24"/>
              </w:rPr>
              <w:t>包含轿车（</w:t>
            </w:r>
            <w:r>
              <w:rPr>
                <w:rFonts w:ascii="仿宋_GB2312" w:hAnsi="仿宋_GB2312" w:cs="仿宋_GB2312" w:eastAsia="仿宋_GB2312"/>
                <w:sz w:val="24"/>
              </w:rPr>
              <w:t>5 座）12辆，商务车（7 座）2辆，</w:t>
            </w:r>
            <w:r>
              <w:rPr>
                <w:rFonts w:ascii="仿宋_GB2312" w:hAnsi="仿宋_GB2312" w:cs="仿宋_GB2312" w:eastAsia="仿宋_GB2312"/>
                <w:sz w:val="24"/>
              </w:rPr>
              <w:t>驾驶员</w:t>
            </w:r>
            <w:r>
              <w:rPr>
                <w:rFonts w:ascii="仿宋_GB2312" w:hAnsi="仿宋_GB2312" w:cs="仿宋_GB2312" w:eastAsia="仿宋_GB2312"/>
                <w:sz w:val="24"/>
              </w:rPr>
              <w:t>12名（常备驾驶员1名）</w:t>
            </w:r>
            <w:r>
              <w:rPr>
                <w:rFonts w:ascii="仿宋_GB2312" w:hAnsi="仿宋_GB2312" w:cs="仿宋_GB2312" w:eastAsia="仿宋_GB2312"/>
                <w:sz w:val="24"/>
              </w:rPr>
              <w:t>共计</w:t>
            </w:r>
            <w:r>
              <w:rPr>
                <w:rFonts w:ascii="仿宋_GB2312" w:hAnsi="仿宋_GB2312" w:cs="仿宋_GB2312" w:eastAsia="仿宋_GB2312"/>
                <w:sz w:val="24"/>
              </w:rPr>
              <w:t>13名驾驶员</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二、公务用车租赁要求</w:t>
            </w:r>
          </w:p>
        </w:tc>
        <w:tc>
          <w:tcPr>
            <w:tcW w:type="dxa" w:w="2076"/>
          </w:tcPr>
          <w:p>
            <w:pPr>
              <w:pStyle w:val="null3"/>
              <w:jc w:val="both"/>
            </w:pPr>
            <w:r>
              <w:rPr>
                <w:rFonts w:ascii="仿宋_GB2312" w:hAnsi="仿宋_GB2312" w:cs="仿宋_GB2312" w:eastAsia="仿宋_GB2312"/>
                <w:sz w:val="24"/>
              </w:rPr>
              <w:t>1.供应商权利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1）拥有车辆所有权或合法使用权。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2）按期、足额收取双方认定的租赁费。</w:t>
            </w:r>
          </w:p>
          <w:p>
            <w:pPr>
              <w:pStyle w:val="null3"/>
              <w:jc w:val="both"/>
            </w:pPr>
            <w:r>
              <w:rPr>
                <w:rFonts w:ascii="仿宋_GB2312" w:hAnsi="仿宋_GB2312" w:cs="仿宋_GB2312" w:eastAsia="仿宋_GB2312"/>
                <w:sz w:val="24"/>
              </w:rPr>
              <w:t>2、供应商义务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1）负担出租车辆的油料、驾驶员工资、车辆保险、维修保养、停车费用等，为采购人新承租车辆购买全额保险，其中三责险不低于 100 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2）向采购人提供车辆状况良好、设备齐全的租赁车辆，并提供车辆行驶所需有效证件。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3）负有对事故车辆及丢失车辆直接向保险公司理赔的责任。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4）提供辖区内车辆故障、事故的 24 小时救援服务。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5）保证车辆随车物件配备齐全，车内应该备有随车工具、备胎、灭火器，及采购人所需其他相关物资。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6）对所获得的承租方信息负有保密义务。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车辆需定期对车辆进行日常检查，特别对机油、刹车油、冷却液、电解液、轮胎气压的检查，对制动、转向、灯光、刮水器、喇叭性能的检查，在使用过程中，如发现异常，应立即通知采购人，并按照工作流程到指定维修场所进行维修及保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8）负责按采购人要求加强用车日常管理，确保采购人正常有序使用车辆。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9）加强对驾驶员日常教育管理。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10）配合采购人落实与租赁车辆有关的其他工作。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11）所派驾驶员需具备与所驾驶车辆相匹配驾照。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12）若租赁车辆出现事故或维修期间，供应商需要提供与其功能相同的备选车辆以保证采购人的正常使用。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1.驾驶员要求：年龄不超过 60 周岁，持有效的C1及以上的驾照，身体健康、品行端正、技术娴熟，具有责任心，5年以上驾驶经验。 2.工作时段内接到出行任务后，做好乘车人员的联系，司机及车辆到达指定位置待命，如遇紧急用车，需10分钟内就绪。节假日等非工作时段（除工作日9:00——18:00外），安排一名值班驾驶人员24小时在岗。 3、驾驶员具有丰富经验和良好的素质，保证安全、准时完成通勤或其它临时任务。司机要做到不酒后驾驶，不带病驾驶，不赌气驾驶，开车时文明驾驶，不聊天、不吸烟、不打电话、不玩手机。司机应当根据天气情况及时调节车内温度及通风，保证乘车人员的舒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1、7座商务车（含以上标准车辆）2辆、5座轿车12辆。 一是在满足正常用车的前提下，如果供应商有高于招标要求的替换服务方案，服务车辆可以替换为更高品质的车辆，但结算单价按原中标单价执行。 二是供应商自行解决交通限行等问题满足采购单位正常用车需求。 2、所提供车辆必须为车辆年检合格，车辆保险手续齐全。 3、所提供车辆保险齐全。采购单位乘坐人员应遵守乘车安全要求，不干扰供应商驾驶人员正常驾驶，不私自驾驶。非采购单位人员造成的交通事故，供应商承担全部责任，并负责相关的善后工作。 4、所提供车辆应符合国家机动车运行安全技术标准，车辆品牌知名度高、市场占有率高、性能安全稳定。并安排人员定期打扫车内外卫生，保持车辆清洁，无异味。</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11.20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因执行合同所发生的或与合同有关的一切争议,双方应通过友好协商解决。如果协商开始后六十（60）天还不能解决，可向甲方所在地有管辖权的人民法院提起诉讼。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提供自2024年4月1日以来已缴存的任意1个月的社会保障资金缴存单据或社保机构开具的社会保险参保缴费情况证明；依法不需要缴纳社会保障资金的供应商应提供相关证明文件。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提供自2024年4月1日以来已缴纳的任意1个月的依法缴纳税收的相关凭据(时间以税款所属日期为准)，凭据应有税务机关或代收机关的公章或业务专用章；依法免税或无须缴纳税收的供应商，应提供相应证明文件。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提供具有履行合同所必需的设备和专业技术能力的书面承诺：提供承诺函，加盖供应商公章。</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一般资格要求及特殊资格要求</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一般资格要求及特殊资格要求 报价表 业绩一览表 响应文件封面 总服务方案 残疾人福利性单位声明函 标的清单 商务要求应答表 其他材料及供应商认为有必要说明、阐述的事项 响应函 监狱企业的证明文件 服务内容及要求应答表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中小企业声明函 一般资格要求及特殊资格要求 报价表 业绩一览表 响应文件封面 总服务方案 残疾人福利性单位声明函 标的清单 商务要求应答表 其他材料及供应商认为有必要说明、阐述的事项 响应函 监狱企业的证明文件 服务内容及要求应答表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商务要求应答表 服务内容及要求应答表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中小企业声明函 一般资格要求及特殊资格要求 报价表 业绩一览表 响应文件封面 总服务方案 残疾人福利性单位声明函 标的清单 商务要求应答表 其他材料及供应商认为有必要说明、阐述的事项 响应函 监狱企业的证明文件 服务内容及要求应答表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针对本项目提供详细的实施方案说明进行评审。 方案全面、合理、规范，可操作性强得5分; 方案相对合理和规范，可操作性较强得4分: 方案比较合理，有一定的可操作性得3分; 方案基本合理，可操作性不强得2分; 方案不够合理，可操作性差得1分; 缺项得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拟投入车辆配备合理的承诺</w:t>
            </w:r>
          </w:p>
        </w:tc>
        <w:tc>
          <w:tcPr>
            <w:tcW w:type="dxa" w:w="2492"/>
          </w:tcPr>
          <w:p>
            <w:pPr>
              <w:pStyle w:val="null3"/>
            </w:pPr>
            <w:r>
              <w:rPr>
                <w:rFonts w:ascii="仿宋_GB2312" w:hAnsi="仿宋_GB2312" w:cs="仿宋_GB2312" w:eastAsia="仿宋_GB2312"/>
              </w:rPr>
              <w:t>提供的承诺需包含每种车辆的①车辆的合法来源证明材料、②)使用年限、③GPS 配置。 每个单项承诺内容完善、合理可行得2分; 每个单项承诺内容较完善、可行性一般1分;缺项得 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具备完善的管理制度，包括①用车管理制度，②车辆安全管理制度，③人员管理制度，④档案管理制度，⑤车辆维修保养制度);每个单项制度内容完善、合理可行得2分:每个单项制度内容较完善、可行性一般1分;缺项得 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服务期间遇突发事件应急处理方案</w:t>
            </w:r>
          </w:p>
        </w:tc>
        <w:tc>
          <w:tcPr>
            <w:tcW w:type="dxa" w:w="2492"/>
          </w:tcPr>
          <w:p>
            <w:pPr>
              <w:pStyle w:val="null3"/>
            </w:pPr>
            <w:r>
              <w:rPr>
                <w:rFonts w:ascii="仿宋_GB2312" w:hAnsi="仿宋_GB2312" w:cs="仿宋_GB2312" w:eastAsia="仿宋_GB2312"/>
              </w:rPr>
              <w:t>突发情况应急预案，项目出现突发状况或问题后的补救措施等方面，有明确、切实可行的应急措施。 方案全面、具体、可行、科学合理，可操作性强得6分; 方案相对全面、具体、可行、科学合理，可操作性较强得5分; 方案基本全面、具体、合理，有一定的可操作性4分; 方案不够全面、具体、合理，可操作性相对较差得3分; 方案简单，描述不够清晰，可操作性差得2分; 方案存在一定缺漏，得1分;缺项得 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用车流程</w:t>
            </w:r>
          </w:p>
        </w:tc>
        <w:tc>
          <w:tcPr>
            <w:tcW w:type="dxa" w:w="2492"/>
          </w:tcPr>
          <w:p>
            <w:pPr>
              <w:pStyle w:val="null3"/>
            </w:pPr>
            <w:r>
              <w:rPr>
                <w:rFonts w:ascii="仿宋_GB2312" w:hAnsi="仿宋_GB2312" w:cs="仿宋_GB2312" w:eastAsia="仿宋_GB2312"/>
              </w:rPr>
              <w:t>供应商依据本项目采购内容编制用车流程。 流程全面、具体、可行、科学合理，可操作性强得5分; 流程相对全面、具体、可行、科学合理，可操作性较强得4分; 流程基本全面、有一定的可行、较为科学合理，得3分; 流程不够全面、可行性一般、合理性有待考究，得2分; 流程简单不易操作得1分;缺项得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安全运营管理方案</w:t>
            </w:r>
          </w:p>
        </w:tc>
        <w:tc>
          <w:tcPr>
            <w:tcW w:type="dxa" w:w="2492"/>
          </w:tcPr>
          <w:p>
            <w:pPr>
              <w:pStyle w:val="null3"/>
            </w:pPr>
            <w:r>
              <w:rPr>
                <w:rFonts w:ascii="仿宋_GB2312" w:hAnsi="仿宋_GB2312" w:cs="仿宋_GB2312" w:eastAsia="仿宋_GB2312"/>
              </w:rPr>
              <w:t>供应商具有安全运营管理方案(包括安全配置、②安全行车、③车辆维护、④准点率保证、⑤技术管理、⑥人员培训等)赋分。每个单项方案思路明晰合理、措施完整、科学、实用、针对性强得3分; 每个单项方案思路相对明晰合理、措施相对完整、科学、实用、针对性相对合理得2分; 每个单项分析思路欠明晰欠合理、内容不完整、实用性及针对性不强得1分; 缺项得 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供应商提供详细的质量保证措施(包括但不限于:①质量安全措施:②质量安全文明作业;③质量安全控制目标:④质量安全事故处理方案等)进行评价: 每个单项方案思路明晰合理、措施完整、科学、实用、针对性强得4分; 每个单项方案思路相对明晰合理、措施相对完整、科学、实用、针对性相对合理得3分; 每个单项分析思路欠明晰欠合理、内容不完整、实用性及针对性不强得2分; 缺项得0分。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车辆清洁方案</w:t>
            </w:r>
          </w:p>
        </w:tc>
        <w:tc>
          <w:tcPr>
            <w:tcW w:type="dxa" w:w="2492"/>
          </w:tcPr>
          <w:p>
            <w:pPr>
              <w:pStyle w:val="null3"/>
            </w:pPr>
            <w:r>
              <w:rPr>
                <w:rFonts w:ascii="仿宋_GB2312" w:hAnsi="仿宋_GB2312" w:cs="仿宋_GB2312" w:eastAsia="仿宋_GB2312"/>
              </w:rPr>
              <w:t>针对本项目实际情况，提供所租赁车辆的清洁、消毒方案。根据方案的可操作性、是否科学合理、规范进行综合评审。方案科学规范，可操作性强得4分; 方案比较科学规范，可操作性较强得3分; 方案基本科学，有一定的可操作性得2分; 方案有缺漏，可操作性差得1分;未提供相关内容不得分。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供应商提供人员配备情况，包含管理人员、车辆驾驶员、应急处置人员等，根据提供的材料完善综合评审计分;针对本项目拟投入人员配备结构合理，人员配备齐全，责任明确，佐证材料齐全得6分; 针对本项目拟投入人员配备结构相对合理，人员配备相对齐全，责任相对明确，有相关佐证材料得5分; 针对本项目拟投入人员配备结构基本合理，人员配备基本齐全，责任基本明确，有相关佐证材料得4分: 针对本项目拟投入人员配备结构不够合理，人员配备不够齐全，责任不太明确，相关佐证材料缺失得3分: 针对本项目拟投入人员配备结构不合理，人员配备不齐全，责任不明确，相关佐证材料缺失得2分; 针对本项目拟投入人员配备内容笼统，可行性有待考究的，得1分;缺项得 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针对本项目承诺接受采购人对车辆管理服务的监督和评价。服务承诺完善、工作安排详尽、切实、可行，得4分; 服务承诺合理、工作安排到位，有一定可操作性，得3分; 服务承诺工作安排简略，可操作性略有欠缺，得2分; 服务承诺不合理、工作安排不到位，可操作性差，得1分;未提供相关内容不得分。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具有科学、合理、可行的保密措施，保证采购人的相关信息不被泄漏。保密措施完整、合理，可操作性强得4分; 保密措施比较完整，可操作性较强得3分; 保密措施基本完整，有一定可操作性得2分; 保密措施不够完整，可操作性差得1分; 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供应商提供自2022年4月1日起至（以合同签订时间为准）承担过的类似服务项目业绩。每提供1个得2分，最高得6分。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价格最低的报价为评审基准价，其价格分为满分。其他供应商的价格分统一按照下列公式计算：磋商报价得分=(评审基准价/最终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详见附件：一般资格要求及特殊资格要求</w:t>
      </w:r>
    </w:p>
    <w:p>
      <w:pPr>
        <w:pStyle w:val="null3"/>
        <w:ind w:firstLine="960"/>
      </w:pPr>
      <w:r>
        <w:rPr>
          <w:rFonts w:ascii="仿宋_GB2312" w:hAnsi="仿宋_GB2312" w:cs="仿宋_GB2312" w:eastAsia="仿宋_GB2312"/>
        </w:rPr>
        <w:t>详见附件：服务内容及要求应答表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