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版本号：HC-FZB-2025-01720250321001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西安市灞桥区人民检察院食堂外包项目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HC-FZB-2025-017</w:t>
      </w:r>
      <w:r>
        <w:br/>
      </w:r>
      <w:r>
        <w:br/>
      </w:r>
      <w:r>
        <w:br/>
      </w:r>
    </w:p>
    <w:p>
      <w:pPr>
        <w:pStyle w:val="null3"/>
        <w:jc w:val="center"/>
        <w:outlineLvl w:val="2"/>
      </w:pPr>
      <w:r>
        <w:rPr>
          <w:rFonts w:ascii="仿宋_GB2312" w:hAnsi="仿宋_GB2312" w:cs="仿宋_GB2312" w:eastAsia="仿宋_GB2312"/>
          <w:sz w:val="28"/>
          <w:b/>
        </w:rPr>
        <w:t>西安市灞桥区人民检察院[170]</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西安市灞桥区人民检察院[170]</w:t>
      </w:r>
      <w:r>
        <w:rPr>
          <w:rFonts w:ascii="仿宋_GB2312" w:hAnsi="仿宋_GB2312" w:cs="仿宋_GB2312" w:eastAsia="仿宋_GB2312"/>
        </w:rPr>
        <w:t>委托，拟对</w:t>
      </w:r>
      <w:r>
        <w:rPr>
          <w:rFonts w:ascii="仿宋_GB2312" w:hAnsi="仿宋_GB2312" w:cs="仿宋_GB2312" w:eastAsia="仿宋_GB2312"/>
        </w:rPr>
        <w:t>西安市灞桥区人民检察院食堂外包项目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HC-FZB-2025-017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西安市灞桥区人民检察院食堂外包项目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西安市灞桥区人民检察院食堂外包项目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采购包1（西安市灞桥区人民检察院食堂外包项目）：属于专门面向小微企业采购。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参加政府采购活动前3年内在经营活动中没有重大违法记录：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pPr>
        <w:pStyle w:val="null3"/>
      </w:pPr>
      <w:r>
        <w:rPr>
          <w:rFonts w:ascii="仿宋_GB2312" w:hAnsi="仿宋_GB2312" w:cs="仿宋_GB2312" w:eastAsia="仿宋_GB2312"/>
        </w:rPr>
        <w:t>3、信用主体查询：供应商未被列入“信用中国”网站（www.creditchina.gov.cn）记录失信被执行人；不处于中国政府采购网（www.ccgp.gov.cn）政府采购严重违法失信行为信息记录中的禁止参加政府采购活动期间；供应商应提供承诺书，格式及内容具体参见“响应文件格式”。</w:t>
      </w:r>
    </w:p>
    <w:p>
      <w:pPr>
        <w:pStyle w:val="null3"/>
      </w:pPr>
      <w:r>
        <w:rPr>
          <w:rFonts w:ascii="仿宋_GB2312" w:hAnsi="仿宋_GB2312" w:cs="仿宋_GB2312" w:eastAsia="仿宋_GB2312"/>
        </w:rPr>
        <w:t>4、财务状况报告：提供2023年度经会计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8、企业资质：提供有效的《食品经营许可证》；供应商需在项目电子化交易系统中按要求上传相应证明文件并进行电子签章。</w:t>
      </w:r>
    </w:p>
    <w:p>
      <w:pPr>
        <w:pStyle w:val="null3"/>
      </w:pPr>
      <w:r>
        <w:rPr>
          <w:rFonts w:ascii="仿宋_GB2312" w:hAnsi="仿宋_GB2312" w:cs="仿宋_GB2312" w:eastAsia="仿宋_GB2312"/>
        </w:rPr>
        <w:t>9、本项目不接受联合体响应，不允许分包：供应商提供《非联合体、不分包投标声明》，视为独立响应，不分包；供应商应提供承诺书，格式及内容具体参见“响应文件格式”。</w:t>
      </w:r>
    </w:p>
    <w:p>
      <w:pPr>
        <w:pStyle w:val="null3"/>
      </w:pPr>
      <w:r>
        <w:rPr>
          <w:rFonts w:ascii="仿宋_GB2312" w:hAnsi="仿宋_GB2312" w:cs="仿宋_GB2312" w:eastAsia="仿宋_GB2312"/>
        </w:rPr>
        <w:t>10、声明：供应商提供具有履行合同所必需的设备和专业技术能力的声明；供应商应提供承诺书，格式及内容具体参见“响应文件格式”。</w:t>
      </w:r>
    </w:p>
    <w:p>
      <w:pPr>
        <w:pStyle w:val="null3"/>
      </w:pPr>
      <w:r>
        <w:rPr>
          <w:rFonts w:ascii="仿宋_GB2312" w:hAnsi="仿宋_GB2312" w:cs="仿宋_GB2312" w:eastAsia="仿宋_GB2312"/>
        </w:rPr>
        <w:t>11、本项目专门面向小微企业采购：本项目专门面向小微企业采购。供应商需在项目电子化交易系统中按要求上传相应证明文件并进行电子签章。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西安市灞桥区人民检察院[170]</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陕西省西安市灞桥区灞柳二路699号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029-83517129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18509212907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采购包1：456,192.00元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成交供应商在领取《成交通知书》前，须向采购代理机构一次性支付招标代理服务费。 开户名称：华春建设工程项目管理有限责任公司 开 户 行：中国银行西安南二环支行 账 号：102807336850 汇款备注：项目名称+代理服务费（可简写）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西安市灞桥区人民检察院[170]</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西安市灞桥区人民检察院[170]</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西安市灞桥区人民检察院[170]</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联系电话：18509212907</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本次采购内容为西安市灞桥区人民检察院食堂外包项目，共计1个标段。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456,192.00</w:t>
      </w:r>
    </w:p>
    <w:p>
      <w:pPr>
        <w:pStyle w:val="null3"/>
      </w:pPr>
      <w:r>
        <w:rPr>
          <w:rFonts w:ascii="仿宋_GB2312" w:hAnsi="仿宋_GB2312" w:cs="仿宋_GB2312" w:eastAsia="仿宋_GB2312"/>
        </w:rPr>
        <w:t>采购包最高限价（元）: 456,192.00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456,192.00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47"/>
              <w:gridCol w:w="165"/>
              <w:gridCol w:w="1448"/>
            </w:tblGrid>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一</w:t>
                  </w:r>
                  <w:r>
                    <w:rPr>
                      <w:rFonts w:ascii="仿宋_GB2312" w:hAnsi="仿宋_GB2312" w:cs="仿宋_GB2312" w:eastAsia="仿宋_GB2312"/>
                      <w:sz w:val="19"/>
                      <w:b/>
                    </w:rPr>
                    <w:t>、服务内容</w:t>
                  </w:r>
                </w:p>
                <w:p>
                  <w:pPr>
                    <w:pStyle w:val="null3"/>
                  </w:pPr>
                  <w:r>
                    <w:rPr>
                      <w:rFonts w:ascii="仿宋_GB2312" w:hAnsi="仿宋_GB2312" w:cs="仿宋_GB2312" w:eastAsia="仿宋_GB2312"/>
                      <w:sz w:val="19"/>
                    </w:rPr>
                    <w:t>1、服务商合理安排机关员工餐、制定科学食谱。采购人全程监管；</w:t>
                  </w:r>
                </w:p>
                <w:p>
                  <w:pPr>
                    <w:pStyle w:val="null3"/>
                  </w:pPr>
                  <w:r>
                    <w:rPr>
                      <w:rFonts w:ascii="仿宋_GB2312" w:hAnsi="仿宋_GB2312" w:cs="仿宋_GB2312" w:eastAsia="仿宋_GB2312"/>
                      <w:sz w:val="19"/>
                    </w:rPr>
                    <w:t>2、餐饮区内公共区域的通道、地面、楼梯、墙壁、走廊、玻璃、餐具、取样盒、消防设施等的清洁、保洁、消毒工作；</w:t>
                  </w:r>
                </w:p>
                <w:p>
                  <w:pPr>
                    <w:pStyle w:val="null3"/>
                  </w:pPr>
                  <w:r>
                    <w:rPr>
                      <w:rFonts w:ascii="仿宋_GB2312" w:hAnsi="仿宋_GB2312" w:cs="仿宋_GB2312" w:eastAsia="仿宋_GB2312"/>
                      <w:sz w:val="19"/>
                    </w:rPr>
                    <w:t>3、餐厨垃圾清倒至指定区域。</w:t>
                  </w:r>
                </w:p>
                <w:p>
                  <w:pPr>
                    <w:pStyle w:val="null3"/>
                  </w:pPr>
                  <w:r>
                    <w:rPr>
                      <w:rFonts w:ascii="仿宋_GB2312" w:hAnsi="仿宋_GB2312" w:cs="仿宋_GB2312" w:eastAsia="仿宋_GB2312"/>
                      <w:sz w:val="19"/>
                      <w:b/>
                    </w:rPr>
                    <w:t>二</w:t>
                  </w:r>
                  <w:r>
                    <w:rPr>
                      <w:rFonts w:ascii="仿宋_GB2312" w:hAnsi="仿宋_GB2312" w:cs="仿宋_GB2312" w:eastAsia="仿宋_GB2312"/>
                      <w:sz w:val="19"/>
                      <w:b/>
                    </w:rPr>
                    <w:t>、人员要求</w:t>
                  </w:r>
                </w:p>
                <w:p>
                  <w:pPr>
                    <w:pStyle w:val="null3"/>
                  </w:pPr>
                  <w:r>
                    <w:rPr>
                      <w:rFonts w:ascii="仿宋_GB2312" w:hAnsi="仿宋_GB2312" w:cs="仿宋_GB2312" w:eastAsia="仿宋_GB2312"/>
                      <w:sz w:val="19"/>
                    </w:rPr>
                    <w:t>（一）人员管理要求</w:t>
                  </w:r>
                </w:p>
                <w:p>
                  <w:pPr>
                    <w:pStyle w:val="null3"/>
                  </w:pPr>
                  <w:r>
                    <w:rPr>
                      <w:rFonts w:ascii="仿宋_GB2312" w:hAnsi="仿宋_GB2312" w:cs="仿宋_GB2312" w:eastAsia="仿宋_GB2312"/>
                      <w:sz w:val="19"/>
                    </w:rPr>
                    <w:t>1、成交服务商必须依法合规与员工签订劳动合同、建立员工个人档案（个人信息及培训档案），并向采购人报备；</w:t>
                  </w:r>
                </w:p>
                <w:p>
                  <w:pPr>
                    <w:pStyle w:val="null3"/>
                  </w:pPr>
                  <w:r>
                    <w:rPr>
                      <w:rFonts w:ascii="仿宋_GB2312" w:hAnsi="仿宋_GB2312" w:cs="仿宋_GB2312" w:eastAsia="仿宋_GB2312"/>
                      <w:sz w:val="19"/>
                    </w:rPr>
                    <w:t>2、所有</w:t>
                  </w:r>
                  <w:r>
                    <w:rPr>
                      <w:rFonts w:ascii="仿宋_GB2312" w:hAnsi="仿宋_GB2312" w:cs="仿宋_GB2312" w:eastAsia="仿宋_GB2312"/>
                      <w:sz w:val="19"/>
                    </w:rPr>
                    <w:t>服务</w:t>
                  </w:r>
                  <w:r>
                    <w:rPr>
                      <w:rFonts w:ascii="仿宋_GB2312" w:hAnsi="仿宋_GB2312" w:cs="仿宋_GB2312" w:eastAsia="仿宋_GB2312"/>
                      <w:sz w:val="19"/>
                    </w:rPr>
                    <w:t>人员必须思想端正，有吃苦耐劳精神，身体健康、五官端正，熟悉采购人相关管理制度。</w:t>
                  </w:r>
                </w:p>
                <w:p>
                  <w:pPr>
                    <w:pStyle w:val="null3"/>
                  </w:pPr>
                  <w:r>
                    <w:rPr>
                      <w:rFonts w:ascii="仿宋_GB2312" w:hAnsi="仿宋_GB2312" w:cs="仿宋_GB2312" w:eastAsia="仿宋_GB2312"/>
                      <w:sz w:val="19"/>
                    </w:rPr>
                    <w:t>（二）岗位设置及要求</w:t>
                  </w:r>
                </w:p>
                <w:tbl>
                  <w:tblPr>
                    <w:tblBorders>
                      <w:top w:val="none" w:color="000000" w:sz="4"/>
                      <w:left w:val="none" w:color="000000" w:sz="4"/>
                      <w:bottom w:val="none" w:color="000000" w:sz="4"/>
                      <w:right w:val="none" w:color="000000" w:sz="4"/>
                      <w:insideH w:val="none"/>
                      <w:insideV w:val="none"/>
                    </w:tblBorders>
                  </w:tblPr>
                  <w:tblGrid>
                    <w:gridCol w:w="71"/>
                    <w:gridCol w:w="90"/>
                    <w:gridCol w:w="917"/>
                    <w:gridCol w:w="146"/>
                  </w:tblGrid>
                  <w:tr>
                    <w:tc>
                      <w:tcPr>
                        <w:tcW w:type="dxa" w:w="161"/>
                        <w:gridSpan w:val="2"/>
                        <w:tcBorders>
                          <w:top w:val="single" w:color="000000" w:sz="4"/>
                          <w:left w:val="single" w:color="000000" w:sz="4"/>
                          <w:bottom w:val="single" w:color="000000" w:sz="4"/>
                          <w:right w:val="single" w:color="000000" w:sz="4"/>
                        </w:tcBorders>
                        <w:shd w:fill="BEBEBE"/>
                        <w:tcMar>
                          <w:top w:type="dxa" w:w="60"/>
                          <w:left w:type="dxa" w:w="60"/>
                          <w:bottom w:type="dxa" w:w="60"/>
                          <w:right w:type="dxa" w:w="60"/>
                        </w:tcMar>
                        <w:vAlign w:val="top"/>
                      </w:tcPr>
                      <w:p>
                        <w:pPr>
                          <w:pStyle w:val="null3"/>
                        </w:pPr>
                        <w:r>
                          <w:rPr>
                            <w:rFonts w:ascii="仿宋_GB2312" w:hAnsi="仿宋_GB2312" w:cs="仿宋_GB2312" w:eastAsia="仿宋_GB2312"/>
                            <w:sz w:val="19"/>
                          </w:rPr>
                          <w:t>岗位名称</w:t>
                        </w:r>
                      </w:p>
                    </w:tc>
                    <w:tc>
                      <w:tcPr>
                        <w:tcW w:type="dxa" w:w="917"/>
                        <w:tcBorders>
                          <w:top w:val="single" w:color="000000" w:sz="4"/>
                          <w:left w:val="single" w:color="000000" w:sz="4"/>
                          <w:bottom w:val="single" w:color="000000" w:sz="4"/>
                          <w:right w:val="single" w:color="000000" w:sz="4"/>
                        </w:tcBorders>
                        <w:shd w:fill="BEBEBE"/>
                        <w:tcMar>
                          <w:top w:type="dxa" w:w="60"/>
                          <w:left w:type="dxa" w:w="60"/>
                          <w:bottom w:type="dxa" w:w="60"/>
                          <w:right w:type="dxa" w:w="60"/>
                        </w:tcMar>
                        <w:vAlign w:val="top"/>
                      </w:tcPr>
                      <w:p>
                        <w:pPr>
                          <w:pStyle w:val="null3"/>
                        </w:pPr>
                        <w:r>
                          <w:rPr>
                            <w:rFonts w:ascii="仿宋_GB2312" w:hAnsi="仿宋_GB2312" w:cs="仿宋_GB2312" w:eastAsia="仿宋_GB2312"/>
                            <w:sz w:val="19"/>
                          </w:rPr>
                          <w:t>人员资质要求</w:t>
                        </w:r>
                      </w:p>
                    </w:tc>
                    <w:tc>
                      <w:tcPr>
                        <w:tcW w:type="dxa" w:w="146"/>
                        <w:tcBorders>
                          <w:top w:val="single" w:color="000000" w:sz="4"/>
                          <w:left w:val="single" w:color="000000" w:sz="4"/>
                          <w:bottom w:val="single" w:color="000000" w:sz="4"/>
                          <w:right w:val="single" w:color="000000" w:sz="4"/>
                        </w:tcBorders>
                        <w:shd w:fill="BEBEBE"/>
                        <w:tcMar>
                          <w:top w:type="dxa" w:w="60"/>
                          <w:left w:type="dxa" w:w="60"/>
                          <w:bottom w:type="dxa" w:w="60"/>
                          <w:right w:type="dxa" w:w="60"/>
                        </w:tcMar>
                        <w:vAlign w:val="top"/>
                      </w:tcPr>
                      <w:p>
                        <w:pPr>
                          <w:pStyle w:val="null3"/>
                        </w:pPr>
                        <w:r>
                          <w:rPr>
                            <w:rFonts w:ascii="仿宋_GB2312" w:hAnsi="仿宋_GB2312" w:cs="仿宋_GB2312" w:eastAsia="仿宋_GB2312"/>
                            <w:sz w:val="19"/>
                          </w:rPr>
                          <w:t>岗位数量</w:t>
                        </w:r>
                      </w:p>
                    </w:tc>
                  </w:tr>
                  <w:tr>
                    <w:tc>
                      <w:tcPr>
                        <w:tcW w:type="dxa" w:w="71"/>
                        <w:vMerge w:val="restart"/>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19"/>
                          </w:rPr>
                          <w:t>餐饮</w:t>
                        </w:r>
                      </w:p>
                    </w:tc>
                    <w:tc>
                      <w:tcPr>
                        <w:tcW w:type="dxa" w:w="90"/>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19"/>
                          </w:rPr>
                          <w:t>厨师</w:t>
                        </w:r>
                      </w:p>
                    </w:tc>
                    <w:tc>
                      <w:tcPr>
                        <w:tcW w:type="dxa" w:w="91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19"/>
                          </w:rPr>
                          <w:t>持有</w:t>
                        </w:r>
                        <w:r>
                          <w:rPr>
                            <w:rFonts w:ascii="仿宋_GB2312" w:hAnsi="仿宋_GB2312" w:cs="仿宋_GB2312" w:eastAsia="仿宋_GB2312"/>
                            <w:sz w:val="19"/>
                          </w:rPr>
                          <w:t>“健康证”；有一定的厨房管理能力。从业经验3年以上。年龄不超过国家法定退休年龄。</w:t>
                        </w:r>
                      </w:p>
                      <w:p>
                        <w:pPr>
                          <w:pStyle w:val="null3"/>
                        </w:pPr>
                        <w:r>
                          <w:rPr>
                            <w:rFonts w:ascii="仿宋_GB2312" w:hAnsi="仿宋_GB2312" w:cs="仿宋_GB2312" w:eastAsia="仿宋_GB2312"/>
                            <w:sz w:val="19"/>
                          </w:rPr>
                          <w:t>应具备当地菜（小吃）、陕北菜（小吃）、川菜等特色风味厨艺。</w:t>
                        </w:r>
                      </w:p>
                    </w:tc>
                    <w:tc>
                      <w:tcPr>
                        <w:tcW w:type="dxa" w:w="146"/>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19"/>
                          </w:rPr>
                          <w:t>1</w:t>
                        </w:r>
                      </w:p>
                    </w:tc>
                  </w:tr>
                  <w:tr>
                    <w:tc>
                      <w:tcPr>
                        <w:tcW w:type="dxa" w:w="71"/>
                        <w:vMerge/>
                        <w:tcBorders>
                          <w:top w:val="none" w:color="000000" w:sz="4"/>
                          <w:left w:val="single" w:color="000000" w:sz="4"/>
                          <w:bottom w:val="single" w:color="000000" w:sz="4"/>
                          <w:right w:val="single" w:color="000000" w:sz="4"/>
                        </w:tcBorders>
                      </w:tcPr>
                      <w:p/>
                    </w:tc>
                    <w:tc>
                      <w:tcPr>
                        <w:tcW w:type="dxa" w:w="90"/>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19"/>
                          </w:rPr>
                          <w:t>帮厨</w:t>
                        </w:r>
                      </w:p>
                    </w:tc>
                    <w:tc>
                      <w:tcPr>
                        <w:tcW w:type="dxa" w:w="91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19"/>
                          </w:rPr>
                          <w:t>持有</w:t>
                        </w:r>
                        <w:r>
                          <w:rPr>
                            <w:rFonts w:ascii="仿宋_GB2312" w:hAnsi="仿宋_GB2312" w:cs="仿宋_GB2312" w:eastAsia="仿宋_GB2312"/>
                            <w:sz w:val="19"/>
                          </w:rPr>
                          <w:t>“健康证”；</w:t>
                        </w:r>
                      </w:p>
                      <w:p>
                        <w:pPr>
                          <w:pStyle w:val="null3"/>
                        </w:pPr>
                        <w:r>
                          <w:rPr>
                            <w:rFonts w:ascii="仿宋_GB2312" w:hAnsi="仿宋_GB2312" w:cs="仿宋_GB2312" w:eastAsia="仿宋_GB2312"/>
                            <w:sz w:val="19"/>
                          </w:rPr>
                          <w:t>年龄不超过国家法定退休年龄。</w:t>
                        </w:r>
                      </w:p>
                    </w:tc>
                    <w:tc>
                      <w:tcPr>
                        <w:tcW w:type="dxa" w:w="146"/>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19"/>
                          </w:rPr>
                          <w:t>3</w:t>
                        </w:r>
                      </w:p>
                    </w:tc>
                  </w:tr>
                  <w:tr>
                    <w:tc>
                      <w:tcPr>
                        <w:tcW w:type="dxa" w:w="1078"/>
                        <w:gridSpan w:val="3"/>
                        <w:tcBorders>
                          <w:top w:val="none" w:color="000000" w:sz="4"/>
                          <w:left w:val="single" w:color="000000" w:sz="4"/>
                          <w:bottom w:val="single" w:color="000000" w:sz="4"/>
                          <w:right w:val="single" w:color="000000" w:sz="4"/>
                        </w:tcBorders>
                        <w:shd w:fill="D8D8D8"/>
                        <w:tcMar>
                          <w:top w:type="dxa" w:w="60"/>
                          <w:left w:type="dxa" w:w="60"/>
                          <w:bottom w:type="dxa" w:w="60"/>
                          <w:right w:type="dxa" w:w="60"/>
                        </w:tcMar>
                        <w:vAlign w:val="top"/>
                      </w:tcPr>
                      <w:p>
                        <w:pPr>
                          <w:pStyle w:val="null3"/>
                        </w:pPr>
                        <w:r>
                          <w:rPr>
                            <w:rFonts w:ascii="仿宋_GB2312" w:hAnsi="仿宋_GB2312" w:cs="仿宋_GB2312" w:eastAsia="仿宋_GB2312"/>
                            <w:sz w:val="19"/>
                          </w:rPr>
                          <w:t>合计</w:t>
                        </w:r>
                      </w:p>
                    </w:tc>
                    <w:tc>
                      <w:tcPr>
                        <w:tcW w:type="dxa" w:w="146"/>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19"/>
                          </w:rPr>
                          <w:t>4</w:t>
                        </w:r>
                      </w:p>
                    </w:tc>
                  </w:tr>
                </w:tbl>
                <w:p>
                  <w:pPr>
                    <w:pStyle w:val="null3"/>
                  </w:pPr>
                  <w:r>
                    <w:rPr>
                      <w:rFonts w:ascii="仿宋_GB2312" w:hAnsi="仿宋_GB2312" w:cs="仿宋_GB2312" w:eastAsia="仿宋_GB2312"/>
                      <w:sz w:val="19"/>
                      <w:b/>
                    </w:rPr>
                    <w:t>三</w:t>
                  </w:r>
                  <w:r>
                    <w:rPr>
                      <w:rFonts w:ascii="仿宋_GB2312" w:hAnsi="仿宋_GB2312" w:cs="仿宋_GB2312" w:eastAsia="仿宋_GB2312"/>
                      <w:sz w:val="19"/>
                      <w:b/>
                    </w:rPr>
                    <w:t>、服务要求</w:t>
                  </w:r>
                </w:p>
                <w:p>
                  <w:pPr>
                    <w:pStyle w:val="null3"/>
                  </w:pPr>
                  <w:r>
                    <w:rPr>
                      <w:rFonts w:ascii="仿宋_GB2312" w:hAnsi="仿宋_GB2312" w:cs="仿宋_GB2312" w:eastAsia="仿宋_GB2312"/>
                      <w:sz w:val="19"/>
                    </w:rPr>
                    <w:t>（一）总体要求</w:t>
                  </w:r>
                </w:p>
                <w:p>
                  <w:pPr>
                    <w:pStyle w:val="null3"/>
                  </w:pPr>
                  <w:r>
                    <w:rPr>
                      <w:rFonts w:ascii="仿宋_GB2312" w:hAnsi="仿宋_GB2312" w:cs="仿宋_GB2312" w:eastAsia="仿宋_GB2312"/>
                      <w:sz w:val="19"/>
                    </w:rPr>
                    <w:t>1、保密性：要求物业工作人员必须具备良好的政治素质，通过严格审核和培训，定期开展思想政治和保密教育工作的培训。</w:t>
                  </w:r>
                </w:p>
                <w:p>
                  <w:pPr>
                    <w:pStyle w:val="null3"/>
                  </w:pPr>
                  <w:r>
                    <w:rPr>
                      <w:rFonts w:ascii="仿宋_GB2312" w:hAnsi="仿宋_GB2312" w:cs="仿宋_GB2312" w:eastAsia="仿宋_GB2312"/>
                      <w:sz w:val="19"/>
                    </w:rPr>
                    <w:t>2、安全性：</w:t>
                  </w:r>
                  <w:r>
                    <w:rPr>
                      <w:rFonts w:ascii="仿宋_GB2312" w:hAnsi="仿宋_GB2312" w:cs="仿宋_GB2312" w:eastAsia="仿宋_GB2312"/>
                      <w:sz w:val="19"/>
                    </w:rPr>
                    <w:t>服务</w:t>
                  </w:r>
                  <w:r>
                    <w:rPr>
                      <w:rFonts w:ascii="仿宋_GB2312" w:hAnsi="仿宋_GB2312" w:cs="仿宋_GB2312" w:eastAsia="仿宋_GB2312"/>
                      <w:sz w:val="19"/>
                    </w:rPr>
                    <w:t>公司工作人员应主动接受审核、检查，并周密做好防火、防盗、防爆、防破坏、防事故工作，确</w:t>
                  </w:r>
                  <w:r>
                    <w:rPr>
                      <w:rFonts w:ascii="仿宋_GB2312" w:hAnsi="仿宋_GB2312" w:cs="仿宋_GB2312" w:eastAsia="仿宋_GB2312"/>
                      <w:sz w:val="19"/>
                    </w:rPr>
                    <w:t>保</w:t>
                  </w:r>
                  <w:r>
                    <w:rPr>
                      <w:rFonts w:ascii="仿宋_GB2312" w:hAnsi="仿宋_GB2312" w:cs="仿宋_GB2312" w:eastAsia="仿宋_GB2312"/>
                      <w:sz w:val="19"/>
                    </w:rPr>
                    <w:t>安全。</w:t>
                  </w:r>
                </w:p>
                <w:p>
                  <w:pPr>
                    <w:pStyle w:val="null3"/>
                  </w:pPr>
                  <w:r>
                    <w:rPr>
                      <w:rFonts w:ascii="仿宋_GB2312" w:hAnsi="仿宋_GB2312" w:cs="仿宋_GB2312" w:eastAsia="仿宋_GB2312"/>
                      <w:sz w:val="19"/>
                    </w:rPr>
                    <w:t>3、规范化和标准化服务：工作人员要求身体健康、统一着装，普通话标准，做到举止大方，谈吐文雅，服务标准规范。</w:t>
                  </w:r>
                </w:p>
                <w:p>
                  <w:pPr>
                    <w:pStyle w:val="null3"/>
                  </w:pPr>
                  <w:r>
                    <w:rPr>
                      <w:rFonts w:ascii="仿宋_GB2312" w:hAnsi="仿宋_GB2312" w:cs="仿宋_GB2312" w:eastAsia="仿宋_GB2312"/>
                      <w:sz w:val="19"/>
                    </w:rPr>
                    <w:t>（</w:t>
                  </w:r>
                  <w:r>
                    <w:rPr>
                      <w:rFonts w:ascii="仿宋_GB2312" w:hAnsi="仿宋_GB2312" w:cs="仿宋_GB2312" w:eastAsia="仿宋_GB2312"/>
                      <w:sz w:val="19"/>
                    </w:rPr>
                    <w:t>二</w:t>
                  </w:r>
                  <w:r>
                    <w:rPr>
                      <w:rFonts w:ascii="仿宋_GB2312" w:hAnsi="仿宋_GB2312" w:cs="仿宋_GB2312" w:eastAsia="仿宋_GB2312"/>
                      <w:sz w:val="19"/>
                    </w:rPr>
                    <w:t>）餐饮服务</w:t>
                  </w:r>
                </w:p>
                <w:p>
                  <w:pPr>
                    <w:pStyle w:val="null3"/>
                  </w:pPr>
                  <w:r>
                    <w:rPr>
                      <w:rFonts w:ascii="仿宋_GB2312" w:hAnsi="仿宋_GB2312" w:cs="仿宋_GB2312" w:eastAsia="仿宋_GB2312"/>
                      <w:sz w:val="19"/>
                    </w:rPr>
                    <w:t>1、餐厨场地、设备、厨具餐具，水电气费用由采购人提供，物业公司应节约使用。餐厅劳务服务、食材费及耗材费均包含在合同总价中，餐饮服务由</w:t>
                  </w:r>
                  <w:r>
                    <w:rPr>
                      <w:rFonts w:ascii="仿宋_GB2312" w:hAnsi="仿宋_GB2312" w:cs="仿宋_GB2312" w:eastAsia="仿宋_GB2312"/>
                      <w:sz w:val="19"/>
                    </w:rPr>
                    <w:t>服务</w:t>
                  </w:r>
                  <w:r>
                    <w:rPr>
                      <w:rFonts w:ascii="仿宋_GB2312" w:hAnsi="仿宋_GB2312" w:cs="仿宋_GB2312" w:eastAsia="仿宋_GB2312"/>
                      <w:sz w:val="19"/>
                    </w:rPr>
                    <w:t>公司自主经营，自负盈亏。</w:t>
                  </w:r>
                </w:p>
                <w:p>
                  <w:pPr>
                    <w:pStyle w:val="null3"/>
                  </w:pPr>
                  <w:r>
                    <w:rPr>
                      <w:rFonts w:ascii="仿宋_GB2312" w:hAnsi="仿宋_GB2312" w:cs="仿宋_GB2312" w:eastAsia="仿宋_GB2312"/>
                      <w:sz w:val="19"/>
                    </w:rPr>
                    <w:t>2、餐饮标准：</w:t>
                  </w:r>
                </w:p>
                <w:p>
                  <w:pPr>
                    <w:pStyle w:val="null3"/>
                  </w:pPr>
                  <w:r>
                    <w:rPr>
                      <w:rFonts w:ascii="仿宋_GB2312" w:hAnsi="仿宋_GB2312" w:cs="仿宋_GB2312" w:eastAsia="仿宋_GB2312"/>
                      <w:sz w:val="19"/>
                    </w:rPr>
                    <w:t>（</w:t>
                  </w:r>
                  <w:r>
                    <w:rPr>
                      <w:rFonts w:ascii="仿宋_GB2312" w:hAnsi="仿宋_GB2312" w:cs="仿宋_GB2312" w:eastAsia="仿宋_GB2312"/>
                      <w:sz w:val="19"/>
                    </w:rPr>
                    <w:t>1）早餐：（要求菜品不低于2种，稀饭不少于1种，主食应多样变化）牛奶、酸奶、鸡蛋</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2）午餐：周一面条（要求扯面、干拌面、炸酱面等）；周二、四米饭（菜品不低于3种两荤一素（两素一荤）调配，一汤）；周三、周五陕西小吃。由服务商自行安排，采购人确认后执行，如需更改，必须经过采购人同意，方可变更。</w:t>
                  </w:r>
                </w:p>
                <w:p>
                  <w:pPr>
                    <w:pStyle w:val="null3"/>
                  </w:pPr>
                  <w:r>
                    <w:rPr>
                      <w:rFonts w:ascii="仿宋_GB2312" w:hAnsi="仿宋_GB2312" w:cs="仿宋_GB2312" w:eastAsia="仿宋_GB2312"/>
                      <w:sz w:val="19"/>
                      <w:b/>
                    </w:rPr>
                    <w:t>四</w:t>
                  </w:r>
                  <w:r>
                    <w:rPr>
                      <w:rFonts w:ascii="仿宋_GB2312" w:hAnsi="仿宋_GB2312" w:cs="仿宋_GB2312" w:eastAsia="仿宋_GB2312"/>
                      <w:sz w:val="19"/>
                      <w:b/>
                    </w:rPr>
                    <w:t>、商务要求</w:t>
                  </w:r>
                </w:p>
                <w:p>
                  <w:pPr>
                    <w:pStyle w:val="null3"/>
                  </w:pPr>
                  <w:r>
                    <w:rPr>
                      <w:rFonts w:ascii="仿宋_GB2312" w:hAnsi="仿宋_GB2312" w:cs="仿宋_GB2312" w:eastAsia="仿宋_GB2312"/>
                      <w:sz w:val="19"/>
                    </w:rPr>
                    <w:t>（一）服务期：</w:t>
                  </w:r>
                  <w:r>
                    <w:rPr>
                      <w:rFonts w:ascii="仿宋_GB2312" w:hAnsi="仿宋_GB2312" w:cs="仿宋_GB2312" w:eastAsia="仿宋_GB2312"/>
                      <w:sz w:val="19"/>
                    </w:rPr>
                    <w:t>12个月，以双方签订合同时约定的起止时间为准。</w:t>
                  </w:r>
                </w:p>
                <w:p>
                  <w:pPr>
                    <w:pStyle w:val="null3"/>
                  </w:pPr>
                  <w:r>
                    <w:rPr>
                      <w:rFonts w:ascii="仿宋_GB2312" w:hAnsi="仿宋_GB2312" w:cs="仿宋_GB2312" w:eastAsia="仿宋_GB2312"/>
                      <w:sz w:val="19"/>
                    </w:rPr>
                    <w:t>（二）</w:t>
                  </w:r>
                  <w:r>
                    <w:rPr>
                      <w:rFonts w:ascii="仿宋_GB2312" w:hAnsi="仿宋_GB2312" w:cs="仿宋_GB2312" w:eastAsia="仿宋_GB2312"/>
                      <w:sz w:val="19"/>
                    </w:rPr>
                    <w:t>付款方式：</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1）由甲方负责结算，乙方必须开具全额发票给甲方，因乙方未及时向甲方出具发票或开具的发票不合规导致甲方延迟付款的，甲方不承担逾期付款的违约责任</w:t>
                  </w:r>
                  <w:r>
                    <w:rPr>
                      <w:rFonts w:ascii="仿宋_GB2312" w:hAnsi="仿宋_GB2312" w:cs="仿宋_GB2312" w:eastAsia="仿宋_GB2312"/>
                      <w:sz w:val="19"/>
                    </w:rPr>
                    <w:t>；合同签订后</w:t>
                  </w:r>
                  <w:r>
                    <w:rPr>
                      <w:rFonts w:ascii="仿宋_GB2312" w:hAnsi="仿宋_GB2312" w:cs="仿宋_GB2312" w:eastAsia="仿宋_GB2312"/>
                      <w:sz w:val="19"/>
                    </w:rPr>
                    <w:t>30个日历日内支付合同总价款的</w:t>
                  </w:r>
                  <w:r>
                    <w:rPr>
                      <w:rFonts w:ascii="仿宋_GB2312" w:hAnsi="仿宋_GB2312" w:cs="仿宋_GB2312" w:eastAsia="仿宋_GB2312"/>
                      <w:sz w:val="19"/>
                    </w:rPr>
                    <w:t>50.00</w:t>
                  </w:r>
                  <w:r>
                    <w:rPr>
                      <w:rFonts w:ascii="仿宋_GB2312" w:hAnsi="仿宋_GB2312" w:cs="仿宋_GB2312" w:eastAsia="仿宋_GB2312"/>
                      <w:sz w:val="19"/>
                    </w:rPr>
                    <w:t>%</w:t>
                  </w:r>
                  <w:r>
                    <w:rPr>
                      <w:rFonts w:ascii="仿宋_GB2312" w:hAnsi="仿宋_GB2312" w:cs="仿宋_GB2312" w:eastAsia="仿宋_GB2312"/>
                      <w:sz w:val="19"/>
                    </w:rPr>
                    <w:t>作为预付款</w:t>
                  </w:r>
                  <w:r>
                    <w:rPr>
                      <w:rFonts w:ascii="仿宋_GB2312" w:hAnsi="仿宋_GB2312" w:cs="仿宋_GB2312" w:eastAsia="仿宋_GB2312"/>
                      <w:sz w:val="19"/>
                    </w:rPr>
                    <w:t>。</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12月底</w:t>
                  </w:r>
                  <w:r>
                    <w:rPr>
                      <w:rFonts w:ascii="仿宋_GB2312" w:hAnsi="仿宋_GB2312" w:cs="仿宋_GB2312" w:eastAsia="仿宋_GB2312"/>
                      <w:sz w:val="19"/>
                    </w:rPr>
                    <w:t>据实结算一次，达到付款条件起</w:t>
                  </w:r>
                  <w:r>
                    <w:rPr>
                      <w:rFonts w:ascii="仿宋_GB2312" w:hAnsi="仿宋_GB2312" w:cs="仿宋_GB2312" w:eastAsia="仿宋_GB2312"/>
                      <w:sz w:val="19"/>
                    </w:rPr>
                    <w:t>3</w:t>
                  </w:r>
                  <w:r>
                    <w:rPr>
                      <w:rFonts w:ascii="仿宋_GB2312" w:hAnsi="仿宋_GB2312" w:cs="仿宋_GB2312" w:eastAsia="仿宋_GB2312"/>
                      <w:sz w:val="19"/>
                    </w:rPr>
                    <w:t>0个日历日内，支付合同总金额的</w:t>
                  </w:r>
                  <w:r>
                    <w:rPr>
                      <w:rFonts w:ascii="仿宋_GB2312" w:hAnsi="仿宋_GB2312" w:cs="仿宋_GB2312" w:eastAsia="仿宋_GB2312"/>
                      <w:sz w:val="19"/>
                    </w:rPr>
                    <w:t>25.00</w:t>
                  </w:r>
                  <w:r>
                    <w:rPr>
                      <w:rFonts w:ascii="仿宋_GB2312" w:hAnsi="仿宋_GB2312" w:cs="仿宋_GB2312" w:eastAsia="仿宋_GB2312"/>
                      <w:sz w:val="19"/>
                    </w:rPr>
                    <w:t>%</w:t>
                  </w:r>
                  <w:r>
                    <w:rPr>
                      <w:rFonts w:ascii="仿宋_GB2312" w:hAnsi="仿宋_GB2312" w:cs="仿宋_GB2312" w:eastAsia="仿宋_GB2312"/>
                      <w:sz w:val="19"/>
                    </w:rPr>
                    <w:t>。</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项目</w:t>
                  </w:r>
                  <w:r>
                    <w:rPr>
                      <w:rFonts w:ascii="仿宋_GB2312" w:hAnsi="仿宋_GB2312" w:cs="仿宋_GB2312" w:eastAsia="仿宋_GB2312"/>
                      <w:sz w:val="19"/>
                    </w:rPr>
                    <w:t>服务期</w:t>
                  </w:r>
                  <w:r>
                    <w:rPr>
                      <w:rFonts w:ascii="仿宋_GB2312" w:hAnsi="仿宋_GB2312" w:cs="仿宋_GB2312" w:eastAsia="仿宋_GB2312"/>
                      <w:sz w:val="19"/>
                    </w:rPr>
                    <w:t>结束并验收合格后</w:t>
                  </w:r>
                  <w:r>
                    <w:rPr>
                      <w:rFonts w:ascii="仿宋_GB2312" w:hAnsi="仿宋_GB2312" w:cs="仿宋_GB2312" w:eastAsia="仿宋_GB2312"/>
                      <w:sz w:val="19"/>
                    </w:rPr>
                    <w:t>30个日历</w:t>
                  </w:r>
                  <w:r>
                    <w:rPr>
                      <w:rFonts w:ascii="仿宋_GB2312" w:hAnsi="仿宋_GB2312" w:cs="仿宋_GB2312" w:eastAsia="仿宋_GB2312"/>
                      <w:sz w:val="19"/>
                    </w:rPr>
                    <w:t>日内</w:t>
                  </w:r>
                  <w:r>
                    <w:rPr>
                      <w:rFonts w:ascii="仿宋_GB2312" w:hAnsi="仿宋_GB2312" w:cs="仿宋_GB2312" w:eastAsia="仿宋_GB2312"/>
                      <w:sz w:val="19"/>
                    </w:rPr>
                    <w:t>，支付合同总金额的</w:t>
                  </w:r>
                  <w:r>
                    <w:rPr>
                      <w:rFonts w:ascii="仿宋_GB2312" w:hAnsi="仿宋_GB2312" w:cs="仿宋_GB2312" w:eastAsia="仿宋_GB2312"/>
                      <w:sz w:val="19"/>
                    </w:rPr>
                    <w:t>25.00</w:t>
                  </w:r>
                  <w:r>
                    <w:rPr>
                      <w:rFonts w:ascii="仿宋_GB2312" w:hAnsi="仿宋_GB2312" w:cs="仿宋_GB2312" w:eastAsia="仿宋_GB2312"/>
                      <w:sz w:val="19"/>
                    </w:rPr>
                    <w:t>%</w:t>
                  </w:r>
                  <w:r>
                    <w:rPr>
                      <w:rFonts w:ascii="仿宋_GB2312" w:hAnsi="仿宋_GB2312" w:cs="仿宋_GB2312" w:eastAsia="仿宋_GB2312"/>
                      <w:sz w:val="19"/>
                    </w:rPr>
                    <w:t>。</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三</w:t>
                  </w:r>
                  <w:r>
                    <w:rPr>
                      <w:rFonts w:ascii="仿宋_GB2312" w:hAnsi="仿宋_GB2312" w:cs="仿宋_GB2312" w:eastAsia="仿宋_GB2312"/>
                      <w:sz w:val="19"/>
                    </w:rPr>
                    <w:t>）</w:t>
                  </w:r>
                  <w:r>
                    <w:rPr>
                      <w:rFonts w:ascii="仿宋_GB2312" w:hAnsi="仿宋_GB2312" w:cs="仿宋_GB2312" w:eastAsia="仿宋_GB2312"/>
                      <w:sz w:val="19"/>
                    </w:rPr>
                    <w:t>服务费：</w:t>
                  </w:r>
                </w:p>
                <w:p>
                  <w:pPr>
                    <w:pStyle w:val="null3"/>
                    <w:ind w:firstLine="400"/>
                  </w:pPr>
                  <w:r>
                    <w:rPr>
                      <w:rFonts w:ascii="仿宋_GB2312" w:hAnsi="仿宋_GB2312" w:cs="仿宋_GB2312" w:eastAsia="仿宋_GB2312"/>
                      <w:sz w:val="19"/>
                    </w:rPr>
                    <w:t>服务费已包含管理人员和服务人员的人工费（工资、社保、福利等）、节假日加班费、员工培训费、办公经费、员工食宿费、清洁材料、工具、劳保及人身意外保险费、设备设施维护费、企业法定利润、财务费用、管理费用和税金等完成本项目所需的一切费用。其中，人员的工资、社保、福利等必须符合国家及省、市相关法律法规所规定的标准要求。</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根据技术参数与性能指标配备相应人数，确保项目顺利实施。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根据技术参数与性能指标配备相应设施设备，确保项目顺利实施。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12个月，以双方签订合同时约定的起止时间为准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合同签订后，预付合同金额的50%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12月底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依照《中华人民共和国民法典》、《中华人民共和国政府采购法》及其他有关法律、行政法规，遵循平等、自愿、公平和诚实信用的原则。</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信用中国”网站（www.creditchina.gov.cn）记录失信被执行人；不处于中国政府采购网（www.ccgp.gov.cn）政府采购严重违法失信行为信息记录中的禁止参加政府采购活动期间；供应商应提供承诺书，格式及内容具体参见“响应文件格式”。</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会计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提供有效的《食品经营许可证》；供应商需在项目电子化交易系统中按要求上传相应证明文件并进行电子签章。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供应商提供《非联合体、不分包投标声明》，视为独立响应，不分包；供应商应提供承诺书，格式及内容具体参见“响应文件格式”。</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供应商提供具有履行合同所必需的设备和专业技术能力的声明；供应商应提供承诺书，格式及内容具体参见“响应文件格式”。</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本项目专门面向小微企业采购</w:t>
            </w:r>
          </w:p>
        </w:tc>
        <w:tc>
          <w:tcPr>
            <w:tcW w:type="dxa" w:w="3322"/>
          </w:tcPr>
          <w:p>
            <w:pPr>
              <w:pStyle w:val="null3"/>
            </w:pPr>
            <w:r>
              <w:rPr>
                <w:rFonts w:ascii="仿宋_GB2312" w:hAnsi="仿宋_GB2312" w:cs="仿宋_GB2312" w:eastAsia="仿宋_GB2312"/>
              </w:rPr>
              <w:t>本项目专门面向小微企业采购。供应商需在项目电子化交易系统中按要求上传相应证明文件并进行电子签章。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合同条款响应表 供应商认为应该提交的其他资料 供应商应提交的相关资格证明材料 报价表 响应文件封面 残疾人福利性单位声明函 服务方案 标的清单 响应函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合同条款响应表 供应商认为应该提交的其他资料 供应商应提交的相关资格证明材料 报价表 响应文件封面 残疾人福利性单位声明函 服务方案 标的清单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与营业执照、资质证书或其他组织一致</w:t>
            </w:r>
          </w:p>
        </w:tc>
        <w:tc>
          <w:tcPr>
            <w:tcW w:type="dxa" w:w="1661"/>
          </w:tcPr>
          <w:p>
            <w:pPr>
              <w:pStyle w:val="null3"/>
            </w:pPr>
            <w:r>
              <w:rPr>
                <w:rFonts w:ascii="仿宋_GB2312" w:hAnsi="仿宋_GB2312" w:cs="仿宋_GB2312" w:eastAsia="仿宋_GB2312"/>
              </w:rPr>
              <w:t>供应商应提交的相关资格证明材料 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根据各投标人提供的食品安全管理方案（包括但不限于①食品质量控制；②食品安全；③食材的采购；④食材贮存计划⑤安全执行标准；⑥检验检查；⑦日常维护措施及责任范围方案）等方面，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配餐方案</w:t>
            </w:r>
          </w:p>
        </w:tc>
        <w:tc>
          <w:tcPr>
            <w:tcW w:type="dxa" w:w="2492"/>
          </w:tcPr>
          <w:p>
            <w:pPr>
              <w:pStyle w:val="null3"/>
            </w:pPr>
            <w:r>
              <w:rPr>
                <w:rFonts w:ascii="仿宋_GB2312" w:hAnsi="仿宋_GB2312" w:cs="仿宋_GB2312" w:eastAsia="仿宋_GB2312"/>
              </w:rPr>
              <w:t>各投标人针对本项目提供以两周为周期的配餐方案及就餐多样性，（包括但不限于①菜品；②主食种类；③菜品数量；④科学营养；⑤菜品质量等），按其响应程度进行综合赋分。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厨房设备使用管理、餐具消毒等方案</w:t>
            </w:r>
          </w:p>
        </w:tc>
        <w:tc>
          <w:tcPr>
            <w:tcW w:type="dxa" w:w="2492"/>
          </w:tcPr>
          <w:p>
            <w:pPr>
              <w:pStyle w:val="null3"/>
            </w:pPr>
            <w:r>
              <w:rPr>
                <w:rFonts w:ascii="仿宋_GB2312" w:hAnsi="仿宋_GB2312" w:cs="仿宋_GB2312" w:eastAsia="仿宋_GB2312"/>
              </w:rPr>
              <w:t>针对本项目特点有具体的厨房设备使用管理、餐具消毒等方案，（包含但不限于①厨房设备使用管理制度；②厨房设备安全使用方案；③餐具消毒管理方案等详细说明），按其响应程度进行综合赋分。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接待保障措施</w:t>
            </w:r>
          </w:p>
        </w:tc>
        <w:tc>
          <w:tcPr>
            <w:tcW w:type="dxa" w:w="2492"/>
          </w:tcPr>
          <w:p>
            <w:pPr>
              <w:pStyle w:val="null3"/>
            </w:pPr>
            <w:r>
              <w:rPr>
                <w:rFonts w:ascii="仿宋_GB2312" w:hAnsi="仿宋_GB2312" w:cs="仿宋_GB2312" w:eastAsia="仿宋_GB2312"/>
              </w:rPr>
              <w:t>在正常的工作餐以外，投标人还需有能力完成一般的接待餐饮任务提供保障措施。（包含但不限于①餐前准备；②出餐时间保证方案；③营养搭配方案等），按其响应程度进行综合赋分。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日常管理应急方案</w:t>
            </w:r>
          </w:p>
        </w:tc>
        <w:tc>
          <w:tcPr>
            <w:tcW w:type="dxa" w:w="2492"/>
          </w:tcPr>
          <w:p>
            <w:pPr>
              <w:pStyle w:val="null3"/>
            </w:pPr>
            <w:r>
              <w:rPr>
                <w:rFonts w:ascii="仿宋_GB2312" w:hAnsi="仿宋_GB2312" w:cs="仿宋_GB2312" w:eastAsia="仿宋_GB2312"/>
              </w:rPr>
              <w:t>根据突发情况处置，（包含但不限于：①停水、停电、停气应急预案；②食物中毒应急预案；③消防安全突发事件应急预案等），按其响应程度进行综合赋分。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内部管理措施</w:t>
            </w:r>
          </w:p>
        </w:tc>
        <w:tc>
          <w:tcPr>
            <w:tcW w:type="dxa" w:w="2492"/>
          </w:tcPr>
          <w:p>
            <w:pPr>
              <w:pStyle w:val="null3"/>
            </w:pPr>
            <w:r>
              <w:rPr>
                <w:rFonts w:ascii="仿宋_GB2312" w:hAnsi="仿宋_GB2312" w:cs="仿宋_GB2312" w:eastAsia="仿宋_GB2312"/>
              </w:rPr>
              <w:t>根据各投标人针对本项目的管理服务措施，具有规范的管理服务流程，（包含但不限于：①内部管理架构、②工作流程、③自查制度、④激励机制、⑤信息反馈渠道、⑥服务标准；⑦餐厅环境卫生；⑧服务人员个人卫生等），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成本控制方案</w:t>
            </w:r>
          </w:p>
        </w:tc>
        <w:tc>
          <w:tcPr>
            <w:tcW w:type="dxa" w:w="2492"/>
          </w:tcPr>
          <w:p>
            <w:pPr>
              <w:pStyle w:val="null3"/>
            </w:pPr>
            <w:r>
              <w:rPr>
                <w:rFonts w:ascii="仿宋_GB2312" w:hAnsi="仿宋_GB2312" w:cs="仿宋_GB2312" w:eastAsia="仿宋_GB2312"/>
              </w:rPr>
              <w:t>投标人应提供合理的价格方案，进行成本控制（包括但不限于①问题分析；②具体措施；③最终目标）等方面，按其响应程度进行综合赋分。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各投标人在满足磋商文件要求以及本项目人员组织的基础上，制定具体的人员配备方案（包括但不限于①人员岗位职责；②人员组成；③人员管理制度；④相关奖惩措施；⑤人员的从业资格证、健康证等证明材料）等方面，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针对本项目服务制定具体的服务承诺（包括但不限于①服务的响应时间；②所提供服务的重点及难点解决措施；③安全质量承诺等），按其响应程度进行综合赋分。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投标人提供自2022年1月1日以来（以合同签订时间为准）类似项目业绩，每提供1份合同得1分，最高得5分。 注：以合同复印件加盖公章为准。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投标人的价格分统一按照下列公式计算：投标报价得分=（评标基准价/投标报价）×价格权值（即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详见附件：供应商认为应该提交的其他资料</w:t>
      </w:r>
    </w:p>
    <w:p>
      <w:pPr>
        <w:pStyle w:val="null3"/>
        <w:ind w:firstLine="960"/>
      </w:pPr>
      <w:r>
        <w:rPr>
          <w:rFonts w:ascii="仿宋_GB2312" w:hAnsi="仿宋_GB2312" w:cs="仿宋_GB2312" w:eastAsia="仿宋_GB2312"/>
        </w:rPr>
        <w:t>详见附件：合同条款响应表</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