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版本号：SXJTZB-ZC-CS2025022820250317001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智慧安防平台升级及前端设备维修运维项目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SXJTZB-ZC-CS20250228</w:t>
      </w:r>
      <w:r>
        <w:br/>
      </w:r>
      <w:r>
        <w:br/>
      </w:r>
      <w:r>
        <w:br/>
      </w:r>
    </w:p>
    <w:p>
      <w:pPr>
        <w:pStyle w:val="null3"/>
        <w:jc w:val="center"/>
        <w:outlineLvl w:val="2"/>
      </w:pPr>
      <w:r>
        <w:rPr>
          <w:rFonts w:ascii="仿宋_GB2312" w:hAnsi="仿宋_GB2312" w:cs="仿宋_GB2312" w:eastAsia="仿宋_GB2312"/>
          <w:sz w:val="28"/>
          <w:b/>
        </w:rPr>
        <w:t>西安市胸科医院</w:t>
      </w:r>
    </w:p>
    <w:p>
      <w:pPr>
        <w:pStyle w:val="null3"/>
        <w:jc w:val="center"/>
        <w:outlineLvl w:val="2"/>
      </w:pPr>
      <w:r>
        <w:rPr>
          <w:rFonts w:ascii="仿宋_GB2312" w:hAnsi="仿宋_GB2312" w:cs="仿宋_GB2312" w:eastAsia="仿宋_GB2312"/>
          <w:sz w:val="28"/>
          <w:b/>
        </w:rPr>
        <w:t>陕西嘉唐建设项目管理有限公司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陕西嘉唐建设项目管理有限公司</w:t>
      </w:r>
      <w:r>
        <w:rPr>
          <w:rFonts w:ascii="仿宋_GB2312" w:hAnsi="仿宋_GB2312" w:cs="仿宋_GB2312" w:eastAsia="仿宋_GB2312"/>
        </w:rPr>
        <w:t>（以下简称“代理机构”）受</w:t>
      </w:r>
      <w:r>
        <w:rPr>
          <w:rFonts w:ascii="仿宋_GB2312" w:hAnsi="仿宋_GB2312" w:cs="仿宋_GB2312" w:eastAsia="仿宋_GB2312"/>
        </w:rPr>
        <w:t>西安市胸科医院</w:t>
      </w:r>
      <w:r>
        <w:rPr>
          <w:rFonts w:ascii="仿宋_GB2312" w:hAnsi="仿宋_GB2312" w:cs="仿宋_GB2312" w:eastAsia="仿宋_GB2312"/>
        </w:rPr>
        <w:t>委托，拟对</w:t>
      </w:r>
      <w:r>
        <w:rPr>
          <w:rFonts w:ascii="仿宋_GB2312" w:hAnsi="仿宋_GB2312" w:cs="仿宋_GB2312" w:eastAsia="仿宋_GB2312"/>
        </w:rPr>
        <w:t>智慧安防平台升级及前端设备维修运维项目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SXJTZB-ZC-CS20250228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智慧安防平台升级及前端设备维修运维项目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西安市胸科医院智慧安防平台升级及前端设备维修运维项目。具体详见技术参数与性能指标。</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1、主体资格证明：具有独立承担民事责任能力的法人或其他组织，提供有效存续的营业执照或事业单位法人证书或非企业专业服务机构执业许可证或民办非企业单位登记证书或自然人的身份证明；</w:t>
      </w:r>
    </w:p>
    <w:p>
      <w:pPr>
        <w:pStyle w:val="null3"/>
      </w:pPr>
      <w:r>
        <w:rPr>
          <w:rFonts w:ascii="仿宋_GB2312" w:hAnsi="仿宋_GB2312" w:cs="仿宋_GB2312" w:eastAsia="仿宋_GB2312"/>
        </w:rPr>
        <w:t>2、财务状况报告：提供经审计的2024年度完整的财务报告（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p>
      <w:pPr>
        <w:pStyle w:val="null3"/>
      </w:pPr>
      <w:r>
        <w:rPr>
          <w:rFonts w:ascii="仿宋_GB2312" w:hAnsi="仿宋_GB2312" w:cs="仿宋_GB2312" w:eastAsia="仿宋_GB2312"/>
        </w:rPr>
        <w:t>3、税收缴纳证明：提供已缴纳的2024年3月起任意一个月的纳税证明或完税证明，纳税证明或完税证明上应有代收机构或税务机关的公章或业务专用章。依法免税的供应商应提供相关文件证明；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4、具有履行合同所必需的设备和专业技术能力的承诺：供应商须提供具有履行合同所必需的设备和专业技术能力的承诺；</w:t>
      </w:r>
    </w:p>
    <w:p>
      <w:pPr>
        <w:pStyle w:val="null3"/>
      </w:pPr>
      <w:r>
        <w:rPr>
          <w:rFonts w:ascii="仿宋_GB2312" w:hAnsi="仿宋_GB2312" w:cs="仿宋_GB2312" w:eastAsia="仿宋_GB2312"/>
        </w:rPr>
        <w:t>5、社会保障资金缴纳证明：提供已缴纳的2024年3月起任意一个月的纳税证明或完税证明，纳税证明或完税证明上应有代收机构或税务机关的公章或业务专用章。依法免税的供应商应提供相关文件证明；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6、三年内无重大违法记录声明：出具参加本次政府采购活动前三年内在经营活动中没有重大违法记录的书面声明；</w:t>
      </w:r>
    </w:p>
    <w:p>
      <w:pPr>
        <w:pStyle w:val="null3"/>
      </w:pPr>
      <w:r>
        <w:rPr>
          <w:rFonts w:ascii="仿宋_GB2312" w:hAnsi="仿宋_GB2312" w:cs="仿宋_GB2312" w:eastAsia="仿宋_GB2312"/>
        </w:rPr>
        <w:t>7、法定代表人授权委托书：法定代表人参加磋商的提供法定代表人身份证明及身份证，委托代理人参加磋商的提供授权委托书及委托代理人身份证；自然人只需提供身份证；备注：分支机构由分支机构负责人授权即可；</w:t>
      </w:r>
    </w:p>
    <w:p>
      <w:pPr>
        <w:pStyle w:val="null3"/>
      </w:pPr>
      <w:r>
        <w:rPr>
          <w:rFonts w:ascii="仿宋_GB2312" w:hAnsi="仿宋_GB2312" w:cs="仿宋_GB2312" w:eastAsia="仿宋_GB2312"/>
        </w:rPr>
        <w:t>8、关联关系：采购人职工及其配偶、直系亲属投资开办或在相关企业担任高管、独立董事等有重大利益关系职务的相关供应商，不得参与磋商（提供承诺函）；</w:t>
      </w:r>
    </w:p>
    <w:p>
      <w:pPr>
        <w:pStyle w:val="null3"/>
      </w:pPr>
      <w:r>
        <w:rPr>
          <w:rFonts w:ascii="仿宋_GB2312" w:hAnsi="仿宋_GB2312" w:cs="仿宋_GB2312" w:eastAsia="仿宋_GB2312"/>
        </w:rPr>
        <w:t>9、信用信息查询：供应商不得为“信用中国”网站（www.creditchina.gov.cn）中列入失信被执行人（页面跳转至“中国执行信息公开网”http://zxgk.court.gov.cn/shixin/）和重大税收违法失信主体的供应商，不得为中国政府采购网（www.ccgp.gov.cn）政府采购严重违法失信行为记录名单中被财政部门禁止参加政府采购活动的供应商；以开标后代理公司网站查询结果为准；</w:t>
      </w:r>
    </w:p>
    <w:p>
      <w:pPr>
        <w:pStyle w:val="null3"/>
      </w:pPr>
      <w:r>
        <w:rPr>
          <w:rFonts w:ascii="仿宋_GB2312" w:hAnsi="仿宋_GB2312" w:cs="仿宋_GB2312" w:eastAsia="仿宋_GB2312"/>
        </w:rPr>
        <w:t>10、本项目不接受联合体磋商：本项目不接受联合体磋商（提供书面声明材料）。</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西安市胸科医院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西安市长安区航天大道东段杜陵西路2000号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郝丽丽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029-62500115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陕西嘉唐建设项目管理有限公司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西安市未央区凤城五路与明光路十字天朗经开中心10楼11002室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王梦娜、张荷、曾小旦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029-89351397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供应商的成交金额为基数,参照《国家计委关于印发&lt;招标代理服务收费管理暂行办法&gt;的通知》(计价格[2002]1980号)规定执行下浮20%，由中标(成交)供应商向支付。成交供应商在领取中标通知书前，须向采购代理机构一次性支付代理服务费。服务费交纳信息：公司名称：陕西嘉唐建设项目管理有限公司 账号：112011580000141313 开户行：西安银行股份有限公司含光门支行。公司邮箱：shanxijiatang@163.com</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踏勘时间：2025-03-26 10:00:00</w:t>
            </w:r>
          </w:p>
          <w:p>
            <w:pPr>
              <w:pStyle w:val="null3"/>
              <w:ind w:firstLine="975"/>
            </w:pPr>
            <w:r>
              <w:rPr>
                <w:rFonts w:ascii="仿宋_GB2312" w:hAnsi="仿宋_GB2312" w:cs="仿宋_GB2312" w:eastAsia="仿宋_GB2312"/>
              </w:rPr>
              <w:t>踏勘地点：西安市胸科医院行政办公楼</w:t>
            </w:r>
          </w:p>
          <w:p>
            <w:pPr>
              <w:pStyle w:val="null3"/>
              <w:ind w:firstLine="975"/>
            </w:pPr>
            <w:r>
              <w:rPr>
                <w:rFonts w:ascii="仿宋_GB2312" w:hAnsi="仿宋_GB2312" w:cs="仿宋_GB2312" w:eastAsia="仿宋_GB2312"/>
              </w:rPr>
              <w:t>联系人：郝丽丽</w:t>
            </w:r>
          </w:p>
          <w:p>
            <w:pPr>
              <w:pStyle w:val="null3"/>
              <w:ind w:firstLine="975"/>
            </w:pPr>
            <w:r>
              <w:rPr>
                <w:rFonts w:ascii="仿宋_GB2312" w:hAnsi="仿宋_GB2312" w:cs="仿宋_GB2312" w:eastAsia="仿宋_GB2312"/>
              </w:rPr>
              <w:t>联系电话号码：029-62500115</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西安市胸科医院</w:t>
      </w:r>
      <w:r>
        <w:rPr>
          <w:rFonts w:ascii="仿宋_GB2312" w:hAnsi="仿宋_GB2312" w:cs="仿宋_GB2312" w:eastAsia="仿宋_GB2312"/>
        </w:rPr>
        <w:t>和</w:t>
      </w:r>
      <w:r>
        <w:rPr>
          <w:rFonts w:ascii="仿宋_GB2312" w:hAnsi="仿宋_GB2312" w:cs="仿宋_GB2312" w:eastAsia="仿宋_GB2312"/>
        </w:rPr>
        <w:t>陕西嘉唐建设项目管理有限公司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西安市胸科医院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陕西嘉唐建设项目管理有限公司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西安市胸科医院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陕西嘉唐建设项目管理有限公司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符合国家、行业、地方规定以及采购人规定的质量及安全标准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陕西嘉唐建设项目管理有限公司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陕西嘉唐建设项目管理有限公司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陕西嘉唐建设项目管理有限公司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联系人：王梦娜、张荷、曾小旦</w:t>
      </w:r>
    </w:p>
    <w:p>
      <w:pPr>
        <w:pStyle w:val="null3"/>
      </w:pPr>
      <w:r>
        <w:rPr>
          <w:rFonts w:ascii="仿宋_GB2312" w:hAnsi="仿宋_GB2312" w:cs="仿宋_GB2312" w:eastAsia="仿宋_GB2312"/>
        </w:rPr>
        <w:t>联系电话：029-89351397</w:t>
      </w:r>
    </w:p>
    <w:p>
      <w:pPr>
        <w:pStyle w:val="null3"/>
      </w:pPr>
      <w:r>
        <w:rPr>
          <w:rFonts w:ascii="仿宋_GB2312" w:hAnsi="仿宋_GB2312" w:cs="仿宋_GB2312" w:eastAsia="仿宋_GB2312"/>
        </w:rPr>
        <w:t>地址：西安市未央区凤城五路与明光路十字天朗经开中心10楼11002室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西安市胸科医院智慧安防平台升级及前端设备维修运维项目。具体详见技术参数与性能指标。</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380,000.00</w:t>
      </w:r>
    </w:p>
    <w:p>
      <w:pPr>
        <w:pStyle w:val="null3"/>
      </w:pPr>
      <w:r>
        <w:rPr>
          <w:rFonts w:ascii="仿宋_GB2312" w:hAnsi="仿宋_GB2312" w:cs="仿宋_GB2312" w:eastAsia="仿宋_GB2312"/>
        </w:rPr>
        <w:t>采购包最高限价（元）: 380,000.00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智慧安防平台升级及前端设备维修运维</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标的名称：智慧安防平台升级及前端设备维修运维</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spacing w:before="255" w:after="255"/>
              <w:ind w:left="720"/>
              <w:jc w:val="center"/>
              <w:outlineLvl w:val="2"/>
            </w:pPr>
            <w:r>
              <w:rPr>
                <w:rFonts w:ascii="仿宋_GB2312" w:hAnsi="仿宋_GB2312" w:cs="仿宋_GB2312" w:eastAsia="仿宋_GB2312"/>
                <w:sz w:val="20"/>
                <w:b/>
              </w:rPr>
              <w:t>西安市胸科医院智慧监控系统平台背景</w:t>
            </w:r>
          </w:p>
          <w:p>
            <w:pPr>
              <w:pStyle w:val="null3"/>
              <w:spacing w:before="105" w:after="105"/>
              <w:jc w:val="left"/>
            </w:pPr>
            <w:r>
              <w:rPr>
                <w:rFonts w:ascii="仿宋_GB2312" w:hAnsi="仿宋_GB2312" w:cs="仿宋_GB2312" w:eastAsia="仿宋_GB2312"/>
                <w:sz w:val="20"/>
                <w:b/>
              </w:rPr>
              <w:t>一、医院监控系统建设背景</w:t>
            </w:r>
          </w:p>
          <w:p>
            <w:pPr>
              <w:pStyle w:val="null3"/>
              <w:spacing w:before="105" w:after="105"/>
              <w:jc w:val="left"/>
            </w:pPr>
            <w:r>
              <w:rPr>
                <w:rFonts w:ascii="仿宋_GB2312" w:hAnsi="仿宋_GB2312" w:cs="仿宋_GB2312" w:eastAsia="仿宋_GB2312"/>
                <w:sz w:val="20"/>
              </w:rPr>
              <w:t>西安市胸科医院作为西北地区重要的呼吸系统疾病专科医院，承担着传染病防控、急危重症救治及公共卫生应急任务。为保障医疗安全、优化服务流程、强化院感防控，医院自</w:t>
            </w:r>
            <w:r>
              <w:rPr>
                <w:rFonts w:ascii="仿宋_GB2312" w:hAnsi="仿宋_GB2312" w:cs="仿宋_GB2312" w:eastAsia="仿宋_GB2312"/>
                <w:sz w:val="20"/>
              </w:rPr>
              <w:t>2015年起分阶段构建覆盖全院的智能化安防系统。监控系统作为核心模块，深度融入医院日常管理、患者隐私保护、重点区域（如发热门诊、病区、地库、停车场、医疗废物处置点）监管等场景，是智慧医院建设的关键基础设施。</w:t>
            </w:r>
          </w:p>
          <w:p>
            <w:pPr>
              <w:pStyle w:val="null3"/>
              <w:spacing w:before="105" w:after="105"/>
              <w:jc w:val="left"/>
            </w:pPr>
            <w:r>
              <w:rPr>
                <w:rFonts w:ascii="仿宋_GB2312" w:hAnsi="仿宋_GB2312" w:cs="仿宋_GB2312" w:eastAsia="仿宋_GB2312"/>
                <w:sz w:val="20"/>
                <w:b/>
              </w:rPr>
              <w:t>二、监控系统现状与设备架构</w:t>
            </w:r>
          </w:p>
          <w:p>
            <w:pPr>
              <w:pStyle w:val="null3"/>
              <w:spacing w:before="105" w:after="105"/>
              <w:jc w:val="left"/>
            </w:pPr>
            <w:r>
              <w:rPr>
                <w:rFonts w:ascii="仿宋_GB2312" w:hAnsi="仿宋_GB2312" w:cs="仿宋_GB2312" w:eastAsia="仿宋_GB2312"/>
                <w:sz w:val="20"/>
                <w:b/>
              </w:rPr>
              <w:t>1. 系统规模与拓扑结构</w:t>
            </w:r>
            <w:r>
              <w:br/>
            </w:r>
            <w:r>
              <w:rPr>
                <w:rFonts w:ascii="仿宋_GB2312" w:hAnsi="仿宋_GB2312" w:cs="仿宋_GB2312" w:eastAsia="仿宋_GB2312"/>
                <w:sz w:val="20"/>
              </w:rPr>
              <w:t>全院共部署监控点位</w:t>
            </w:r>
            <w:r>
              <w:rPr>
                <w:rFonts w:ascii="仿宋_GB2312" w:hAnsi="仿宋_GB2312" w:cs="仿宋_GB2312" w:eastAsia="仿宋_GB2312"/>
                <w:sz w:val="20"/>
              </w:rPr>
              <w:t>985个，形成以核心机房为中心、三级网络架构（核心层-汇聚层-接入层）为支撑的立体化监控体系。系统采用"前端采集+网络传输+后端管理"模式，覆盖门诊楼、住院部、医技楼、行政楼、外围周界及地下车库等区域。</w:t>
            </w:r>
          </w:p>
          <w:p>
            <w:pPr>
              <w:pStyle w:val="null3"/>
              <w:spacing w:before="105" w:after="105"/>
              <w:jc w:val="left"/>
            </w:pPr>
            <w:r>
              <w:rPr>
                <w:rFonts w:ascii="仿宋_GB2312" w:hAnsi="仿宋_GB2312" w:cs="仿宋_GB2312" w:eastAsia="仿宋_GB2312"/>
                <w:sz w:val="20"/>
                <w:b/>
              </w:rPr>
              <w:t>2. 设备分类与品牌分布</w:t>
            </w:r>
          </w:p>
          <w:tbl>
            <w:tblPr>
              <w:tblInd w:type="dxa" w:w="120"/>
              <w:tblBorders>
                <w:top w:val="none" w:color="000000" w:sz="4"/>
                <w:left w:val="none" w:color="000000" w:sz="4"/>
                <w:bottom w:val="none" w:color="000000" w:sz="4"/>
                <w:right w:val="none" w:color="000000" w:sz="4"/>
                <w:insideH w:val="none"/>
                <w:insideV w:val="none"/>
              </w:tblBorders>
            </w:tblPr>
            <w:tblGrid>
              <w:gridCol w:w="302"/>
              <w:gridCol w:w="237"/>
              <w:gridCol w:w="647"/>
              <w:gridCol w:w="674"/>
            </w:tblGrid>
            <w:tr>
              <w:tc>
                <w:tcPr>
                  <w:tcW w:type="dxa" w:w="302"/>
                  <w:tcBorders>
                    <w:top w:val="single" w:color="000000" w:sz="4"/>
                    <w:left w:val="single" w:color="000000" w:sz="4"/>
                    <w:bottom w:val="single" w:color="000000" w:sz="4"/>
                    <w:right w:val="single" w:color="000000" w:sz="4"/>
                  </w:tcBorders>
                  <w:tcMar>
                    <w:top w:type="dxa" w:w="15"/>
                    <w:left w:type="dxa" w:w="0"/>
                    <w:bottom w:type="dxa" w:w="15"/>
                    <w:right w:type="dxa" w:w="15"/>
                  </w:tcMar>
                  <w:vAlign w:val="top"/>
                </w:tcPr>
                <w:p>
                  <w:pPr>
                    <w:pStyle w:val="null3"/>
                    <w:jc w:val="left"/>
                  </w:pPr>
                  <w:r>
                    <w:rPr>
                      <w:rFonts w:ascii="仿宋_GB2312" w:hAnsi="仿宋_GB2312" w:cs="仿宋_GB2312" w:eastAsia="仿宋_GB2312"/>
                      <w:sz w:val="20"/>
                      <w:b/>
                    </w:rPr>
                    <w:t>设备类型</w:t>
                  </w:r>
                </w:p>
              </w:tc>
              <w:tc>
                <w:tcPr>
                  <w:tcW w:type="dxa" w:w="237"/>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b/>
                    </w:rPr>
                    <w:t>数量</w:t>
                  </w:r>
                </w:p>
              </w:tc>
              <w:tc>
                <w:tcPr>
                  <w:tcW w:type="dxa" w:w="647"/>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b/>
                    </w:rPr>
                    <w:t>技术特性</w:t>
                  </w:r>
                </w:p>
              </w:tc>
              <w:tc>
                <w:tcPr>
                  <w:tcW w:type="dxa" w:w="674"/>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b/>
                    </w:rPr>
                    <w:t>主要部署区域</w:t>
                  </w:r>
                </w:p>
              </w:tc>
            </w:tr>
            <w:tr>
              <w:tc>
                <w:tcPr>
                  <w:tcW w:type="dxa" w:w="302"/>
                  <w:tcBorders>
                    <w:top w:val="none" w:color="000000" w:sz="4"/>
                    <w:left w:val="single" w:color="000000" w:sz="4"/>
                    <w:bottom w:val="single" w:color="000000" w:sz="4"/>
                    <w:right w:val="single" w:color="000000" w:sz="4"/>
                  </w:tcBorders>
                  <w:tcMar>
                    <w:top w:type="dxa" w:w="15"/>
                    <w:left w:type="dxa" w:w="0"/>
                    <w:bottom w:type="dxa" w:w="15"/>
                    <w:right w:type="dxa" w:w="15"/>
                  </w:tcMar>
                  <w:vAlign w:val="top"/>
                </w:tcPr>
                <w:p>
                  <w:pPr>
                    <w:pStyle w:val="null3"/>
                    <w:jc w:val="center"/>
                  </w:pPr>
                  <w:r>
                    <w:rPr>
                      <w:rFonts w:ascii="仿宋_GB2312" w:hAnsi="仿宋_GB2312" w:cs="仿宋_GB2312" w:eastAsia="仿宋_GB2312"/>
                      <w:sz w:val="20"/>
                      <w:b/>
                    </w:rPr>
                    <w:t>球机</w:t>
                  </w:r>
                  <w:r>
                    <w:rPr>
                      <w:rFonts w:ascii="仿宋_GB2312" w:hAnsi="仿宋_GB2312" w:cs="仿宋_GB2312" w:eastAsia="仿宋_GB2312"/>
                      <w:sz w:val="20"/>
                    </w:rPr>
                    <w:t>（</w:t>
                  </w:r>
                  <w:r>
                    <w:rPr>
                      <w:rFonts w:ascii="仿宋_GB2312" w:hAnsi="仿宋_GB2312" w:cs="仿宋_GB2312" w:eastAsia="仿宋_GB2312"/>
                      <w:sz w:val="20"/>
                    </w:rPr>
                    <w:t>PTZ）</w:t>
                  </w:r>
                </w:p>
              </w:tc>
              <w:tc>
                <w:tcPr>
                  <w:tcW w:type="dxa" w:w="23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rPr>
                    <w:t>15台</w:t>
                  </w:r>
                </w:p>
              </w:tc>
              <w:tc>
                <w:tcPr>
                  <w:tcW w:type="dxa" w:w="64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rPr>
                    <w:t>360°全景巡航、30倍光学变焦等</w:t>
                  </w:r>
                </w:p>
              </w:tc>
              <w:tc>
                <w:tcPr>
                  <w:tcW w:type="dxa" w:w="67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rPr>
                    <w:t>院区制高点、周界、停车场</w:t>
                  </w:r>
                </w:p>
              </w:tc>
            </w:tr>
            <w:tr>
              <w:tc>
                <w:tcPr>
                  <w:tcW w:type="dxa" w:w="302"/>
                  <w:tcBorders>
                    <w:top w:val="none" w:color="000000" w:sz="4"/>
                    <w:left w:val="single" w:color="000000" w:sz="4"/>
                    <w:bottom w:val="single" w:color="000000" w:sz="4"/>
                    <w:right w:val="single" w:color="000000" w:sz="4"/>
                  </w:tcBorders>
                  <w:tcMar>
                    <w:top w:type="dxa" w:w="15"/>
                    <w:left w:type="dxa" w:w="0"/>
                    <w:bottom w:type="dxa" w:w="15"/>
                    <w:right w:type="dxa" w:w="15"/>
                  </w:tcMar>
                  <w:vAlign w:val="top"/>
                </w:tcPr>
                <w:p>
                  <w:pPr>
                    <w:pStyle w:val="null3"/>
                    <w:jc w:val="left"/>
                  </w:pPr>
                  <w:r>
                    <w:rPr>
                      <w:rFonts w:ascii="仿宋_GB2312" w:hAnsi="仿宋_GB2312" w:cs="仿宋_GB2312" w:eastAsia="仿宋_GB2312"/>
                      <w:sz w:val="20"/>
                      <w:b/>
                    </w:rPr>
                    <w:t>半球摄像机</w:t>
                  </w:r>
                </w:p>
              </w:tc>
              <w:tc>
                <w:tcPr>
                  <w:tcW w:type="dxa" w:w="23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rPr>
                    <w:t>800台</w:t>
                  </w:r>
                </w:p>
              </w:tc>
              <w:tc>
                <w:tcPr>
                  <w:tcW w:type="dxa" w:w="64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rPr>
                    <w:t>宽动态、低照度、隐蔽性强</w:t>
                  </w:r>
                </w:p>
              </w:tc>
              <w:tc>
                <w:tcPr>
                  <w:tcW w:type="dxa" w:w="67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rPr>
                    <w:t>门诊大厅、病房走廊、护士站</w:t>
                  </w:r>
                </w:p>
              </w:tc>
            </w:tr>
            <w:tr>
              <w:tc>
                <w:tcPr>
                  <w:tcW w:type="dxa" w:w="302"/>
                  <w:tcBorders>
                    <w:top w:val="none" w:color="000000" w:sz="4"/>
                    <w:left w:val="single" w:color="000000" w:sz="4"/>
                    <w:bottom w:val="single" w:color="000000" w:sz="4"/>
                    <w:right w:val="single" w:color="000000" w:sz="4"/>
                  </w:tcBorders>
                  <w:tcMar>
                    <w:top w:type="dxa" w:w="15"/>
                    <w:left w:type="dxa" w:w="0"/>
                    <w:bottom w:type="dxa" w:w="15"/>
                    <w:right w:type="dxa" w:w="15"/>
                  </w:tcMar>
                  <w:vAlign w:val="top"/>
                </w:tcPr>
                <w:p>
                  <w:pPr>
                    <w:pStyle w:val="null3"/>
                    <w:jc w:val="left"/>
                  </w:pPr>
                  <w:r>
                    <w:rPr>
                      <w:rFonts w:ascii="仿宋_GB2312" w:hAnsi="仿宋_GB2312" w:cs="仿宋_GB2312" w:eastAsia="仿宋_GB2312"/>
                      <w:sz w:val="20"/>
                      <w:b/>
                    </w:rPr>
                    <w:t>枪式摄像机</w:t>
                  </w:r>
                </w:p>
              </w:tc>
              <w:tc>
                <w:tcPr>
                  <w:tcW w:type="dxa" w:w="23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rPr>
                    <w:t>170台</w:t>
                  </w:r>
                </w:p>
              </w:tc>
              <w:tc>
                <w:tcPr>
                  <w:tcW w:type="dxa" w:w="64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rPr>
                    <w:t>长焦监控、强抗逆光</w:t>
                  </w:r>
                </w:p>
              </w:tc>
              <w:tc>
                <w:tcPr>
                  <w:tcW w:type="dxa" w:w="67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rPr>
                    <w:t>出入口、广场、药房、危化品存储室</w:t>
                  </w:r>
                </w:p>
              </w:tc>
            </w:tr>
          </w:tbl>
          <w:p>
            <w:pPr>
              <w:pStyle w:val="null3"/>
              <w:spacing w:before="105" w:after="105"/>
              <w:jc w:val="left"/>
            </w:pPr>
            <w:r>
              <w:rPr>
                <w:rFonts w:ascii="仿宋_GB2312" w:hAnsi="仿宋_GB2312" w:cs="仿宋_GB2312" w:eastAsia="仿宋_GB2312"/>
                <w:sz w:val="20"/>
                <w:b/>
              </w:rPr>
              <w:t>品牌</w:t>
            </w:r>
            <w:r>
              <w:rPr>
                <w:rFonts w:ascii="仿宋_GB2312" w:hAnsi="仿宋_GB2312" w:cs="仿宋_GB2312" w:eastAsia="仿宋_GB2312"/>
                <w:sz w:val="20"/>
              </w:rPr>
              <w:t>：</w:t>
            </w:r>
          </w:p>
          <w:p>
            <w:pPr>
              <w:pStyle w:val="null3"/>
              <w:numPr>
                <w:ilvl w:val="0"/>
                <w:numId w:val="1"/>
              </w:numPr>
              <w:spacing w:after="105"/>
              <w:ind w:left="120"/>
              <w:jc w:val="left"/>
            </w:pPr>
            <w:r>
              <w:rPr>
                <w:rFonts w:ascii="仿宋_GB2312" w:hAnsi="仿宋_GB2312" w:cs="仿宋_GB2312" w:eastAsia="仿宋_GB2312"/>
                <w:sz w:val="20"/>
                <w:b/>
              </w:rPr>
              <w:t>前端设备</w:t>
            </w:r>
            <w:r>
              <w:rPr>
                <w:rFonts w:ascii="仿宋_GB2312" w:hAnsi="仿宋_GB2312" w:cs="仿宋_GB2312" w:eastAsia="仿宋_GB2312"/>
                <w:sz w:val="20"/>
              </w:rPr>
              <w:t>：大华（占比</w:t>
            </w:r>
            <w:r>
              <w:rPr>
                <w:rFonts w:ascii="仿宋_GB2312" w:hAnsi="仿宋_GB2312" w:cs="仿宋_GB2312" w:eastAsia="仿宋_GB2312"/>
                <w:sz w:val="20"/>
              </w:rPr>
              <w:t>25%）、英飞拓（30%）、天地伟业（45%）</w:t>
            </w:r>
          </w:p>
          <w:p>
            <w:pPr>
              <w:pStyle w:val="null3"/>
              <w:numPr>
                <w:ilvl w:val="0"/>
                <w:numId w:val="1"/>
              </w:numPr>
              <w:spacing w:after="105"/>
              <w:ind w:left="120"/>
              <w:jc w:val="left"/>
            </w:pPr>
            <w:r>
              <w:rPr>
                <w:rFonts w:ascii="仿宋_GB2312" w:hAnsi="仿宋_GB2312" w:cs="仿宋_GB2312" w:eastAsia="仿宋_GB2312"/>
                <w:sz w:val="20"/>
                <w:b/>
              </w:rPr>
              <w:t>后端系统</w:t>
            </w:r>
            <w:r>
              <w:rPr>
                <w:rFonts w:ascii="仿宋_GB2312" w:hAnsi="仿宋_GB2312" w:cs="仿宋_GB2312" w:eastAsia="仿宋_GB2312"/>
                <w:sz w:val="20"/>
              </w:rPr>
              <w:t>：存储、</w:t>
            </w:r>
            <w:r>
              <w:rPr>
                <w:rFonts w:ascii="仿宋_GB2312" w:hAnsi="仿宋_GB2312" w:cs="仿宋_GB2312" w:eastAsia="仿宋_GB2312"/>
                <w:sz w:val="20"/>
              </w:rPr>
              <w:t>NVR、解码矩阵、平台服务器、流媒体服务器等</w:t>
            </w:r>
          </w:p>
          <w:p>
            <w:pPr>
              <w:pStyle w:val="null3"/>
              <w:spacing w:before="105" w:after="105"/>
              <w:jc w:val="left"/>
            </w:pPr>
            <w:r>
              <w:rPr>
                <w:rFonts w:ascii="仿宋_GB2312" w:hAnsi="仿宋_GB2312" w:cs="仿宋_GB2312" w:eastAsia="仿宋_GB2312"/>
                <w:sz w:val="20"/>
                <w:b/>
              </w:rPr>
              <w:t>3. 核心设备清单</w:t>
            </w:r>
          </w:p>
          <w:tbl>
            <w:tblPr>
              <w:tblInd w:type="dxa" w:w="120"/>
              <w:tblBorders>
                <w:top w:val="none" w:color="000000" w:sz="4"/>
                <w:left w:val="none" w:color="000000" w:sz="4"/>
                <w:bottom w:val="none" w:color="000000" w:sz="4"/>
                <w:right w:val="none" w:color="000000" w:sz="4"/>
                <w:insideH w:val="none"/>
                <w:insideV w:val="none"/>
              </w:tblBorders>
            </w:tblPr>
            <w:tblGrid>
              <w:gridCol w:w="465"/>
              <w:gridCol w:w="465"/>
              <w:gridCol w:w="465"/>
              <w:gridCol w:w="465"/>
            </w:tblGrid>
            <w:tr>
              <w:tc>
                <w:tcPr>
                  <w:tcW w:type="dxa" w:w="465"/>
                  <w:tcBorders>
                    <w:top w:val="single" w:color="000000" w:sz="4"/>
                    <w:left w:val="single" w:color="000000" w:sz="4"/>
                    <w:bottom w:val="single" w:color="000000" w:sz="4"/>
                    <w:right w:val="single" w:color="000000" w:sz="4"/>
                  </w:tcBorders>
                  <w:tcMar>
                    <w:top w:type="dxa" w:w="15"/>
                    <w:left w:type="dxa" w:w="0"/>
                    <w:bottom w:type="dxa" w:w="15"/>
                    <w:right w:type="dxa" w:w="15"/>
                  </w:tcMar>
                  <w:vAlign w:val="top"/>
                </w:tcPr>
                <w:p>
                  <w:pPr>
                    <w:pStyle w:val="null3"/>
                    <w:jc w:val="left"/>
                  </w:pPr>
                  <w:r>
                    <w:rPr>
                      <w:rFonts w:ascii="仿宋_GB2312" w:hAnsi="仿宋_GB2312" w:cs="仿宋_GB2312" w:eastAsia="仿宋_GB2312"/>
                      <w:sz w:val="20"/>
                      <w:b/>
                    </w:rPr>
                    <w:t>层级</w:t>
                  </w:r>
                </w:p>
              </w:tc>
              <w:tc>
                <w:tcPr>
                  <w:tcW w:type="dxa" w:w="465"/>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b/>
                    </w:rPr>
                    <w:t>设备名称</w:t>
                  </w:r>
                </w:p>
              </w:tc>
              <w:tc>
                <w:tcPr>
                  <w:tcW w:type="dxa" w:w="465"/>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b/>
                    </w:rPr>
                    <w:t>功能定位</w:t>
                  </w:r>
                </w:p>
              </w:tc>
              <w:tc>
                <w:tcPr>
                  <w:tcW w:type="dxa" w:w="465"/>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b/>
                    </w:rPr>
                    <w:t>关键参数</w:t>
                  </w:r>
                </w:p>
              </w:tc>
            </w:tr>
            <w:tr>
              <w:tc>
                <w:tcPr>
                  <w:tcW w:type="dxa" w:w="465"/>
                  <w:tcBorders>
                    <w:top w:val="none" w:color="000000" w:sz="4"/>
                    <w:left w:val="single" w:color="000000" w:sz="4"/>
                    <w:bottom w:val="single" w:color="000000" w:sz="4"/>
                    <w:right w:val="single" w:color="000000" w:sz="4"/>
                  </w:tcBorders>
                  <w:tcMar>
                    <w:top w:type="dxa" w:w="15"/>
                    <w:left w:type="dxa" w:w="0"/>
                    <w:bottom w:type="dxa" w:w="15"/>
                    <w:right w:type="dxa" w:w="15"/>
                  </w:tcMar>
                  <w:vAlign w:val="top"/>
                </w:tcPr>
                <w:p>
                  <w:pPr>
                    <w:pStyle w:val="null3"/>
                    <w:jc w:val="left"/>
                  </w:pPr>
                  <w:r>
                    <w:rPr>
                      <w:rFonts w:ascii="仿宋_GB2312" w:hAnsi="仿宋_GB2312" w:cs="仿宋_GB2312" w:eastAsia="仿宋_GB2312"/>
                      <w:sz w:val="20"/>
                      <w:b/>
                    </w:rPr>
                    <w:t>前端层</w:t>
                  </w:r>
                </w:p>
              </w:tc>
              <w:tc>
                <w:tcPr>
                  <w:tcW w:type="dxa" w:w="4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rPr>
                    <w:t>网络摄像机（</w:t>
                  </w:r>
                  <w:r>
                    <w:rPr>
                      <w:rFonts w:ascii="仿宋_GB2312" w:hAnsi="仿宋_GB2312" w:cs="仿宋_GB2312" w:eastAsia="仿宋_GB2312"/>
                      <w:sz w:val="20"/>
                    </w:rPr>
                    <w:t>IPC）</w:t>
                  </w:r>
                </w:p>
              </w:tc>
              <w:tc>
                <w:tcPr>
                  <w:tcW w:type="dxa" w:w="4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rPr>
                    <w:t>视频信号采集与编码</w:t>
                  </w:r>
                </w:p>
              </w:tc>
              <w:tc>
                <w:tcPr>
                  <w:tcW w:type="dxa" w:w="4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rPr>
                    <w:t>200万像素、400万像素、H.265编码</w:t>
                  </w:r>
                </w:p>
              </w:tc>
            </w:tr>
            <w:tr>
              <w:tc>
                <w:tcPr>
                  <w:tcW w:type="dxa" w:w="465"/>
                  <w:tcBorders>
                    <w:top w:val="none" w:color="000000" w:sz="4"/>
                    <w:left w:val="single" w:color="000000" w:sz="4"/>
                    <w:bottom w:val="single" w:color="000000" w:sz="4"/>
                    <w:right w:val="single" w:color="000000" w:sz="4"/>
                  </w:tcBorders>
                  <w:tcMar>
                    <w:top w:type="dxa" w:w="15"/>
                    <w:left w:type="dxa" w:w="0"/>
                    <w:bottom w:type="dxa" w:w="15"/>
                    <w:right w:type="dxa" w:w="15"/>
                  </w:tcMar>
                  <w:vAlign w:val="top"/>
                </w:tcPr>
                <w:p>
                  <w:pPr>
                    <w:pStyle w:val="null3"/>
                    <w:jc w:val="left"/>
                  </w:pPr>
                  <w:r>
                    <w:rPr>
                      <w:rFonts w:ascii="仿宋_GB2312" w:hAnsi="仿宋_GB2312" w:cs="仿宋_GB2312" w:eastAsia="仿宋_GB2312"/>
                      <w:sz w:val="20"/>
                      <w:b/>
                    </w:rPr>
                    <w:t>传输层</w:t>
                  </w:r>
                </w:p>
              </w:tc>
              <w:tc>
                <w:tcPr>
                  <w:tcW w:type="dxa" w:w="4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rPr>
                    <w:t>华为、华三、博达等系列交换机</w:t>
                  </w:r>
                </w:p>
              </w:tc>
              <w:tc>
                <w:tcPr>
                  <w:tcW w:type="dxa" w:w="4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rPr>
                    <w:t>供电与数据传输</w:t>
                  </w:r>
                </w:p>
              </w:tc>
              <w:tc>
                <w:tcPr>
                  <w:tcW w:type="dxa" w:w="4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rPr>
                    <w:t>千兆光口</w:t>
                  </w:r>
                </w:p>
              </w:tc>
            </w:tr>
            <w:tr>
              <w:tc>
                <w:tcPr>
                  <w:tcW w:type="dxa" w:w="465"/>
                  <w:tcBorders>
                    <w:top w:val="none" w:color="000000" w:sz="4"/>
                    <w:left w:val="single" w:color="000000" w:sz="4"/>
                    <w:bottom w:val="single" w:color="000000" w:sz="4"/>
                    <w:right w:val="single" w:color="000000" w:sz="4"/>
                  </w:tcBorders>
                  <w:tcMar>
                    <w:top w:type="dxa" w:w="15"/>
                    <w:left w:type="dxa" w:w="0"/>
                    <w:bottom w:type="dxa" w:w="15"/>
                    <w:right w:type="dxa" w:w="15"/>
                  </w:tcMar>
                  <w:vAlign w:val="top"/>
                </w:tcPr>
                <w:p>
                  <w:pPr>
                    <w:pStyle w:val="null3"/>
                    <w:jc w:val="left"/>
                  </w:pPr>
                  <w:r>
                    <w:rPr>
                      <w:rFonts w:ascii="仿宋_GB2312" w:hAnsi="仿宋_GB2312" w:cs="仿宋_GB2312" w:eastAsia="仿宋_GB2312"/>
                      <w:sz w:val="20"/>
                      <w:b/>
                    </w:rPr>
                    <w:t>存储层</w:t>
                  </w:r>
                </w:p>
              </w:tc>
              <w:tc>
                <w:tcPr>
                  <w:tcW w:type="dxa" w:w="4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rPr>
                    <w:t>大华、天地伟业</w:t>
                  </w:r>
                </w:p>
              </w:tc>
              <w:tc>
                <w:tcPr>
                  <w:tcW w:type="dxa" w:w="4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rPr>
                    <w:t>分布式视频存储</w:t>
                  </w:r>
                </w:p>
              </w:tc>
              <w:tc>
                <w:tcPr>
                  <w:tcW w:type="dxa" w:w="4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rPr>
                    <w:t>总容量</w:t>
                  </w:r>
                  <w:r>
                    <w:rPr>
                      <w:rFonts w:ascii="仿宋_GB2312" w:hAnsi="仿宋_GB2312" w:cs="仿宋_GB2312" w:eastAsia="仿宋_GB2312"/>
                      <w:sz w:val="20"/>
                    </w:rPr>
                    <w:t>30天、RAID6冗余</w:t>
                  </w:r>
                </w:p>
              </w:tc>
            </w:tr>
            <w:tr>
              <w:tc>
                <w:tcPr>
                  <w:tcW w:type="dxa" w:w="465"/>
                  <w:tcBorders>
                    <w:top w:val="none" w:color="000000" w:sz="4"/>
                    <w:left w:val="single" w:color="000000" w:sz="4"/>
                    <w:bottom w:val="single" w:color="000000" w:sz="4"/>
                    <w:right w:val="single" w:color="000000" w:sz="4"/>
                  </w:tcBorders>
                  <w:tcMar>
                    <w:top w:type="dxa" w:w="15"/>
                    <w:left w:type="dxa" w:w="0"/>
                    <w:bottom w:type="dxa" w:w="15"/>
                    <w:right w:type="dxa" w:w="15"/>
                  </w:tcMar>
                  <w:vAlign w:val="top"/>
                </w:tcPr>
                <w:p>
                  <w:pPr>
                    <w:pStyle w:val="null3"/>
                    <w:jc w:val="left"/>
                  </w:pPr>
                  <w:r>
                    <w:rPr>
                      <w:rFonts w:ascii="仿宋_GB2312" w:hAnsi="仿宋_GB2312" w:cs="仿宋_GB2312" w:eastAsia="仿宋_GB2312"/>
                      <w:sz w:val="20"/>
                      <w:b/>
                    </w:rPr>
                    <w:t>管理平台</w:t>
                  </w:r>
                </w:p>
              </w:tc>
              <w:tc>
                <w:tcPr>
                  <w:tcW w:type="dxa" w:w="4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rPr>
                    <w:t>大华平台和天地伟业平台</w:t>
                  </w:r>
                </w:p>
              </w:tc>
              <w:tc>
                <w:tcPr>
                  <w:tcW w:type="dxa" w:w="4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rPr>
                    <w:t>设备管理、智能分析</w:t>
                  </w:r>
                </w:p>
              </w:tc>
              <w:tc>
                <w:tcPr>
                  <w:tcW w:type="dxa" w:w="4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rPr>
                    <w:t>支持大华和天地伟业等设备接入</w:t>
                  </w:r>
                </w:p>
              </w:tc>
            </w:tr>
          </w:tbl>
          <w:p>
            <w:pPr>
              <w:pStyle w:val="null3"/>
              <w:jc w:val="both"/>
            </w:pPr>
            <w:r>
              <w:rPr>
                <w:rFonts w:ascii="仿宋_GB2312" w:hAnsi="仿宋_GB2312" w:cs="仿宋_GB2312" w:eastAsia="仿宋_GB2312"/>
                <w:sz w:val="20"/>
              </w:rPr>
              <w:t>4.经系统核查，我院医疗机构监控系统现存</w:t>
            </w:r>
            <w:r>
              <w:rPr>
                <w:rFonts w:ascii="仿宋_GB2312" w:hAnsi="仿宋_GB2312" w:cs="仿宋_GB2312" w:eastAsia="仿宋_GB2312"/>
                <w:sz w:val="20"/>
              </w:rPr>
              <w:t>约</w:t>
            </w:r>
            <w:r>
              <w:rPr>
                <w:rFonts w:ascii="仿宋_GB2312" w:hAnsi="仿宋_GB2312" w:cs="仿宋_GB2312" w:eastAsia="仿宋_GB2312"/>
                <w:sz w:val="20"/>
              </w:rPr>
              <w:t>370路左右</w:t>
            </w:r>
            <w:r>
              <w:rPr>
                <w:rFonts w:ascii="仿宋_GB2312" w:hAnsi="仿宋_GB2312" w:cs="仿宋_GB2312" w:eastAsia="仿宋_GB2312"/>
                <w:sz w:val="20"/>
              </w:rPr>
              <w:t>处画面异常黑屏现象。针对此类设备运行故障，需组建专业技术团队开展多维度现场诊断工作，重点排查硬件设备损坏、软件系统崩溃、网络协议兼容性缺陷等潜在致因。值得注意的是，部分区域监控系统存在间歇性网络传输异常（表现为时断时续、带宽波动等特征），建议勘察现场工作时注意：</w:t>
            </w:r>
            <w:r>
              <w:rPr>
                <w:rFonts w:ascii="仿宋_GB2312" w:hAnsi="仿宋_GB2312" w:cs="仿宋_GB2312" w:eastAsia="仿宋_GB2312"/>
                <w:sz w:val="20"/>
              </w:rPr>
              <w:t>①部署网络流量负载分析仪进行连续监测；②构建冗余架构优化方案提升主干网络稳定性；③建立故障分级响应机制对核心医疗区域实施优先保障。后续将依据技术检测结论制定差异化整改路线图，同步推进设备更新迭代与运维管理流程再造，最终实现医疗安防系统的智能化、可视化全生命周期管控</w:t>
            </w:r>
            <w:r>
              <w:rPr>
                <w:rFonts w:ascii="仿宋_GB2312" w:hAnsi="仿宋_GB2312" w:cs="仿宋_GB2312" w:eastAsia="仿宋_GB2312"/>
                <w:sz w:val="20"/>
              </w:rPr>
              <w:t>。</w:t>
            </w:r>
          </w:p>
          <w:tbl>
            <w:tblPr>
              <w:tblInd w:type="dxa" w:w="195"/>
              <w:tblBorders>
                <w:top w:val="none" w:color="000000" w:sz="4"/>
                <w:left w:val="none" w:color="000000" w:sz="4"/>
                <w:bottom w:val="none" w:color="000000" w:sz="4"/>
                <w:right w:val="none" w:color="000000" w:sz="4"/>
                <w:insideH w:val="none"/>
                <w:insideV w:val="none"/>
              </w:tblBorders>
            </w:tblPr>
            <w:tblGrid>
              <w:gridCol w:w="151"/>
              <w:gridCol w:w="151"/>
              <w:gridCol w:w="1125"/>
              <w:gridCol w:w="132"/>
              <w:gridCol w:w="151"/>
              <w:gridCol w:w="151"/>
            </w:tblGrid>
            <w:tr>
              <w:tc>
                <w:tcPr>
                  <w:tcW w:type="dxa" w:w="1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1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名称</w:t>
                  </w:r>
                </w:p>
              </w:tc>
              <w:tc>
                <w:tcPr>
                  <w:tcW w:type="dxa" w:w="11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描述</w:t>
                  </w:r>
                </w:p>
              </w:tc>
              <w:tc>
                <w:tcPr>
                  <w:tcW w:type="dxa" w:w="1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数量</w:t>
                  </w:r>
                </w:p>
              </w:tc>
              <w:tc>
                <w:tcPr>
                  <w:tcW w:type="dxa" w:w="1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单位</w:t>
                  </w:r>
                </w:p>
              </w:tc>
              <w:tc>
                <w:tcPr>
                  <w:tcW w:type="dxa" w:w="1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备注</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智慧医疗综合</w:t>
                  </w:r>
                  <w:r>
                    <w:rPr>
                      <w:rFonts w:ascii="仿宋_GB2312" w:hAnsi="仿宋_GB2312" w:cs="仿宋_GB2312" w:eastAsia="仿宋_GB2312"/>
                      <w:sz w:val="20"/>
                      <w:color w:val="000000"/>
                    </w:rPr>
                    <w:t>监控</w:t>
                  </w:r>
                  <w:r>
                    <w:rPr>
                      <w:rFonts w:ascii="仿宋_GB2312" w:hAnsi="仿宋_GB2312" w:cs="仿宋_GB2312" w:eastAsia="仿宋_GB2312"/>
                      <w:sz w:val="20"/>
                      <w:color w:val="000000"/>
                    </w:rPr>
                    <w:t>管理平台</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w:t>
                  </w:r>
                  <w:r>
                    <w:rPr>
                      <w:rFonts w:ascii="仿宋_GB2312" w:hAnsi="仿宋_GB2312" w:cs="仿宋_GB2312" w:eastAsia="仿宋_GB2312"/>
                      <w:sz w:val="20"/>
                      <w:color w:val="000000"/>
                    </w:rPr>
                    <w:t>具有不少于</w:t>
                  </w:r>
                  <w:r>
                    <w:rPr>
                      <w:rFonts w:ascii="仿宋_GB2312" w:hAnsi="仿宋_GB2312" w:cs="仿宋_GB2312" w:eastAsia="仿宋_GB2312"/>
                      <w:sz w:val="20"/>
                      <w:color w:val="000000"/>
                    </w:rPr>
                    <w:t>48个SATA硬盘接口，应支持硬盘热插拔；应支持HDD或SSD硬盘；应支持监控级硬盘和企业级硬盘；应支持（不同品牌）SATA硬盘混插；硬盘容量应支持1T、2T、3T、4T、6T、8T、10T、12T、14T、16T</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视频接入带宽</w:t>
                  </w:r>
                  <w:r>
                    <w:rPr>
                      <w:rFonts w:ascii="仿宋_GB2312" w:hAnsi="仿宋_GB2312" w:cs="仿宋_GB2312" w:eastAsia="仿宋_GB2312"/>
                      <w:sz w:val="20"/>
                      <w:color w:val="000000"/>
                    </w:rPr>
                    <w:t>≥</w:t>
                  </w:r>
                  <w:r>
                    <w:rPr>
                      <w:rFonts w:ascii="仿宋_GB2312" w:hAnsi="仿宋_GB2312" w:cs="仿宋_GB2312" w:eastAsia="仿宋_GB2312"/>
                      <w:sz w:val="20"/>
                      <w:color w:val="000000"/>
                    </w:rPr>
                    <w:t>512Mbps，同时转发带宽</w:t>
                  </w:r>
                  <w:r>
                    <w:rPr>
                      <w:rFonts w:ascii="仿宋_GB2312" w:hAnsi="仿宋_GB2312" w:cs="仿宋_GB2312" w:eastAsia="仿宋_GB2312"/>
                      <w:sz w:val="20"/>
                      <w:color w:val="000000"/>
                    </w:rPr>
                    <w:t>≥</w:t>
                  </w:r>
                  <w:r>
                    <w:rPr>
                      <w:rFonts w:ascii="仿宋_GB2312" w:hAnsi="仿宋_GB2312" w:cs="仿宋_GB2312" w:eastAsia="仿宋_GB2312"/>
                      <w:sz w:val="20"/>
                      <w:color w:val="000000"/>
                    </w:rPr>
                    <w:t>512Mbps（直存）;</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w:t>
                  </w:r>
                  <w:r>
                    <w:rPr>
                      <w:rFonts w:ascii="仿宋_GB2312" w:hAnsi="仿宋_GB2312" w:cs="仿宋_GB2312" w:eastAsia="仿宋_GB2312"/>
                      <w:sz w:val="20"/>
                      <w:color w:val="000000"/>
                    </w:rPr>
                    <w:t>应支持接入协议具有</w:t>
                  </w:r>
                  <w:r>
                    <w:rPr>
                      <w:rFonts w:ascii="仿宋_GB2312" w:hAnsi="仿宋_GB2312" w:cs="仿宋_GB2312" w:eastAsia="仿宋_GB2312"/>
                      <w:sz w:val="20"/>
                      <w:color w:val="000000"/>
                    </w:rPr>
                    <w:t>Onvif，GB/T 28181设置选项</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w:t>
                  </w:r>
                  <w:r>
                    <w:rPr>
                      <w:rFonts w:ascii="仿宋_GB2312" w:hAnsi="仿宋_GB2312" w:cs="仿宋_GB2312" w:eastAsia="仿宋_GB2312"/>
                      <w:sz w:val="20"/>
                      <w:color w:val="000000"/>
                    </w:rPr>
                    <w:t>应支持流媒体协议直接存储功能</w:t>
                  </w:r>
                </w:p>
                <w:p>
                  <w:pPr>
                    <w:pStyle w:val="null3"/>
                    <w:jc w:val="left"/>
                  </w:pPr>
                  <w:r>
                    <w:rPr>
                      <w:rFonts w:ascii="仿宋_GB2312" w:hAnsi="仿宋_GB2312" w:cs="仿宋_GB2312" w:eastAsia="仿宋_GB2312"/>
                      <w:sz w:val="20"/>
                      <w:color w:val="000000"/>
                    </w:rPr>
                    <w:t>5</w:t>
                  </w:r>
                  <w:r>
                    <w:rPr>
                      <w:rFonts w:ascii="仿宋_GB2312" w:hAnsi="仿宋_GB2312" w:cs="仿宋_GB2312" w:eastAsia="仿宋_GB2312"/>
                      <w:sz w:val="20"/>
                      <w:color w:val="000000"/>
                    </w:rPr>
                    <w:t>、</w:t>
                  </w:r>
                  <w:r>
                    <w:rPr>
                      <w:rFonts w:ascii="仿宋_GB2312" w:hAnsi="仿宋_GB2312" w:cs="仿宋_GB2312" w:eastAsia="仿宋_GB2312"/>
                      <w:sz w:val="20"/>
                      <w:color w:val="000000"/>
                    </w:rPr>
                    <w:t>应支持视频、图片直存模式的配置和管理</w:t>
                  </w:r>
                </w:p>
                <w:p>
                  <w:pPr>
                    <w:pStyle w:val="null3"/>
                    <w:jc w:val="left"/>
                  </w:pPr>
                  <w:r>
                    <w:rPr>
                      <w:rFonts w:ascii="仿宋_GB2312" w:hAnsi="仿宋_GB2312" w:cs="仿宋_GB2312" w:eastAsia="仿宋_GB2312"/>
                      <w:sz w:val="20"/>
                      <w:color w:val="000000"/>
                    </w:rPr>
                    <w:t>6</w:t>
                  </w:r>
                  <w:r>
                    <w:rPr>
                      <w:rFonts w:ascii="仿宋_GB2312" w:hAnsi="仿宋_GB2312" w:cs="仿宋_GB2312" w:eastAsia="仿宋_GB2312"/>
                      <w:sz w:val="20"/>
                      <w:color w:val="000000"/>
                    </w:rPr>
                    <w:t>、</w:t>
                  </w:r>
                  <w:r>
                    <w:rPr>
                      <w:rFonts w:ascii="仿宋_GB2312" w:hAnsi="仿宋_GB2312" w:cs="仿宋_GB2312" w:eastAsia="仿宋_GB2312"/>
                      <w:sz w:val="20"/>
                      <w:color w:val="000000"/>
                    </w:rPr>
                    <w:t>应支持</w:t>
                  </w:r>
                  <w:r>
                    <w:rPr>
                      <w:rFonts w:ascii="仿宋_GB2312" w:hAnsi="仿宋_GB2312" w:cs="仿宋_GB2312" w:eastAsia="仿宋_GB2312"/>
                      <w:sz w:val="20"/>
                      <w:color w:val="000000"/>
                    </w:rPr>
                    <w:t>RAID0、RAID1、RAID3、RAID5和RAID6、RAID10、RAID50、RAID60模式；并支持RAID即建即用模式</w:t>
                  </w:r>
                </w:p>
                <w:p>
                  <w:pPr>
                    <w:pStyle w:val="null3"/>
                    <w:jc w:val="left"/>
                  </w:pPr>
                  <w:r>
                    <w:rPr>
                      <w:rFonts w:ascii="仿宋_GB2312" w:hAnsi="仿宋_GB2312" w:cs="仿宋_GB2312" w:eastAsia="仿宋_GB2312"/>
                      <w:sz w:val="20"/>
                      <w:color w:val="000000"/>
                    </w:rPr>
                    <w:t>▲7</w:t>
                  </w:r>
                  <w:r>
                    <w:rPr>
                      <w:rFonts w:ascii="仿宋_GB2312" w:hAnsi="仿宋_GB2312" w:cs="仿宋_GB2312" w:eastAsia="仿宋_GB2312"/>
                      <w:sz w:val="20"/>
                      <w:color w:val="000000"/>
                    </w:rPr>
                    <w:t>、</w:t>
                  </w:r>
                  <w:r>
                    <w:rPr>
                      <w:rFonts w:ascii="仿宋_GB2312" w:hAnsi="仿宋_GB2312" w:cs="仿宋_GB2312" w:eastAsia="仿宋_GB2312"/>
                      <w:sz w:val="20"/>
                      <w:color w:val="000000"/>
                    </w:rPr>
                    <w:t>配置</w:t>
                  </w:r>
                  <w:r>
                    <w:rPr>
                      <w:rFonts w:ascii="仿宋_GB2312" w:hAnsi="仿宋_GB2312" w:cs="仿宋_GB2312" w:eastAsia="仿宋_GB2312"/>
                      <w:sz w:val="20"/>
                      <w:color w:val="000000"/>
                    </w:rPr>
                    <w:t>≥8</w:t>
                  </w:r>
                  <w:r>
                    <w:rPr>
                      <w:rFonts w:ascii="仿宋_GB2312" w:hAnsi="仿宋_GB2312" w:cs="仿宋_GB2312" w:eastAsia="仿宋_GB2312"/>
                      <w:sz w:val="20"/>
                      <w:color w:val="000000"/>
                    </w:rPr>
                    <w:t>G</w:t>
                  </w:r>
                  <w:r>
                    <w:rPr>
                      <w:rFonts w:ascii="仿宋_GB2312" w:hAnsi="仿宋_GB2312" w:cs="仿宋_GB2312" w:eastAsia="仿宋_GB2312"/>
                      <w:sz w:val="20"/>
                      <w:color w:val="000000"/>
                    </w:rPr>
                    <w:t>内存，支持不少于</w:t>
                  </w:r>
                  <w:r>
                    <w:rPr>
                      <w:rFonts w:ascii="仿宋_GB2312" w:hAnsi="仿宋_GB2312" w:cs="仿宋_GB2312" w:eastAsia="仿宋_GB2312"/>
                      <w:sz w:val="20"/>
                      <w:color w:val="000000"/>
                    </w:rPr>
                    <w:t>4个内存卡槽，可扩展至64</w:t>
                  </w:r>
                  <w:r>
                    <w:rPr>
                      <w:rFonts w:ascii="仿宋_GB2312" w:hAnsi="仿宋_GB2312" w:cs="仿宋_GB2312" w:eastAsia="仿宋_GB2312"/>
                      <w:sz w:val="20"/>
                      <w:color w:val="000000"/>
                    </w:rPr>
                    <w:t>G</w:t>
                  </w:r>
                  <w:r>
                    <w:rPr>
                      <w:rFonts w:ascii="仿宋_GB2312" w:hAnsi="仿宋_GB2312" w:cs="仿宋_GB2312" w:eastAsia="仿宋_GB2312"/>
                      <w:sz w:val="20"/>
                      <w:color w:val="000000"/>
                    </w:rPr>
                    <w:t>；</w:t>
                  </w:r>
                  <w:r>
                    <w:rPr>
                      <w:rFonts w:ascii="仿宋_GB2312" w:hAnsi="仿宋_GB2312" w:cs="仿宋_GB2312" w:eastAsia="仿宋_GB2312"/>
                      <w:sz w:val="20"/>
                      <w:color w:val="000000"/>
                    </w:rPr>
                    <w:t>具</w:t>
                  </w:r>
                  <w:r>
                    <w:rPr>
                      <w:rFonts w:ascii="仿宋_GB2312" w:hAnsi="仿宋_GB2312" w:cs="仿宋_GB2312" w:eastAsia="仿宋_GB2312"/>
                      <w:sz w:val="20"/>
                      <w:color w:val="000000"/>
                    </w:rPr>
                    <w:t>有不少于</w:t>
                  </w:r>
                  <w:r>
                    <w:rPr>
                      <w:rFonts w:ascii="仿宋_GB2312" w:hAnsi="仿宋_GB2312" w:cs="仿宋_GB2312" w:eastAsia="仿宋_GB2312"/>
                      <w:sz w:val="20"/>
                      <w:color w:val="000000"/>
                    </w:rPr>
                    <w:t>4 个RJ-45千兆网络接口、</w:t>
                  </w:r>
                  <w:r>
                    <w:rPr>
                      <w:rFonts w:ascii="仿宋_GB2312" w:hAnsi="仿宋_GB2312" w:cs="仿宋_GB2312" w:eastAsia="仿宋_GB2312"/>
                      <w:sz w:val="20"/>
                      <w:color w:val="000000"/>
                    </w:rPr>
                    <w:t>≥</w:t>
                  </w:r>
                  <w:r>
                    <w:rPr>
                      <w:rFonts w:ascii="仿宋_GB2312" w:hAnsi="仿宋_GB2312" w:cs="仿宋_GB2312" w:eastAsia="仿宋_GB2312"/>
                      <w:sz w:val="20"/>
                      <w:color w:val="000000"/>
                    </w:rPr>
                    <w:t>2个USB2.0、</w:t>
                  </w:r>
                  <w:r>
                    <w:rPr>
                      <w:rFonts w:ascii="仿宋_GB2312" w:hAnsi="仿宋_GB2312" w:cs="仿宋_GB2312" w:eastAsia="仿宋_GB2312"/>
                      <w:sz w:val="20"/>
                      <w:color w:val="000000"/>
                    </w:rPr>
                    <w:t>≥</w:t>
                  </w:r>
                  <w:r>
                    <w:rPr>
                      <w:rFonts w:ascii="仿宋_GB2312" w:hAnsi="仿宋_GB2312" w:cs="仿宋_GB2312" w:eastAsia="仿宋_GB2312"/>
                      <w:sz w:val="20"/>
                      <w:color w:val="000000"/>
                    </w:rPr>
                    <w:t>2个USB3.0接口、2个RS485接口、1个RS232接口、2个HDMI接口、1个VGA接口、8路报警输入、</w:t>
                  </w:r>
                  <w:r>
                    <w:rPr>
                      <w:rFonts w:ascii="仿宋_GB2312" w:hAnsi="仿宋_GB2312" w:cs="仿宋_GB2312" w:eastAsia="仿宋_GB2312"/>
                      <w:sz w:val="20"/>
                      <w:color w:val="000000"/>
                    </w:rPr>
                    <w:t>≥</w:t>
                  </w:r>
                  <w:r>
                    <w:rPr>
                      <w:rFonts w:ascii="仿宋_GB2312" w:hAnsi="仿宋_GB2312" w:cs="仿宋_GB2312" w:eastAsia="仿宋_GB2312"/>
                      <w:sz w:val="20"/>
                      <w:color w:val="000000"/>
                    </w:rPr>
                    <w:t>4路报警输出</w:t>
                  </w:r>
                  <w:r>
                    <w:rPr>
                      <w:rFonts w:ascii="仿宋_GB2312" w:hAnsi="仿宋_GB2312" w:cs="仿宋_GB2312" w:eastAsia="仿宋_GB2312"/>
                      <w:sz w:val="20"/>
                      <w:color w:val="000000"/>
                    </w:rPr>
                    <w:t>（提供</w:t>
                  </w:r>
                  <w:r>
                    <w:rPr>
                      <w:rFonts w:ascii="仿宋_GB2312" w:hAnsi="仿宋_GB2312" w:cs="仿宋_GB2312" w:eastAsia="仿宋_GB2312"/>
                      <w:sz w:val="20"/>
                      <w:color w:val="000000"/>
                    </w:rPr>
                    <w:t>但不限于检测报告</w:t>
                  </w:r>
                  <w:r>
                    <w:rPr>
                      <w:rFonts w:ascii="仿宋_GB2312" w:hAnsi="仿宋_GB2312" w:cs="仿宋_GB2312" w:eastAsia="仿宋_GB2312"/>
                      <w:sz w:val="20"/>
                      <w:color w:val="000000"/>
                    </w:rPr>
                    <w:t>，并加盖公章。例如：检测报告、制造厂商检验报告、产品彩页、官网及功能截图任意一种证明材料均可）</w:t>
                  </w:r>
                </w:p>
                <w:p>
                  <w:pPr>
                    <w:pStyle w:val="null3"/>
                    <w:jc w:val="left"/>
                  </w:pPr>
                  <w:r>
                    <w:rPr>
                      <w:rFonts w:ascii="仿宋_GB2312" w:hAnsi="仿宋_GB2312" w:cs="仿宋_GB2312" w:eastAsia="仿宋_GB2312"/>
                      <w:sz w:val="20"/>
                      <w:color w:val="000000"/>
                    </w:rPr>
                    <w:t>8</w:t>
                  </w:r>
                  <w:r>
                    <w:rPr>
                      <w:rFonts w:ascii="仿宋_GB2312" w:hAnsi="仿宋_GB2312" w:cs="仿宋_GB2312" w:eastAsia="仿宋_GB2312"/>
                      <w:sz w:val="20"/>
                      <w:color w:val="000000"/>
                    </w:rPr>
                    <w:t>、</w:t>
                  </w:r>
                  <w:r>
                    <w:rPr>
                      <w:rFonts w:ascii="仿宋_GB2312" w:hAnsi="仿宋_GB2312" w:cs="仿宋_GB2312" w:eastAsia="仿宋_GB2312"/>
                      <w:sz w:val="20"/>
                      <w:color w:val="000000"/>
                    </w:rPr>
                    <w:t>应支持在录像文件目录损坏时重建索引</w:t>
                  </w:r>
                </w:p>
                <w:p>
                  <w:pPr>
                    <w:pStyle w:val="null3"/>
                    <w:jc w:val="left"/>
                  </w:pPr>
                  <w:r>
                    <w:rPr>
                      <w:rFonts w:ascii="仿宋_GB2312" w:hAnsi="仿宋_GB2312" w:cs="仿宋_GB2312" w:eastAsia="仿宋_GB2312"/>
                      <w:sz w:val="20"/>
                      <w:color w:val="000000"/>
                    </w:rPr>
                    <w:t>9</w:t>
                  </w:r>
                  <w:r>
                    <w:rPr>
                      <w:rFonts w:ascii="仿宋_GB2312" w:hAnsi="仿宋_GB2312" w:cs="仿宋_GB2312" w:eastAsia="仿宋_GB2312"/>
                      <w:sz w:val="20"/>
                      <w:color w:val="000000"/>
                    </w:rPr>
                    <w:t>、</w:t>
                  </w:r>
                  <w:r>
                    <w:rPr>
                      <w:rFonts w:ascii="仿宋_GB2312" w:hAnsi="仿宋_GB2312" w:cs="仿宋_GB2312" w:eastAsia="仿宋_GB2312"/>
                      <w:sz w:val="20"/>
                      <w:color w:val="000000"/>
                    </w:rPr>
                    <w:t>应支持配置不同的磁盘策略，按时间删除、按空间删除</w:t>
                  </w:r>
                </w:p>
                <w:p>
                  <w:pPr>
                    <w:pStyle w:val="null3"/>
                    <w:jc w:val="left"/>
                  </w:pPr>
                  <w:r>
                    <w:rPr>
                      <w:rFonts w:ascii="仿宋_GB2312" w:hAnsi="仿宋_GB2312" w:cs="仿宋_GB2312" w:eastAsia="仿宋_GB2312"/>
                      <w:sz w:val="20"/>
                      <w:color w:val="000000"/>
                    </w:rPr>
                    <w:t>10</w:t>
                  </w:r>
                  <w:r>
                    <w:rPr>
                      <w:rFonts w:ascii="仿宋_GB2312" w:hAnsi="仿宋_GB2312" w:cs="仿宋_GB2312" w:eastAsia="仿宋_GB2312"/>
                      <w:sz w:val="20"/>
                      <w:color w:val="000000"/>
                    </w:rPr>
                    <w:t>、</w:t>
                  </w:r>
                  <w:r>
                    <w:rPr>
                      <w:rFonts w:ascii="仿宋_GB2312" w:hAnsi="仿宋_GB2312" w:cs="仿宋_GB2312" w:eastAsia="仿宋_GB2312"/>
                      <w:sz w:val="20"/>
                      <w:color w:val="000000"/>
                    </w:rPr>
                    <w:t>应支持远程对网络摄像机的图像分辨率、码率等参数进行设置</w:t>
                  </w:r>
                </w:p>
                <w:p>
                  <w:pPr>
                    <w:pStyle w:val="null3"/>
                    <w:jc w:val="left"/>
                  </w:pPr>
                  <w:r>
                    <w:rPr>
                      <w:rFonts w:ascii="仿宋_GB2312" w:hAnsi="仿宋_GB2312" w:cs="仿宋_GB2312" w:eastAsia="仿宋_GB2312"/>
                      <w:sz w:val="20"/>
                      <w:color w:val="000000"/>
                    </w:rPr>
                    <w:t>11</w:t>
                  </w:r>
                  <w:r>
                    <w:rPr>
                      <w:rFonts w:ascii="仿宋_GB2312" w:hAnsi="仿宋_GB2312" w:cs="仿宋_GB2312" w:eastAsia="仿宋_GB2312"/>
                      <w:sz w:val="20"/>
                      <w:color w:val="000000"/>
                    </w:rPr>
                    <w:t>、</w:t>
                  </w:r>
                  <w:r>
                    <w:rPr>
                      <w:rFonts w:ascii="仿宋_GB2312" w:hAnsi="仿宋_GB2312" w:cs="仿宋_GB2312" w:eastAsia="仿宋_GB2312"/>
                      <w:sz w:val="20"/>
                      <w:color w:val="000000"/>
                    </w:rPr>
                    <w:t>应能预录报警触发前</w:t>
                  </w:r>
                  <w:r>
                    <w:rPr>
                      <w:rFonts w:ascii="仿宋_GB2312" w:hAnsi="仿宋_GB2312" w:cs="仿宋_GB2312" w:eastAsia="仿宋_GB2312"/>
                      <w:sz w:val="20"/>
                      <w:color w:val="000000"/>
                    </w:rPr>
                    <w:t>1～2min的视频录像</w:t>
                  </w:r>
                </w:p>
                <w:p>
                  <w:pPr>
                    <w:pStyle w:val="null3"/>
                    <w:jc w:val="left"/>
                  </w:pPr>
                  <w:r>
                    <w:rPr>
                      <w:rFonts w:ascii="仿宋_GB2312" w:hAnsi="仿宋_GB2312" w:cs="仿宋_GB2312" w:eastAsia="仿宋_GB2312"/>
                      <w:sz w:val="20"/>
                      <w:color w:val="000000"/>
                    </w:rPr>
                    <w:t>12</w:t>
                  </w:r>
                  <w:r>
                    <w:rPr>
                      <w:rFonts w:ascii="仿宋_GB2312" w:hAnsi="仿宋_GB2312" w:cs="仿宋_GB2312" w:eastAsia="仿宋_GB2312"/>
                      <w:sz w:val="20"/>
                      <w:color w:val="000000"/>
                    </w:rPr>
                    <w:t>、</w:t>
                  </w:r>
                  <w:r>
                    <w:rPr>
                      <w:rFonts w:ascii="仿宋_GB2312" w:hAnsi="仿宋_GB2312" w:cs="仿宋_GB2312" w:eastAsia="仿宋_GB2312"/>
                      <w:sz w:val="20"/>
                      <w:color w:val="000000"/>
                    </w:rPr>
                    <w:t>当接入的视频图像的警戒区域内探测到移动目标时，应可给出报警提示信息并进行录像</w:t>
                  </w:r>
                </w:p>
                <w:p>
                  <w:pPr>
                    <w:pStyle w:val="null3"/>
                    <w:jc w:val="left"/>
                  </w:pPr>
                  <w:r>
                    <w:rPr>
                      <w:rFonts w:ascii="仿宋_GB2312" w:hAnsi="仿宋_GB2312" w:cs="仿宋_GB2312" w:eastAsia="仿宋_GB2312"/>
                      <w:sz w:val="20"/>
                      <w:color w:val="000000"/>
                    </w:rPr>
                    <w:t>13</w:t>
                  </w:r>
                  <w:r>
                    <w:rPr>
                      <w:rFonts w:ascii="仿宋_GB2312" w:hAnsi="仿宋_GB2312" w:cs="仿宋_GB2312" w:eastAsia="仿宋_GB2312"/>
                      <w:sz w:val="20"/>
                      <w:color w:val="000000"/>
                    </w:rPr>
                    <w:t>、</w:t>
                  </w:r>
                  <w:r>
                    <w:rPr>
                      <w:rFonts w:ascii="仿宋_GB2312" w:hAnsi="仿宋_GB2312" w:cs="仿宋_GB2312" w:eastAsia="仿宋_GB2312"/>
                      <w:sz w:val="20"/>
                      <w:color w:val="000000"/>
                    </w:rPr>
                    <w:t>应可通过浏览器对接入的任意一个视频通道的摄像机进行码率单独设置</w:t>
                  </w:r>
                </w:p>
                <w:p>
                  <w:pPr>
                    <w:pStyle w:val="null3"/>
                    <w:jc w:val="left"/>
                  </w:pPr>
                  <w:r>
                    <w:rPr>
                      <w:rFonts w:ascii="仿宋_GB2312" w:hAnsi="仿宋_GB2312" w:cs="仿宋_GB2312" w:eastAsia="仿宋_GB2312"/>
                      <w:sz w:val="20"/>
                      <w:color w:val="000000"/>
                    </w:rPr>
                    <w:t>14</w:t>
                  </w:r>
                  <w:r>
                    <w:rPr>
                      <w:rFonts w:ascii="仿宋_GB2312" w:hAnsi="仿宋_GB2312" w:cs="仿宋_GB2312" w:eastAsia="仿宋_GB2312"/>
                      <w:sz w:val="20"/>
                      <w:color w:val="000000"/>
                    </w:rPr>
                    <w:t>、</w:t>
                  </w:r>
                  <w:r>
                    <w:rPr>
                      <w:rFonts w:ascii="仿宋_GB2312" w:hAnsi="仿宋_GB2312" w:cs="仿宋_GB2312" w:eastAsia="仿宋_GB2312"/>
                      <w:sz w:val="20"/>
                      <w:color w:val="000000"/>
                    </w:rPr>
                    <w:t>当设备</w:t>
                  </w:r>
                  <w:r>
                    <w:rPr>
                      <w:rFonts w:ascii="仿宋_GB2312" w:hAnsi="仿宋_GB2312" w:cs="仿宋_GB2312" w:eastAsia="仿宋_GB2312"/>
                      <w:sz w:val="20"/>
                      <w:color w:val="000000"/>
                    </w:rPr>
                    <w:t>CPU使用率达到设定级别时，应可通过浏览器给出报警提示信息</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5</w:t>
                  </w:r>
                  <w:r>
                    <w:rPr>
                      <w:rFonts w:ascii="仿宋_GB2312" w:hAnsi="仿宋_GB2312" w:cs="仿宋_GB2312" w:eastAsia="仿宋_GB2312"/>
                      <w:sz w:val="20"/>
                      <w:color w:val="000000"/>
                    </w:rPr>
                    <w:t>、</w:t>
                  </w:r>
                  <w:r>
                    <w:rPr>
                      <w:rFonts w:ascii="仿宋_GB2312" w:hAnsi="仿宋_GB2312" w:cs="仿宋_GB2312" w:eastAsia="仿宋_GB2312"/>
                      <w:sz w:val="20"/>
                      <w:color w:val="000000"/>
                    </w:rPr>
                    <w:t>网络中断后重新恢复，设备应可续存断网过程中存储在前端设备中的录像文件，并可通过浏览器设置自动回传和手动回传</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6</w:t>
                  </w:r>
                  <w:r>
                    <w:rPr>
                      <w:rFonts w:ascii="仿宋_GB2312" w:hAnsi="仿宋_GB2312" w:cs="仿宋_GB2312" w:eastAsia="仿宋_GB2312"/>
                      <w:sz w:val="20"/>
                      <w:color w:val="000000"/>
                    </w:rPr>
                    <w:t>、</w:t>
                  </w:r>
                  <w:r>
                    <w:rPr>
                      <w:rFonts w:ascii="仿宋_GB2312" w:hAnsi="仿宋_GB2312" w:cs="仿宋_GB2312" w:eastAsia="仿宋_GB2312"/>
                      <w:sz w:val="20"/>
                      <w:color w:val="000000"/>
                    </w:rPr>
                    <w:t>应可根据当前的磁盘剩余空间，以及码流大小等信息计算出剩余存储空间可存储的录像时长</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7</w:t>
                  </w:r>
                  <w:r>
                    <w:rPr>
                      <w:rFonts w:ascii="仿宋_GB2312" w:hAnsi="仿宋_GB2312" w:cs="仿宋_GB2312" w:eastAsia="仿宋_GB2312"/>
                      <w:sz w:val="20"/>
                      <w:color w:val="000000"/>
                    </w:rPr>
                    <w:t>、</w:t>
                  </w:r>
                  <w:r>
                    <w:rPr>
                      <w:rFonts w:ascii="仿宋_GB2312" w:hAnsi="仿宋_GB2312" w:cs="仿宋_GB2312" w:eastAsia="仿宋_GB2312"/>
                      <w:sz w:val="20"/>
                      <w:color w:val="000000"/>
                    </w:rPr>
                    <w:t>应支持</w:t>
                  </w:r>
                  <w:r>
                    <w:rPr>
                      <w:rFonts w:ascii="仿宋_GB2312" w:hAnsi="仿宋_GB2312" w:cs="仿宋_GB2312" w:eastAsia="仿宋_GB2312"/>
                      <w:sz w:val="20"/>
                      <w:color w:val="000000"/>
                    </w:rPr>
                    <w:t>RAID断点续建功能，设备重启后，RAID可以按照之前的进度继续重建</w:t>
                  </w:r>
                </w:p>
                <w:p>
                  <w:pPr>
                    <w:pStyle w:val="null3"/>
                    <w:jc w:val="left"/>
                  </w:pPr>
                  <w:r>
                    <w:rPr>
                      <w:rFonts w:ascii="仿宋_GB2312" w:hAnsi="仿宋_GB2312" w:cs="仿宋_GB2312" w:eastAsia="仿宋_GB2312"/>
                      <w:sz w:val="20"/>
                      <w:color w:val="000000"/>
                    </w:rPr>
                    <w:t>18</w:t>
                  </w:r>
                  <w:r>
                    <w:rPr>
                      <w:rFonts w:ascii="仿宋_GB2312" w:hAnsi="仿宋_GB2312" w:cs="仿宋_GB2312" w:eastAsia="仿宋_GB2312"/>
                      <w:sz w:val="20"/>
                      <w:color w:val="000000"/>
                    </w:rPr>
                    <w:t>、</w:t>
                  </w:r>
                  <w:r>
                    <w:rPr>
                      <w:rFonts w:ascii="仿宋_GB2312" w:hAnsi="仿宋_GB2312" w:cs="仿宋_GB2312" w:eastAsia="仿宋_GB2312"/>
                      <w:sz w:val="20"/>
                      <w:color w:val="000000"/>
                    </w:rPr>
                    <w:t>应支持磁盘在同一设备内或两台同样配置设备间实现磁盘槽位置变更后，磁盘中数据不丢失</w:t>
                  </w:r>
                </w:p>
                <w:p>
                  <w:pPr>
                    <w:pStyle w:val="null3"/>
                    <w:jc w:val="left"/>
                  </w:pPr>
                  <w:r>
                    <w:rPr>
                      <w:rFonts w:ascii="仿宋_GB2312" w:hAnsi="仿宋_GB2312" w:cs="仿宋_GB2312" w:eastAsia="仿宋_GB2312"/>
                      <w:sz w:val="20"/>
                      <w:color w:val="000000"/>
                    </w:rPr>
                    <w:t>19</w:t>
                  </w:r>
                  <w:r>
                    <w:rPr>
                      <w:rFonts w:ascii="仿宋_GB2312" w:hAnsi="仿宋_GB2312" w:cs="仿宋_GB2312" w:eastAsia="仿宋_GB2312"/>
                      <w:sz w:val="20"/>
                      <w:color w:val="000000"/>
                    </w:rPr>
                    <w:t>、</w:t>
                  </w:r>
                  <w:r>
                    <w:rPr>
                      <w:rFonts w:ascii="仿宋_GB2312" w:hAnsi="仿宋_GB2312" w:cs="仿宋_GB2312" w:eastAsia="仿宋_GB2312"/>
                      <w:sz w:val="20"/>
                      <w:color w:val="000000"/>
                    </w:rPr>
                    <w:t>应支持磁盘热备功能，当</w:t>
                  </w:r>
                  <w:r>
                    <w:rPr>
                      <w:rFonts w:ascii="仿宋_GB2312" w:hAnsi="仿宋_GB2312" w:cs="仿宋_GB2312" w:eastAsia="仿宋_GB2312"/>
                      <w:sz w:val="20"/>
                      <w:color w:val="000000"/>
                    </w:rPr>
                    <w:t>RAID发生坏盘故障时，热备盘自动顶替坏盘，进行RAID重构，存储的数据不丢失；应支持设置全局重构、局部重构；应支持热备盘进行RAID重构时，插入一块新盘，自动设置成热备盘</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0</w:t>
                  </w:r>
                  <w:r>
                    <w:rPr>
                      <w:rFonts w:ascii="仿宋_GB2312" w:hAnsi="仿宋_GB2312" w:cs="仿宋_GB2312" w:eastAsia="仿宋_GB2312"/>
                      <w:sz w:val="20"/>
                      <w:color w:val="000000"/>
                    </w:rPr>
                    <w:t>、</w:t>
                  </w:r>
                  <w:r>
                    <w:rPr>
                      <w:rFonts w:ascii="仿宋_GB2312" w:hAnsi="仿宋_GB2312" w:cs="仿宋_GB2312" w:eastAsia="仿宋_GB2312"/>
                      <w:sz w:val="20"/>
                      <w:color w:val="000000"/>
                    </w:rPr>
                    <w:t>当</w:t>
                  </w:r>
                  <w:r>
                    <w:rPr>
                      <w:rFonts w:ascii="仿宋_GB2312" w:hAnsi="仿宋_GB2312" w:cs="仿宋_GB2312" w:eastAsia="仿宋_GB2312"/>
                      <w:sz w:val="20"/>
                      <w:color w:val="000000"/>
                    </w:rPr>
                    <w:t>RAID中</w:t>
                  </w:r>
                  <w:r>
                    <w:rPr>
                      <w:rFonts w:ascii="仿宋_GB2312" w:hAnsi="仿宋_GB2312" w:cs="仿宋_GB2312" w:eastAsia="仿宋_GB2312"/>
                      <w:sz w:val="20"/>
                      <w:color w:val="000000"/>
                    </w:rPr>
                    <w:t>如</w:t>
                  </w:r>
                  <w:r>
                    <w:rPr>
                      <w:rFonts w:ascii="仿宋_GB2312" w:hAnsi="仿宋_GB2312" w:cs="仿宋_GB2312" w:eastAsia="仿宋_GB2312"/>
                      <w:sz w:val="20"/>
                      <w:color w:val="000000"/>
                    </w:rPr>
                    <w:t>热备盘且发生磁盘损坏时，</w:t>
                  </w:r>
                  <w:r>
                    <w:rPr>
                      <w:rFonts w:ascii="仿宋_GB2312" w:hAnsi="仿宋_GB2312" w:cs="仿宋_GB2312" w:eastAsia="仿宋_GB2312"/>
                      <w:sz w:val="20"/>
                      <w:color w:val="000000"/>
                    </w:rPr>
                    <w:t>RAID应会保留逻辑损坏的硬盘，保证数据的正常读写</w:t>
                  </w:r>
                </w:p>
                <w:p>
                  <w:pPr>
                    <w:pStyle w:val="null3"/>
                    <w:jc w:val="left"/>
                  </w:pPr>
                  <w:r>
                    <w:rPr>
                      <w:rFonts w:ascii="仿宋_GB2312" w:hAnsi="仿宋_GB2312" w:cs="仿宋_GB2312" w:eastAsia="仿宋_GB2312"/>
                      <w:sz w:val="20"/>
                      <w:color w:val="000000"/>
                    </w:rPr>
                    <w:t>21</w:t>
                  </w:r>
                  <w:r>
                    <w:rPr>
                      <w:rFonts w:ascii="仿宋_GB2312" w:hAnsi="仿宋_GB2312" w:cs="仿宋_GB2312" w:eastAsia="仿宋_GB2312"/>
                      <w:sz w:val="20"/>
                      <w:color w:val="000000"/>
                    </w:rPr>
                    <w:t>、</w:t>
                  </w:r>
                  <w:r>
                    <w:rPr>
                      <w:rFonts w:ascii="仿宋_GB2312" w:hAnsi="仿宋_GB2312" w:cs="仿宋_GB2312" w:eastAsia="仿宋_GB2312"/>
                      <w:sz w:val="20"/>
                      <w:color w:val="000000"/>
                    </w:rPr>
                    <w:t>应支持自动识别磁盘的剩余空间容量，根据用户的数据存储需求，可划分多个容量不同的分区，并支持在线空间扩展、快照，不影响业务连续性</w:t>
                  </w:r>
                </w:p>
                <w:p>
                  <w:pPr>
                    <w:pStyle w:val="null3"/>
                    <w:jc w:val="left"/>
                  </w:pPr>
                  <w:r>
                    <w:rPr>
                      <w:rFonts w:ascii="仿宋_GB2312" w:hAnsi="仿宋_GB2312" w:cs="仿宋_GB2312" w:eastAsia="仿宋_GB2312"/>
                      <w:sz w:val="20"/>
                      <w:color w:val="000000"/>
                    </w:rPr>
                    <w:t>22</w:t>
                  </w:r>
                  <w:r>
                    <w:rPr>
                      <w:rFonts w:ascii="仿宋_GB2312" w:hAnsi="仿宋_GB2312" w:cs="仿宋_GB2312" w:eastAsia="仿宋_GB2312"/>
                      <w:sz w:val="20"/>
                      <w:color w:val="000000"/>
                    </w:rPr>
                    <w:t>、</w:t>
                  </w:r>
                  <w:r>
                    <w:rPr>
                      <w:rFonts w:ascii="仿宋_GB2312" w:hAnsi="仿宋_GB2312" w:cs="仿宋_GB2312" w:eastAsia="仿宋_GB2312"/>
                      <w:sz w:val="20"/>
                      <w:color w:val="000000"/>
                    </w:rPr>
                    <w:t>应支持根据环境温度自动调节风扇速度</w:t>
                  </w:r>
                </w:p>
                <w:p>
                  <w:pPr>
                    <w:pStyle w:val="null3"/>
                    <w:jc w:val="left"/>
                  </w:pPr>
                  <w:r>
                    <w:rPr>
                      <w:rFonts w:ascii="仿宋_GB2312" w:hAnsi="仿宋_GB2312" w:cs="仿宋_GB2312" w:eastAsia="仿宋_GB2312"/>
                      <w:sz w:val="20"/>
                      <w:color w:val="000000"/>
                    </w:rPr>
                    <w:t>23</w:t>
                  </w:r>
                  <w:r>
                    <w:rPr>
                      <w:rFonts w:ascii="仿宋_GB2312" w:hAnsi="仿宋_GB2312" w:cs="仿宋_GB2312" w:eastAsia="仿宋_GB2312"/>
                      <w:sz w:val="20"/>
                      <w:color w:val="000000"/>
                    </w:rPr>
                    <w:t>、</w:t>
                  </w:r>
                  <w:r>
                    <w:rPr>
                      <w:rFonts w:ascii="仿宋_GB2312" w:hAnsi="仿宋_GB2312" w:cs="仿宋_GB2312" w:eastAsia="仿宋_GB2312"/>
                      <w:sz w:val="20"/>
                      <w:color w:val="000000"/>
                    </w:rPr>
                    <w:t>应支持对历史录像进行抽帧存储，可按前端、时间及抽帧率（</w:t>
                  </w:r>
                  <w:r>
                    <w:rPr>
                      <w:rFonts w:ascii="仿宋_GB2312" w:hAnsi="仿宋_GB2312" w:cs="仿宋_GB2312" w:eastAsia="仿宋_GB2312"/>
                      <w:sz w:val="20"/>
                      <w:color w:val="000000"/>
                    </w:rPr>
                    <w:t>1/2，1/4，1/8比例和保留I帧）等不同策略抽帧，抽帧后的录像质量（清晰度）不会降低</w:t>
                  </w:r>
                </w:p>
                <w:p>
                  <w:pPr>
                    <w:pStyle w:val="null3"/>
                    <w:jc w:val="left"/>
                  </w:pPr>
                  <w:r>
                    <w:rPr>
                      <w:rFonts w:ascii="仿宋_GB2312" w:hAnsi="仿宋_GB2312" w:cs="仿宋_GB2312" w:eastAsia="仿宋_GB2312"/>
                      <w:sz w:val="20"/>
                      <w:color w:val="000000"/>
                    </w:rPr>
                    <w:t>24</w:t>
                  </w:r>
                  <w:r>
                    <w:rPr>
                      <w:rFonts w:ascii="仿宋_GB2312" w:hAnsi="仿宋_GB2312" w:cs="仿宋_GB2312" w:eastAsia="仿宋_GB2312"/>
                      <w:sz w:val="20"/>
                      <w:color w:val="000000"/>
                    </w:rPr>
                    <w:t>、</w:t>
                  </w:r>
                  <w:r>
                    <w:rPr>
                      <w:rFonts w:ascii="仿宋_GB2312" w:hAnsi="仿宋_GB2312" w:cs="仿宋_GB2312" w:eastAsia="仿宋_GB2312"/>
                      <w:sz w:val="20"/>
                      <w:color w:val="000000"/>
                    </w:rPr>
                    <w:t>应可对正在录像的视频图像或已存储的录像文件进行锁定并归档，锁定后的录像不能被覆盖，解锁后才会被覆盖</w:t>
                  </w:r>
                </w:p>
                <w:p>
                  <w:pPr>
                    <w:pStyle w:val="null3"/>
                    <w:jc w:val="left"/>
                  </w:pPr>
                  <w:r>
                    <w:rPr>
                      <w:rFonts w:ascii="仿宋_GB2312" w:hAnsi="仿宋_GB2312" w:cs="仿宋_GB2312" w:eastAsia="仿宋_GB2312"/>
                      <w:sz w:val="20"/>
                      <w:color w:val="000000"/>
                    </w:rPr>
                    <w:t>25</w:t>
                  </w:r>
                  <w:r>
                    <w:rPr>
                      <w:rFonts w:ascii="仿宋_GB2312" w:hAnsi="仿宋_GB2312" w:cs="仿宋_GB2312" w:eastAsia="仿宋_GB2312"/>
                      <w:sz w:val="20"/>
                      <w:color w:val="000000"/>
                    </w:rPr>
                    <w:t>、</w:t>
                  </w:r>
                  <w:r>
                    <w:rPr>
                      <w:rFonts w:ascii="仿宋_GB2312" w:hAnsi="仿宋_GB2312" w:cs="仿宋_GB2312" w:eastAsia="仿宋_GB2312"/>
                      <w:sz w:val="20"/>
                      <w:color w:val="000000"/>
                    </w:rPr>
                    <w:t>应可通过浏览器登录存储系统、进行视频浏览、回放、下载、秒级检索，应支持进度条拖拽播放；应支持同步</w:t>
                  </w:r>
                  <w:r>
                    <w:rPr>
                      <w:rFonts w:ascii="仿宋_GB2312" w:hAnsi="仿宋_GB2312" w:cs="仿宋_GB2312" w:eastAsia="仿宋_GB2312"/>
                      <w:sz w:val="20"/>
                      <w:color w:val="000000"/>
                    </w:rPr>
                    <w:t>/异步和倒放；应支持对同一前端不同时刻的多段录像合并下载</w:t>
                  </w:r>
                </w:p>
                <w:p>
                  <w:pPr>
                    <w:pStyle w:val="null3"/>
                    <w:jc w:val="left"/>
                  </w:pPr>
                  <w:r>
                    <w:rPr>
                      <w:rFonts w:ascii="仿宋_GB2312" w:hAnsi="仿宋_GB2312" w:cs="仿宋_GB2312" w:eastAsia="仿宋_GB2312"/>
                      <w:sz w:val="20"/>
                      <w:color w:val="000000"/>
                    </w:rPr>
                    <w:t>26</w:t>
                  </w:r>
                  <w:r>
                    <w:rPr>
                      <w:rFonts w:ascii="仿宋_GB2312" w:hAnsi="仿宋_GB2312" w:cs="仿宋_GB2312" w:eastAsia="仿宋_GB2312"/>
                      <w:sz w:val="20"/>
                      <w:color w:val="000000"/>
                    </w:rPr>
                    <w:t>、</w:t>
                  </w:r>
                  <w:r>
                    <w:rPr>
                      <w:rFonts w:ascii="仿宋_GB2312" w:hAnsi="仿宋_GB2312" w:cs="仿宋_GB2312" w:eastAsia="仿宋_GB2312"/>
                      <w:sz w:val="20"/>
                      <w:color w:val="000000"/>
                    </w:rPr>
                    <w:t>应可通过浏览器或者客户端查看网络配置情况、系统时间、硬盘状态、</w:t>
                  </w:r>
                  <w:r>
                    <w:rPr>
                      <w:rFonts w:ascii="仿宋_GB2312" w:hAnsi="仿宋_GB2312" w:cs="仿宋_GB2312" w:eastAsia="仿宋_GB2312"/>
                      <w:sz w:val="20"/>
                      <w:color w:val="000000"/>
                    </w:rPr>
                    <w:t>CPU使用率、内存使用率、RAID组工作状态、CPU温度等状态；应支持报警信息客户端弹窗提示</w:t>
                  </w:r>
                </w:p>
                <w:p>
                  <w:pPr>
                    <w:pStyle w:val="null3"/>
                    <w:jc w:val="left"/>
                  </w:pPr>
                  <w:r>
                    <w:rPr>
                      <w:rFonts w:ascii="仿宋_GB2312" w:hAnsi="仿宋_GB2312" w:cs="仿宋_GB2312" w:eastAsia="仿宋_GB2312"/>
                      <w:sz w:val="20"/>
                      <w:color w:val="000000"/>
                    </w:rPr>
                    <w:t>27</w:t>
                  </w:r>
                  <w:r>
                    <w:rPr>
                      <w:rFonts w:ascii="仿宋_GB2312" w:hAnsi="仿宋_GB2312" w:cs="仿宋_GB2312" w:eastAsia="仿宋_GB2312"/>
                      <w:sz w:val="20"/>
                      <w:color w:val="000000"/>
                    </w:rPr>
                    <w:t>、</w:t>
                  </w:r>
                  <w:r>
                    <w:rPr>
                      <w:rFonts w:ascii="仿宋_GB2312" w:hAnsi="仿宋_GB2312" w:cs="仿宋_GB2312" w:eastAsia="仿宋_GB2312"/>
                      <w:sz w:val="20"/>
                      <w:color w:val="000000"/>
                    </w:rPr>
                    <w:t>设备运行状态下，应可一键配置存储模式，自动实现</w:t>
                  </w:r>
                  <w:r>
                    <w:rPr>
                      <w:rFonts w:ascii="仿宋_GB2312" w:hAnsi="仿宋_GB2312" w:cs="仿宋_GB2312" w:eastAsia="仿宋_GB2312"/>
                      <w:sz w:val="20"/>
                      <w:color w:val="000000"/>
                    </w:rPr>
                    <w:t>RAID创建和空间划分配置</w:t>
                  </w:r>
                </w:p>
                <w:p>
                  <w:pPr>
                    <w:pStyle w:val="null3"/>
                    <w:jc w:val="left"/>
                  </w:pPr>
                  <w:r>
                    <w:rPr>
                      <w:rFonts w:ascii="仿宋_GB2312" w:hAnsi="仿宋_GB2312" w:cs="仿宋_GB2312" w:eastAsia="仿宋_GB2312"/>
                      <w:sz w:val="20"/>
                      <w:color w:val="000000"/>
                    </w:rPr>
                    <w:t>28</w:t>
                  </w:r>
                  <w:r>
                    <w:rPr>
                      <w:rFonts w:ascii="仿宋_GB2312" w:hAnsi="仿宋_GB2312" w:cs="仿宋_GB2312" w:eastAsia="仿宋_GB2312"/>
                      <w:sz w:val="20"/>
                      <w:color w:val="000000"/>
                    </w:rPr>
                    <w:t>、</w:t>
                  </w:r>
                  <w:r>
                    <w:rPr>
                      <w:rFonts w:ascii="仿宋_GB2312" w:hAnsi="仿宋_GB2312" w:cs="仿宋_GB2312" w:eastAsia="仿宋_GB2312"/>
                      <w:sz w:val="20"/>
                      <w:color w:val="000000"/>
                    </w:rPr>
                    <w:t>应支持在线获取磁盘日志，在线分析磁盘故障</w:t>
                  </w:r>
                </w:p>
                <w:p>
                  <w:pPr>
                    <w:pStyle w:val="null3"/>
                    <w:jc w:val="left"/>
                  </w:pPr>
                  <w:r>
                    <w:rPr>
                      <w:rFonts w:ascii="仿宋_GB2312" w:hAnsi="仿宋_GB2312" w:cs="仿宋_GB2312" w:eastAsia="仿宋_GB2312"/>
                      <w:sz w:val="20"/>
                      <w:color w:val="000000"/>
                    </w:rPr>
                    <w:t>29</w:t>
                  </w:r>
                  <w:r>
                    <w:rPr>
                      <w:rFonts w:ascii="仿宋_GB2312" w:hAnsi="仿宋_GB2312" w:cs="仿宋_GB2312" w:eastAsia="仿宋_GB2312"/>
                      <w:sz w:val="20"/>
                      <w:color w:val="000000"/>
                    </w:rPr>
                    <w:t>、</w:t>
                  </w:r>
                  <w:r>
                    <w:rPr>
                      <w:rFonts w:ascii="仿宋_GB2312" w:hAnsi="仿宋_GB2312" w:cs="仿宋_GB2312" w:eastAsia="仿宋_GB2312"/>
                      <w:sz w:val="20"/>
                      <w:color w:val="000000"/>
                    </w:rPr>
                    <w:t>应支持设备启动时磁盘按顺序上电，实现交错启动</w:t>
                  </w:r>
                </w:p>
                <w:p>
                  <w:pPr>
                    <w:pStyle w:val="null3"/>
                    <w:jc w:val="left"/>
                  </w:pPr>
                  <w:r>
                    <w:rPr>
                      <w:rFonts w:ascii="仿宋_GB2312" w:hAnsi="仿宋_GB2312" w:cs="仿宋_GB2312" w:eastAsia="仿宋_GB2312"/>
                      <w:sz w:val="20"/>
                      <w:color w:val="000000"/>
                    </w:rPr>
                    <w:t>30</w:t>
                  </w:r>
                  <w:r>
                    <w:rPr>
                      <w:rFonts w:ascii="仿宋_GB2312" w:hAnsi="仿宋_GB2312" w:cs="仿宋_GB2312" w:eastAsia="仿宋_GB2312"/>
                      <w:sz w:val="20"/>
                      <w:color w:val="000000"/>
                    </w:rPr>
                    <w:t>、</w:t>
                  </w:r>
                  <w:r>
                    <w:rPr>
                      <w:rFonts w:ascii="仿宋_GB2312" w:hAnsi="仿宋_GB2312" w:cs="仿宋_GB2312" w:eastAsia="仿宋_GB2312"/>
                      <w:sz w:val="20"/>
                      <w:color w:val="000000"/>
                    </w:rPr>
                    <w:t>应支持对录像的某个时间点进行添加标签，并支持查询标签</w:t>
                  </w:r>
                </w:p>
                <w:p>
                  <w:pPr>
                    <w:pStyle w:val="null3"/>
                    <w:jc w:val="left"/>
                  </w:pPr>
                  <w:r>
                    <w:rPr>
                      <w:rFonts w:ascii="仿宋_GB2312" w:hAnsi="仿宋_GB2312" w:cs="仿宋_GB2312" w:eastAsia="仿宋_GB2312"/>
                      <w:sz w:val="20"/>
                      <w:color w:val="000000"/>
                    </w:rPr>
                    <w:t>31</w:t>
                  </w:r>
                  <w:r>
                    <w:rPr>
                      <w:rFonts w:ascii="仿宋_GB2312" w:hAnsi="仿宋_GB2312" w:cs="仿宋_GB2312" w:eastAsia="仿宋_GB2312"/>
                      <w:sz w:val="20"/>
                      <w:color w:val="000000"/>
                    </w:rPr>
                    <w:t>、</w:t>
                  </w:r>
                  <w:r>
                    <w:rPr>
                      <w:rFonts w:ascii="仿宋_GB2312" w:hAnsi="仿宋_GB2312" w:cs="仿宋_GB2312" w:eastAsia="仿宋_GB2312"/>
                      <w:sz w:val="20"/>
                      <w:color w:val="000000"/>
                    </w:rPr>
                    <w:t>应支持接入设备的网络设备列表的</w:t>
                  </w:r>
                  <w:r>
                    <w:rPr>
                      <w:rFonts w:ascii="仿宋_GB2312" w:hAnsi="仿宋_GB2312" w:cs="仿宋_GB2312" w:eastAsia="仿宋_GB2312"/>
                      <w:sz w:val="20"/>
                      <w:color w:val="000000"/>
                    </w:rPr>
                    <w:t>IP地址、端口号等信息以excel形式进行导入导出</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32</w:t>
                  </w:r>
                  <w:r>
                    <w:rPr>
                      <w:rFonts w:ascii="仿宋_GB2312" w:hAnsi="仿宋_GB2312" w:cs="仿宋_GB2312" w:eastAsia="仿宋_GB2312"/>
                      <w:sz w:val="20"/>
                      <w:color w:val="000000"/>
                    </w:rPr>
                    <w:t>、</w:t>
                  </w:r>
                  <w:r>
                    <w:rPr>
                      <w:rFonts w:ascii="仿宋_GB2312" w:hAnsi="仿宋_GB2312" w:cs="仿宋_GB2312" w:eastAsia="仿宋_GB2312"/>
                      <w:sz w:val="20"/>
                      <w:color w:val="000000"/>
                    </w:rPr>
                    <w:t>应支持双电源冗余供电</w:t>
                  </w:r>
                  <w:r>
                    <w:rPr>
                      <w:rFonts w:ascii="仿宋_GB2312" w:hAnsi="仿宋_GB2312" w:cs="仿宋_GB2312" w:eastAsia="仿宋_GB2312"/>
                      <w:sz w:val="20"/>
                      <w:color w:val="000000"/>
                    </w:rPr>
                    <w:t>（提供相关证明但不限于检测报告，并加盖公章。例如：检测报告、制造厂商检验报告、产品彩页、官网及功能截图任意一种证明材料均可）</w:t>
                  </w:r>
                </w:p>
                <w:p>
                  <w:pPr>
                    <w:pStyle w:val="null3"/>
                    <w:jc w:val="left"/>
                  </w:pPr>
                  <w:r>
                    <w:rPr>
                      <w:rFonts w:ascii="仿宋_GB2312" w:hAnsi="仿宋_GB2312" w:cs="仿宋_GB2312" w:eastAsia="仿宋_GB2312"/>
                      <w:sz w:val="20"/>
                      <w:color w:val="000000"/>
                    </w:rPr>
                    <w:t>33</w:t>
                  </w:r>
                  <w:r>
                    <w:rPr>
                      <w:rFonts w:ascii="仿宋_GB2312" w:hAnsi="仿宋_GB2312" w:cs="仿宋_GB2312" w:eastAsia="仿宋_GB2312"/>
                      <w:sz w:val="20"/>
                      <w:color w:val="000000"/>
                    </w:rPr>
                    <w:t>、</w:t>
                  </w:r>
                  <w:r>
                    <w:rPr>
                      <w:rFonts w:ascii="仿宋_GB2312" w:hAnsi="仿宋_GB2312" w:cs="仿宋_GB2312" w:eastAsia="仿宋_GB2312"/>
                      <w:sz w:val="20"/>
                      <w:color w:val="000000"/>
                    </w:rPr>
                    <w:t>可在</w:t>
                  </w:r>
                  <w:r>
                    <w:rPr>
                      <w:rFonts w:ascii="仿宋_GB2312" w:hAnsi="仿宋_GB2312" w:cs="仿宋_GB2312" w:eastAsia="仿宋_GB2312"/>
                      <w:sz w:val="20"/>
                      <w:color w:val="000000"/>
                    </w:rPr>
                    <w:t>5℃~+40℃内正常工作</w:t>
                  </w:r>
                </w:p>
                <w:p>
                  <w:pPr>
                    <w:pStyle w:val="null3"/>
                    <w:jc w:val="left"/>
                  </w:pP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可视化综合算法管控通道系统</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1、视频子系统支持</w:t>
                  </w:r>
                  <w:r>
                    <w:rPr>
                      <w:rFonts w:ascii="仿宋_GB2312" w:hAnsi="仿宋_GB2312" w:cs="仿宋_GB2312" w:eastAsia="仿宋_GB2312"/>
                      <w:sz w:val="20"/>
                    </w:rPr>
                    <w:t>≥1500</w:t>
                  </w:r>
                  <w:r>
                    <w:rPr>
                      <w:rFonts w:ascii="仿宋_GB2312" w:hAnsi="仿宋_GB2312" w:cs="仿宋_GB2312" w:eastAsia="仿宋_GB2312"/>
                      <w:sz w:val="20"/>
                    </w:rPr>
                    <w:t>路视频通道接入</w:t>
                  </w:r>
                  <w:r>
                    <w:rPr>
                      <w:rFonts w:ascii="仿宋_GB2312" w:hAnsi="仿宋_GB2312" w:cs="仿宋_GB2312" w:eastAsia="仿宋_GB2312"/>
                      <w:sz w:val="20"/>
                    </w:rPr>
                    <w:t>和管理</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color w:val="000000"/>
                    </w:rPr>
                    <w:t>2、视频级联管理支持管理5个上级、99个下级；</w:t>
                  </w:r>
                </w:p>
                <w:p>
                  <w:pPr>
                    <w:pStyle w:val="null3"/>
                    <w:jc w:val="left"/>
                  </w:pPr>
                  <w:r>
                    <w:rPr>
                      <w:rFonts w:ascii="仿宋_GB2312" w:hAnsi="仿宋_GB2312" w:cs="仿宋_GB2312" w:eastAsia="仿宋_GB2312"/>
                      <w:sz w:val="20"/>
                      <w:color w:val="000000"/>
                    </w:rPr>
                    <w:t>3、实时视频最大支持64画面分割，录像回放支持36路画面；</w:t>
                  </w:r>
                </w:p>
                <w:p>
                  <w:pPr>
                    <w:pStyle w:val="null3"/>
                    <w:jc w:val="left"/>
                  </w:pPr>
                  <w:r>
                    <w:rPr>
                      <w:rFonts w:ascii="仿宋_GB2312" w:hAnsi="仿宋_GB2312" w:cs="仿宋_GB2312" w:eastAsia="仿宋_GB2312"/>
                      <w:sz w:val="20"/>
                      <w:color w:val="000000"/>
                    </w:rPr>
                    <w:t>4、最大电视墙上墙路数200路；</w:t>
                  </w:r>
                </w:p>
                <w:p>
                  <w:pPr>
                    <w:pStyle w:val="null3"/>
                    <w:jc w:val="left"/>
                  </w:pPr>
                  <w:r>
                    <w:rPr>
                      <w:rFonts w:ascii="仿宋_GB2312" w:hAnsi="仿宋_GB2312" w:cs="仿宋_GB2312" w:eastAsia="仿宋_GB2312"/>
                      <w:sz w:val="20"/>
                      <w:color w:val="000000"/>
                    </w:rPr>
                    <w:t>5、最大同时录像下载任务个数5个；</w:t>
                  </w:r>
                </w:p>
                <w:p>
                  <w:pPr>
                    <w:pStyle w:val="null3"/>
                    <w:jc w:val="left"/>
                  </w:pPr>
                  <w:r>
                    <w:rPr>
                      <w:rFonts w:ascii="仿宋_GB2312" w:hAnsi="仿宋_GB2312" w:cs="仿宋_GB2312" w:eastAsia="仿宋_GB2312"/>
                      <w:sz w:val="20"/>
                      <w:color w:val="000000"/>
                    </w:rPr>
                    <w:t>6、采用弹性可扩展的架构，安全可控，根据实际需求叠加业务系统；</w:t>
                  </w:r>
                </w:p>
                <w:p>
                  <w:pPr>
                    <w:pStyle w:val="null3"/>
                    <w:jc w:val="left"/>
                  </w:pPr>
                  <w:r>
                    <w:rPr>
                      <w:rFonts w:ascii="仿宋_GB2312" w:hAnsi="仿宋_GB2312" w:cs="仿宋_GB2312" w:eastAsia="仿宋_GB2312"/>
                      <w:sz w:val="20"/>
                      <w:color w:val="000000"/>
                    </w:rPr>
                    <w:t>7、支持系统管理，角色管理、用户管理、组织管理、院区楼栋设置、人员管理、设备管理、卡片管理、车辆管理、日志管理；</w:t>
                  </w:r>
                </w:p>
                <w:p>
                  <w:pPr>
                    <w:pStyle w:val="null3"/>
                    <w:jc w:val="left"/>
                  </w:pPr>
                  <w:r>
                    <w:rPr>
                      <w:rFonts w:ascii="仿宋_GB2312" w:hAnsi="仿宋_GB2312" w:cs="仿宋_GB2312" w:eastAsia="仿宋_GB2312"/>
                      <w:sz w:val="20"/>
                      <w:color w:val="000000"/>
                    </w:rPr>
                    <w:t>8、支持资源绑定，可将指定设备和通道绑定业务相关业务资源，并配置录制计划、补录计划、盘组配置、存储配置；</w:t>
                  </w:r>
                </w:p>
                <w:p>
                  <w:pPr>
                    <w:pStyle w:val="null3"/>
                    <w:jc w:val="left"/>
                  </w:pPr>
                  <w:r>
                    <w:rPr>
                      <w:rFonts w:ascii="仿宋_GB2312" w:hAnsi="仿宋_GB2312" w:cs="仿宋_GB2312" w:eastAsia="仿宋_GB2312"/>
                      <w:sz w:val="20"/>
                      <w:color w:val="000000"/>
                    </w:rPr>
                    <w:t>9、支持视频上墙查看；</w:t>
                  </w:r>
                </w:p>
                <w:p>
                  <w:pPr>
                    <w:pStyle w:val="null3"/>
                    <w:jc w:val="left"/>
                  </w:pPr>
                  <w:r>
                    <w:rPr>
                      <w:rFonts w:ascii="仿宋_GB2312" w:hAnsi="仿宋_GB2312" w:cs="仿宋_GB2312" w:eastAsia="仿宋_GB2312"/>
                      <w:sz w:val="20"/>
                      <w:color w:val="000000"/>
                    </w:rPr>
                    <w:t>10、支持电子地图；</w:t>
                  </w:r>
                </w:p>
                <w:p>
                  <w:pPr>
                    <w:pStyle w:val="null3"/>
                    <w:jc w:val="left"/>
                  </w:pPr>
                  <w:r>
                    <w:rPr>
                      <w:rFonts w:ascii="仿宋_GB2312" w:hAnsi="仿宋_GB2312" w:cs="仿宋_GB2312" w:eastAsia="仿宋_GB2312"/>
                      <w:sz w:val="20"/>
                      <w:color w:val="000000"/>
                    </w:rPr>
                    <w:t>11、支持为报警事件配置联动动作，包括：联动录像、邮件、短信及新增子系统支持的联动动作（视频弹窗、门禁、抓图、云台等）；</w:t>
                  </w:r>
                </w:p>
                <w:p>
                  <w:pPr>
                    <w:pStyle w:val="null3"/>
                    <w:jc w:val="left"/>
                  </w:pPr>
                  <w:r>
                    <w:rPr>
                      <w:rFonts w:ascii="仿宋_GB2312" w:hAnsi="仿宋_GB2312" w:cs="仿宋_GB2312" w:eastAsia="仿宋_GB2312"/>
                      <w:sz w:val="20"/>
                      <w:color w:val="000000"/>
                    </w:rPr>
                    <w:t>12、支持设置报警风暴间隔、报警等级、是否保存、是否启用；</w:t>
                  </w:r>
                </w:p>
                <w:p>
                  <w:pPr>
                    <w:pStyle w:val="null3"/>
                    <w:jc w:val="left"/>
                  </w:pPr>
                  <w:r>
                    <w:rPr>
                      <w:rFonts w:ascii="仿宋_GB2312" w:hAnsi="仿宋_GB2312" w:cs="仿宋_GB2312" w:eastAsia="仿宋_GB2312"/>
                      <w:sz w:val="20"/>
                      <w:color w:val="000000"/>
                    </w:rPr>
                    <w:t>13、支持平台上下级联，可查看下级平台的状态和级联网络拓扑结构，可进行数据推送控制；</w:t>
                  </w:r>
                </w:p>
                <w:p>
                  <w:pPr>
                    <w:pStyle w:val="null3"/>
                    <w:jc w:val="left"/>
                  </w:pPr>
                  <w:r>
                    <w:rPr>
                      <w:rFonts w:ascii="仿宋_GB2312" w:hAnsi="仿宋_GB2312" w:cs="仿宋_GB2312" w:eastAsia="仿宋_GB2312"/>
                      <w:sz w:val="20"/>
                      <w:color w:val="000000"/>
                    </w:rPr>
                    <w:t>14、支持门禁控制，授权下发等业务；</w:t>
                  </w:r>
                </w:p>
                <w:p>
                  <w:pPr>
                    <w:pStyle w:val="null3"/>
                    <w:jc w:val="left"/>
                  </w:pPr>
                  <w:r>
                    <w:rPr>
                      <w:rFonts w:ascii="仿宋_GB2312" w:hAnsi="仿宋_GB2312" w:cs="仿宋_GB2312" w:eastAsia="仿宋_GB2312"/>
                      <w:sz w:val="20"/>
                      <w:color w:val="000000"/>
                    </w:rPr>
                    <w:t>15、支持停车场场区管理、地图向导、二维码、收缴费等业务，支持车辆进出记录、过车记录等查询；</w:t>
                  </w:r>
                </w:p>
                <w:p>
                  <w:pPr>
                    <w:pStyle w:val="null3"/>
                    <w:jc w:val="left"/>
                  </w:pPr>
                  <w:r>
                    <w:rPr>
                      <w:rFonts w:ascii="仿宋_GB2312" w:hAnsi="仿宋_GB2312" w:cs="仿宋_GB2312" w:eastAsia="仿宋_GB2312"/>
                      <w:sz w:val="20"/>
                      <w:color w:val="000000"/>
                    </w:rPr>
                    <w:t>16、支持设备运维，对设备/通道/服务器进行资源监控，支持视频质量巡检、录像质量巡检；</w:t>
                  </w:r>
                </w:p>
                <w:p>
                  <w:pPr>
                    <w:pStyle w:val="null3"/>
                    <w:jc w:val="left"/>
                  </w:pPr>
                  <w:r>
                    <w:rPr>
                      <w:rFonts w:ascii="仿宋_GB2312" w:hAnsi="仿宋_GB2312" w:cs="仿宋_GB2312" w:eastAsia="仿宋_GB2312"/>
                      <w:sz w:val="20"/>
                      <w:color w:val="000000"/>
                    </w:rPr>
                    <w:t>17、支持人脸布控、黑名单布控、人脸检测等，支持以图搜图、人脸轨迹；</w:t>
                  </w:r>
                </w:p>
                <w:p>
                  <w:pPr>
                    <w:pStyle w:val="null3"/>
                    <w:jc w:val="left"/>
                  </w:pPr>
                  <w:r>
                    <w:rPr>
                      <w:rFonts w:ascii="仿宋_GB2312" w:hAnsi="仿宋_GB2312" w:cs="仿宋_GB2312" w:eastAsia="仿宋_GB2312"/>
                      <w:sz w:val="20"/>
                      <w:color w:val="000000"/>
                    </w:rPr>
                    <w:t>18、支持访客、消费、巡更、动环、可视对讲等业务加载管理；</w:t>
                  </w:r>
                </w:p>
                <w:p>
                  <w:pPr>
                    <w:pStyle w:val="null3"/>
                    <w:jc w:val="left"/>
                  </w:pPr>
                  <w:r>
                    <w:rPr>
                      <w:rFonts w:ascii="仿宋_GB2312" w:hAnsi="仿宋_GB2312" w:cs="仿宋_GB2312" w:eastAsia="仿宋_GB2312"/>
                      <w:sz w:val="20"/>
                      <w:color w:val="000000"/>
                    </w:rPr>
                    <w:t>19、支持病人与陪护管理，对患者、医护、陪护人员的通行权限控制；</w:t>
                  </w:r>
                </w:p>
                <w:p>
                  <w:pPr>
                    <w:pStyle w:val="null3"/>
                    <w:jc w:val="left"/>
                  </w:pPr>
                  <w:r>
                    <w:rPr>
                      <w:rFonts w:ascii="仿宋_GB2312" w:hAnsi="仿宋_GB2312" w:cs="仿宋_GB2312" w:eastAsia="仿宋_GB2312"/>
                      <w:sz w:val="20"/>
                      <w:color w:val="000000"/>
                    </w:rPr>
                    <w:t>20、支持数字病房、医护对讲、护士站信息化、隔离管控、生命体征监测等业务的加载管理；</w:t>
                  </w:r>
                </w:p>
                <w:p>
                  <w:pPr>
                    <w:pStyle w:val="null3"/>
                    <w:jc w:val="left"/>
                  </w:pPr>
                  <w:r>
                    <w:rPr>
                      <w:rFonts w:ascii="仿宋_GB2312" w:hAnsi="仿宋_GB2312" w:cs="仿宋_GB2312" w:eastAsia="仿宋_GB2312"/>
                      <w:sz w:val="20"/>
                      <w:color w:val="000000"/>
                    </w:rPr>
                    <w:t>21、支持医院可视化、后勤管理可视化、隔离管控可视化等数据魔墙的加载管理</w:t>
                  </w:r>
                  <w:r>
                    <w:rPr>
                      <w:rFonts w:ascii="仿宋_GB2312" w:hAnsi="仿宋_GB2312" w:cs="仿宋_GB2312" w:eastAsia="仿宋_GB2312"/>
                      <w:sz w:val="20"/>
                      <w:color w:val="000000"/>
                    </w:rPr>
                    <w:t>。</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可视化综合管理设备运维系统</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1、平台架构：服务端+C/S(客户端）+B/S(WEB)架构；</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、实时报警：自定义报警策略，</w:t>
                  </w:r>
                  <w:r>
                    <w:rPr>
                      <w:rFonts w:ascii="仿宋_GB2312" w:hAnsi="仿宋_GB2312" w:cs="仿宋_GB2312" w:eastAsia="仿宋_GB2312"/>
                      <w:sz w:val="20"/>
                      <w:color w:val="000000"/>
                    </w:rPr>
                    <w:t>20种报警信息分级分类展示，接收前端报警信息并通过系统消息、邮件、短信推送；</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w:t>
                  </w:r>
                  <w:r>
                    <w:rPr>
                      <w:rFonts w:ascii="仿宋_GB2312" w:hAnsi="仿宋_GB2312" w:cs="仿宋_GB2312" w:eastAsia="仿宋_GB2312"/>
                      <w:sz w:val="20"/>
                      <w:color w:val="000000"/>
                    </w:rPr>
                    <w:t>▲纯国产化软件,操作系统:系统软件支持在麒麟、统信、操作系统中运行，</w:t>
                  </w:r>
                  <w:r>
                    <w:rPr>
                      <w:rFonts w:ascii="仿宋_GB2312" w:hAnsi="仿宋_GB2312" w:cs="仿宋_GB2312" w:eastAsia="仿宋_GB2312"/>
                      <w:sz w:val="20"/>
                      <w:color w:val="000000"/>
                    </w:rPr>
                    <w:t>响应</w:t>
                  </w:r>
                  <w:r>
                    <w:rPr>
                      <w:rFonts w:ascii="仿宋_GB2312" w:hAnsi="仿宋_GB2312" w:cs="仿宋_GB2312" w:eastAsia="仿宋_GB2312"/>
                      <w:sz w:val="20"/>
                      <w:color w:val="000000"/>
                    </w:rPr>
                    <w:t>时请提供适配认证证明材料；系统支持达梦、金仓数据库</w:t>
                  </w:r>
                  <w:r>
                    <w:rPr>
                      <w:rFonts w:ascii="仿宋_GB2312" w:hAnsi="仿宋_GB2312" w:cs="仿宋_GB2312" w:eastAsia="仿宋_GB2312"/>
                      <w:sz w:val="20"/>
                      <w:color w:val="000000"/>
                    </w:rPr>
                    <w:t>；（提供但不限于检测报告，并加盖公章。例如：检测报告、制造厂商检验报告、产品彩页、官网及功能截图任意一种证明材料均可）</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、内置</w:t>
                  </w:r>
                  <w:r>
                    <w:rPr>
                      <w:rFonts w:ascii="仿宋_GB2312" w:hAnsi="仿宋_GB2312" w:cs="仿宋_GB2312" w:eastAsia="仿宋_GB2312"/>
                      <w:sz w:val="20"/>
                      <w:color w:val="000000"/>
                    </w:rPr>
                    <w:t>web服务：设备内置web服务器，支持通过浏览器直接访问设备，对设备进行参数设置，设备控制，实时数据查看等功能；</w:t>
                  </w:r>
                </w:p>
                <w:p>
                  <w:pPr>
                    <w:pStyle w:val="null3"/>
                    <w:jc w:val="left"/>
                  </w:pPr>
                  <w:r>
                    <w:rPr>
                      <w:rFonts w:ascii="仿宋_GB2312" w:hAnsi="仿宋_GB2312" w:cs="仿宋_GB2312" w:eastAsia="仿宋_GB2312"/>
                      <w:sz w:val="20"/>
                      <w:color w:val="000000"/>
                    </w:rPr>
                    <w:t>5</w:t>
                  </w:r>
                  <w:r>
                    <w:rPr>
                      <w:rFonts w:ascii="仿宋_GB2312" w:hAnsi="仿宋_GB2312" w:cs="仿宋_GB2312" w:eastAsia="仿宋_GB2312"/>
                      <w:sz w:val="20"/>
                      <w:color w:val="000000"/>
                    </w:rPr>
                    <w:t>、多维故障管理：</w:t>
                  </w:r>
                  <w:r>
                    <w:rPr>
                      <w:rFonts w:ascii="仿宋_GB2312" w:hAnsi="仿宋_GB2312" w:cs="仿宋_GB2312" w:eastAsia="仿宋_GB2312"/>
                      <w:sz w:val="20"/>
                      <w:color w:val="000000"/>
                    </w:rPr>
                    <w:t>24小时不间断对前端设备进行智能监测与诊断，经平台智能分析确认发生异常时，直接定位异常点、提供解决预案并以多种方式（电话/短信/多媒体/邮件/微信/移动终端推送等）通知相应维护人员；</w:t>
                  </w:r>
                </w:p>
                <w:p>
                  <w:pPr>
                    <w:pStyle w:val="null3"/>
                    <w:jc w:val="left"/>
                  </w:pPr>
                  <w:r>
                    <w:rPr>
                      <w:rFonts w:ascii="仿宋_GB2312" w:hAnsi="仿宋_GB2312" w:cs="仿宋_GB2312" w:eastAsia="仿宋_GB2312"/>
                      <w:sz w:val="20"/>
                      <w:color w:val="000000"/>
                    </w:rPr>
                    <w:t>6</w:t>
                  </w:r>
                  <w:r>
                    <w:rPr>
                      <w:rFonts w:ascii="仿宋_GB2312" w:hAnsi="仿宋_GB2312" w:cs="仿宋_GB2312" w:eastAsia="仿宋_GB2312"/>
                      <w:sz w:val="20"/>
                      <w:color w:val="000000"/>
                    </w:rPr>
                    <w:t>、派单系统：内置派单模块，实时呈现工单处理进度、处理时长以及异常工单状况；</w:t>
                  </w:r>
                </w:p>
                <w:p>
                  <w:pPr>
                    <w:pStyle w:val="null3"/>
                    <w:jc w:val="left"/>
                  </w:pPr>
                  <w:r>
                    <w:rPr>
                      <w:rFonts w:ascii="仿宋_GB2312" w:hAnsi="仿宋_GB2312" w:cs="仿宋_GB2312" w:eastAsia="仿宋_GB2312"/>
                      <w:sz w:val="20"/>
                      <w:color w:val="000000"/>
                    </w:rPr>
                    <w:t>7</w:t>
                  </w:r>
                  <w:r>
                    <w:rPr>
                      <w:rFonts w:ascii="仿宋_GB2312" w:hAnsi="仿宋_GB2312" w:cs="仿宋_GB2312" w:eastAsia="仿宋_GB2312"/>
                      <w:sz w:val="20"/>
                      <w:color w:val="000000"/>
                    </w:rPr>
                    <w:t>、大数据分析：内置多元算法，能以毫秒级的速度对多网点设备与数据进行收集、筛选和统计，并以图文报表的方式进行数据呈现或报表推送；</w:t>
                  </w:r>
                </w:p>
                <w:p>
                  <w:pPr>
                    <w:pStyle w:val="null3"/>
                    <w:jc w:val="left"/>
                  </w:pPr>
                  <w:r>
                    <w:rPr>
                      <w:rFonts w:ascii="仿宋_GB2312" w:hAnsi="仿宋_GB2312" w:cs="仿宋_GB2312" w:eastAsia="仿宋_GB2312"/>
                      <w:sz w:val="20"/>
                      <w:color w:val="000000"/>
                    </w:rPr>
                    <w:t>8</w:t>
                  </w:r>
                  <w:r>
                    <w:rPr>
                      <w:rFonts w:ascii="仿宋_GB2312" w:hAnsi="仿宋_GB2312" w:cs="仿宋_GB2312" w:eastAsia="仿宋_GB2312"/>
                      <w:sz w:val="20"/>
                      <w:color w:val="000000"/>
                    </w:rPr>
                    <w:t>、</w:t>
                  </w:r>
                  <w:r>
                    <w:rPr>
                      <w:rFonts w:ascii="仿宋_GB2312" w:hAnsi="仿宋_GB2312" w:cs="仿宋_GB2312" w:eastAsia="仿宋_GB2312"/>
                      <w:sz w:val="20"/>
                      <w:color w:val="000000"/>
                    </w:rPr>
                    <w:t>▲GIS地图：支持设备箱的GIS定点显示，支持标点悬停箱体监测信息呈现；</w:t>
                  </w:r>
                  <w:r>
                    <w:rPr>
                      <w:rFonts w:ascii="仿宋_GB2312" w:hAnsi="仿宋_GB2312" w:cs="仿宋_GB2312" w:eastAsia="仿宋_GB2312"/>
                      <w:sz w:val="20"/>
                      <w:color w:val="000000"/>
                    </w:rPr>
                    <w:t>（提供但不限于检测报告，并加盖公章，例如：检测报告、制造厂商检验报告、产品彩页、官网及功能截图任意一种证明材料均可）</w:t>
                  </w:r>
                </w:p>
                <w:p>
                  <w:pPr>
                    <w:pStyle w:val="null3"/>
                    <w:jc w:val="left"/>
                  </w:pPr>
                  <w:r>
                    <w:rPr>
                      <w:rFonts w:ascii="仿宋_GB2312" w:hAnsi="仿宋_GB2312" w:cs="仿宋_GB2312" w:eastAsia="仿宋_GB2312"/>
                      <w:sz w:val="20"/>
                      <w:color w:val="000000"/>
                    </w:rPr>
                    <w:t>9</w:t>
                  </w:r>
                  <w:r>
                    <w:rPr>
                      <w:rFonts w:ascii="仿宋_GB2312" w:hAnsi="仿宋_GB2312" w:cs="仿宋_GB2312" w:eastAsia="仿宋_GB2312"/>
                      <w:sz w:val="20"/>
                      <w:color w:val="000000"/>
                    </w:rPr>
                    <w:t>、资产管理：支持对运行系统的硬件设施进行统一的资产管理，包括录入、导出、监测、盘点以及异常报警等功能；</w:t>
                  </w:r>
                </w:p>
                <w:p>
                  <w:pPr>
                    <w:pStyle w:val="null3"/>
                    <w:jc w:val="left"/>
                  </w:pPr>
                  <w:r>
                    <w:rPr>
                      <w:rFonts w:ascii="仿宋_GB2312" w:hAnsi="仿宋_GB2312" w:cs="仿宋_GB2312" w:eastAsia="仿宋_GB2312"/>
                      <w:sz w:val="20"/>
                      <w:color w:val="000000"/>
                    </w:rPr>
                    <w:t>10</w:t>
                  </w:r>
                  <w:r>
                    <w:rPr>
                      <w:rFonts w:ascii="仿宋_GB2312" w:hAnsi="仿宋_GB2312" w:cs="仿宋_GB2312" w:eastAsia="仿宋_GB2312"/>
                      <w:sz w:val="20"/>
                      <w:color w:val="000000"/>
                    </w:rPr>
                    <w:t>、日志系统：管理平台具备详细的日志记录功能；对每个用户的登录日志（登录</w:t>
                  </w:r>
                  <w:r>
                    <w:rPr>
                      <w:rFonts w:ascii="仿宋_GB2312" w:hAnsi="仿宋_GB2312" w:cs="仿宋_GB2312" w:eastAsia="仿宋_GB2312"/>
                      <w:sz w:val="20"/>
                      <w:color w:val="000000"/>
                    </w:rPr>
                    <w:t>IP、登录详细时间）、操作日志（查看、控制等的详细信息）、查询日志（数据查询、报警查询、资产查询等）进行详细的记录，方便后期的运行维护；具备详细的报警日志记录功能，对所有报警事件、产生时间、结束时间、报警确认与反确认等详细信息进行记录；所有的日志信息均需具备自定义导出和打印功能；</w:t>
                  </w:r>
                </w:p>
                <w:p>
                  <w:pPr>
                    <w:pStyle w:val="null3"/>
                    <w:jc w:val="left"/>
                  </w:pPr>
                  <w:r>
                    <w:rPr>
                      <w:rFonts w:ascii="仿宋_GB2312" w:hAnsi="仿宋_GB2312" w:cs="仿宋_GB2312" w:eastAsia="仿宋_GB2312"/>
                      <w:sz w:val="20"/>
                      <w:color w:val="000000"/>
                    </w:rPr>
                    <w:t>11</w:t>
                  </w:r>
                  <w:r>
                    <w:rPr>
                      <w:rFonts w:ascii="仿宋_GB2312" w:hAnsi="仿宋_GB2312" w:cs="仿宋_GB2312" w:eastAsia="仿宋_GB2312"/>
                      <w:sz w:val="20"/>
                      <w:color w:val="000000"/>
                    </w:rPr>
                    <w:t>、报警方式：支持电话、短信、声光、邮件、微信、手机</w:t>
                  </w:r>
                  <w:r>
                    <w:rPr>
                      <w:rFonts w:ascii="仿宋_GB2312" w:hAnsi="仿宋_GB2312" w:cs="仿宋_GB2312" w:eastAsia="仿宋_GB2312"/>
                      <w:sz w:val="20"/>
                      <w:color w:val="000000"/>
                    </w:rPr>
                    <w:t>APP等报警功能；</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2</w:t>
                  </w:r>
                  <w:r>
                    <w:rPr>
                      <w:rFonts w:ascii="仿宋_GB2312" w:hAnsi="仿宋_GB2312" w:cs="仿宋_GB2312" w:eastAsia="仿宋_GB2312"/>
                      <w:sz w:val="20"/>
                      <w:color w:val="000000"/>
                    </w:rPr>
                    <w:t>、报警管理：支持分权限管理；可区分多级报警，如紧急、严重、主要、次要、一般报警的基本区分；在监控中心可以以不同颜色和声音对报警事件进行区分；</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3</w:t>
                  </w:r>
                  <w:r>
                    <w:rPr>
                      <w:rFonts w:ascii="仿宋_GB2312" w:hAnsi="仿宋_GB2312" w:cs="仿宋_GB2312" w:eastAsia="仿宋_GB2312"/>
                      <w:sz w:val="20"/>
                      <w:color w:val="000000"/>
                    </w:rPr>
                    <w:t>、联动策略：支持策略联动的自定义编辑；支持数值越限联动策略；</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4</w:t>
                  </w:r>
                  <w:r>
                    <w:rPr>
                      <w:rFonts w:ascii="仿宋_GB2312" w:hAnsi="仿宋_GB2312" w:cs="仿宋_GB2312" w:eastAsia="仿宋_GB2312"/>
                      <w:sz w:val="20"/>
                      <w:color w:val="000000"/>
                    </w:rPr>
                    <w:t>、支持数值差限联动策略；支持多种逻辑组合的联动策略</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5</w:t>
                  </w:r>
                  <w:r>
                    <w:rPr>
                      <w:rFonts w:ascii="仿宋_GB2312" w:hAnsi="仿宋_GB2312" w:cs="仿宋_GB2312" w:eastAsia="仿宋_GB2312"/>
                      <w:sz w:val="20"/>
                      <w:color w:val="000000"/>
                    </w:rPr>
                    <w:t>、多参数对比分析：平台软件的数据查询可同时支持对多个数据量的查询和比较；支持通过数据表格和曲线多种方式展示出来；支持自定义数据测点与时间段。</w:t>
                  </w:r>
                </w:p>
                <w:p>
                  <w:pPr>
                    <w:pStyle w:val="null3"/>
                    <w:jc w:val="left"/>
                  </w:pPr>
                  <w:r>
                    <w:rPr>
                      <w:rFonts w:ascii="仿宋_GB2312" w:hAnsi="仿宋_GB2312" w:cs="仿宋_GB2312" w:eastAsia="仿宋_GB2312"/>
                      <w:sz w:val="20"/>
                      <w:color w:val="000000"/>
                    </w:rPr>
                    <w:t>16、满足1500路以上接入管理需要。</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现有线路基础维护标准</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1、线路类型：网络线路安防监控系统，能承载高清、智能数据传输，分为有线数字线路（如超五类网线、六类网线常用于百兆、千兆网络传输，光纤用于远距离、高速率传输）与无线数字线路（WiFi、4G/5G 等，方便灵活部署但受环境干扰较大）。需根据监控场景、距离、带宽需求等选择合适的线路类型。</w:t>
                  </w:r>
                </w:p>
                <w:p>
                  <w:pPr>
                    <w:pStyle w:val="null3"/>
                    <w:jc w:val="left"/>
                  </w:pPr>
                  <w:r>
                    <w:rPr>
                      <w:rFonts w:ascii="仿宋_GB2312" w:hAnsi="仿宋_GB2312" w:cs="仿宋_GB2312" w:eastAsia="仿宋_GB2312"/>
                      <w:sz w:val="20"/>
                      <w:color w:val="000000"/>
                    </w:rPr>
                    <w:t>2、线路长度（m）：精确测量从信号源（如摄像机、服务器等）到终端接收设备（如监控主机、显示屏）的线缆铺设长度，楼内部全部用六类网线，超过一定长度需考虑加中继器等设备补偿信号，记录时要包含主干线与分支线长度总和。</w:t>
                  </w:r>
                </w:p>
                <w:p>
                  <w:pPr>
                    <w:pStyle w:val="null3"/>
                    <w:jc w:val="left"/>
                  </w:pPr>
                  <w:r>
                    <w:rPr>
                      <w:rFonts w:ascii="仿宋_GB2312" w:hAnsi="仿宋_GB2312" w:cs="仿宋_GB2312" w:eastAsia="仿宋_GB2312"/>
                      <w:sz w:val="20"/>
                      <w:color w:val="000000"/>
                    </w:rPr>
                    <w:t>3、线缆规格：六类网线性能更优，带宽可达 250Mbps 甚至更高，满足高清、多路监控数据传输。</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现有电力供应维护标准</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1、供电电压（V）：监控设备供电有多种方式，常见如集中式 12V 直流供电，适用于小型室内监控系统；POE（Power Over Ethernet）供电利用网线同时传输数据与电力，标准为 48V 直流，能简化布线，部分大功率设备可能需独立 220V 交流供电再转换，记录实际供电电压值确保与设备额定匹配，防止设备损坏。</w:t>
                  </w:r>
                </w:p>
                <w:p>
                  <w:pPr>
                    <w:pStyle w:val="null3"/>
                    <w:jc w:val="left"/>
                  </w:pPr>
                  <w:r>
                    <w:rPr>
                      <w:rFonts w:ascii="仿宋_GB2312" w:hAnsi="仿宋_GB2312" w:cs="仿宋_GB2312" w:eastAsia="仿宋_GB2312"/>
                      <w:sz w:val="20"/>
                      <w:color w:val="000000"/>
                    </w:rPr>
                    <w:t>2、电流（A）：运行电流大小依据设备功率计算，如普通网络摄像机功率 3 - 5W，电流约 0.25 - 0.42A（12V 供电），设备开启瞬间可能有峰值电流，线路供电设计要考虑裕量，保证稳定供电，避免线路过载发热引发故障。</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现有摄像机维修改造标准</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保证</w:t>
                  </w:r>
                  <w:r>
                    <w:rPr>
                      <w:rFonts w:ascii="仿宋_GB2312" w:hAnsi="仿宋_GB2312" w:cs="仿宋_GB2312" w:eastAsia="仿宋_GB2312"/>
                      <w:sz w:val="20"/>
                      <w:color w:val="000000"/>
                    </w:rPr>
                    <w:t>≥</w:t>
                  </w:r>
                  <w:r>
                    <w:rPr>
                      <w:rFonts w:ascii="仿宋_GB2312" w:hAnsi="仿宋_GB2312" w:cs="仿宋_GB2312" w:eastAsia="仿宋_GB2312"/>
                      <w:sz w:val="20"/>
                      <w:color w:val="000000"/>
                    </w:rPr>
                    <w:t>985路视频监控正常运行（其中半球相机800个，枪机相机170个，球机15个），目前损坏约合计370个。（品牌包含大华、英飞拓、天地伟业）</w:t>
                  </w:r>
                </w:p>
                <w:p>
                  <w:pPr>
                    <w:pStyle w:val="null3"/>
                    <w:jc w:val="left"/>
                  </w:pPr>
                  <w:r>
                    <w:rPr>
                      <w:rFonts w:ascii="仿宋_GB2312" w:hAnsi="仿宋_GB2312" w:cs="仿宋_GB2312" w:eastAsia="仿宋_GB2312"/>
                      <w:sz w:val="20"/>
                      <w:color w:val="000000"/>
                    </w:rPr>
                    <w:t>1、更换或维修摄像机：若摄像机老化、性能不达标需更换，若出现以下无画面卡顿、摄像机图像黑屏、图像出现斜纹、水波纹、横线、图像时有时无、红外摄像机夜间无图像、无法远程访问、画面不清晰、频繁死机</w:t>
                  </w:r>
                  <w:r>
                    <w:rPr>
                      <w:rFonts w:ascii="仿宋_GB2312" w:hAnsi="仿宋_GB2312" w:cs="仿宋_GB2312" w:eastAsia="仿宋_GB2312"/>
                      <w:sz w:val="20"/>
                      <w:color w:val="000000"/>
                    </w:rPr>
                    <w:t>，</w:t>
                  </w:r>
                  <w:r>
                    <w:rPr>
                      <w:rFonts w:ascii="仿宋_GB2312" w:hAnsi="仿宋_GB2312" w:cs="仿宋_GB2312" w:eastAsia="仿宋_GB2312"/>
                      <w:sz w:val="20"/>
                      <w:color w:val="000000"/>
                    </w:rPr>
                    <w:t>需保证维修线路完整性与信号传输质量。</w:t>
                  </w:r>
                </w:p>
                <w:p>
                  <w:pPr>
                    <w:pStyle w:val="null3"/>
                    <w:jc w:val="left"/>
                  </w:pPr>
                  <w:r>
                    <w:rPr>
                      <w:rFonts w:ascii="仿宋_GB2312" w:hAnsi="仿宋_GB2312" w:cs="仿宋_GB2312" w:eastAsia="仿宋_GB2312"/>
                      <w:sz w:val="20"/>
                      <w:color w:val="000000"/>
                    </w:rPr>
                    <w:t>2、新增设备名称：为优化网络管理、流量分配</w:t>
                  </w:r>
                  <w:r>
                    <w:rPr>
                      <w:rFonts w:ascii="仿宋_GB2312" w:hAnsi="仿宋_GB2312" w:cs="仿宋_GB2312" w:eastAsia="仿宋_GB2312"/>
                      <w:sz w:val="20"/>
                      <w:color w:val="000000"/>
                    </w:rPr>
                    <w:t>按勘察实际情况</w:t>
                  </w:r>
                  <w:r>
                    <w:rPr>
                      <w:rFonts w:ascii="仿宋_GB2312" w:hAnsi="仿宋_GB2312" w:cs="仿宋_GB2312" w:eastAsia="仿宋_GB2312"/>
                      <w:sz w:val="20"/>
                      <w:color w:val="000000"/>
                    </w:rPr>
                    <w:t>增设交换机，智能监控升级引入视频服务器、存储阵列等，功能特性适配监控系统。</w:t>
                  </w:r>
                </w:p>
                <w:p>
                  <w:pPr>
                    <w:pStyle w:val="null3"/>
                    <w:jc w:val="left"/>
                  </w:pPr>
                  <w:r>
                    <w:rPr>
                      <w:rFonts w:ascii="仿宋_GB2312" w:hAnsi="仿宋_GB2312" w:cs="仿宋_GB2312" w:eastAsia="仿宋_GB2312"/>
                      <w:sz w:val="20"/>
                      <w:color w:val="000000"/>
                    </w:rPr>
                    <w:t>3、调整参数值：</w:t>
                  </w:r>
                </w:p>
                <w:p>
                  <w:pPr>
                    <w:pStyle w:val="null3"/>
                    <w:jc w:val="left"/>
                  </w:pPr>
                  <w:r>
                    <w:rPr>
                      <w:rFonts w:ascii="仿宋_GB2312" w:hAnsi="仿宋_GB2312" w:cs="仿宋_GB2312" w:eastAsia="仿宋_GB2312"/>
                      <w:sz w:val="20"/>
                      <w:color w:val="000000"/>
                    </w:rPr>
                    <w:t>网络设备调整端口速率、双工模式，路由器优化路由表、</w:t>
                  </w:r>
                  <w:r>
                    <w:rPr>
                      <w:rFonts w:ascii="仿宋_GB2312" w:hAnsi="仿宋_GB2312" w:cs="仿宋_GB2312" w:eastAsia="仿宋_GB2312"/>
                      <w:sz w:val="20"/>
                      <w:color w:val="000000"/>
                    </w:rPr>
                    <w:t>QoS 策略保障监控数据优先传输，记录具体调整量以便后续运维参考。</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需派驻场工程师1名服务期一年。</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满足项目实施需求；需满足≥985路监控正常运行，约370路监控的更换或维修所产生的一切费用均由乙方承担。</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自项目验收合格之日起一年。 1：维保期≥1年 2：需派驻场工程师1名，随时维修服务 3：维保期内服务响应7×24小时 4：培训要求：验收前对甲方人员进行系统培训维保期内每月对甲方人员进行培训。 5：工期 合同签订后30天 6: 实勘后提供详细的维修维保方案。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符合采购人要求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项目安装维修验收合格后，乙方出具全额发票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服务期满后，甲方验收合格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（一）甲乙双方必须遵守本合同并执行合同中的各项规定，保证本合同的正常履行。 （二）如因乙方工作人员在履行职务过程中的疏忽、失职、过错等故意或者过失原因给甲方造成损失或侵害，包括但不限于甲方本身的财产损失、由此而导致的甲方对任何第三方的法律责任等，乙方对此均应承担全部的赔偿责任。 本合同在履行过程中发生的争议，由甲、乙双方当事人协商解决，协商不成的按下列第（二）种方式解决： （一）提交西安仲裁委员会仲裁； （二）依法向甲方所在地人民法院起诉。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本项目采购标的所属行业为软件和信息技术服务业。(按照《工信部国家统计局发改委财政部工信部联企业》中小企业划型标准((2011)300号)规定：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2024年度完整的财务报告（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w:t>
            </w:r>
          </w:p>
        </w:tc>
        <w:tc>
          <w:tcPr>
            <w:tcW w:type="dxa" w:w="3322"/>
          </w:tcPr>
          <w:p>
            <w:pPr>
              <w:pStyle w:val="null3"/>
            </w:pPr>
            <w:r>
              <w:rPr>
                <w:rFonts w:ascii="仿宋_GB2312" w:hAnsi="仿宋_GB2312" w:cs="仿宋_GB2312" w:eastAsia="仿宋_GB2312"/>
              </w:rPr>
              <w:t>具有独立承担民事责任能力的法人或其他组织，提供有效存续的营业执照或事业单位法人证书或非企业专业服务机构执业许可证或民办非企业单位登记证书或自然人的身份证明；</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2024年度完整的财务报告（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提供已缴纳的2024年3月起任意一个月的纳税证明或完税证明，纳税证明或完税证明上应有代收机构或税务机关的公章或业务专用章。依法免税的供应商应提供相关文件证明；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具有履行合同所必需的设备和专业技术能力的承诺</w:t>
            </w:r>
          </w:p>
        </w:tc>
        <w:tc>
          <w:tcPr>
            <w:tcW w:type="dxa" w:w="3322"/>
          </w:tcPr>
          <w:p>
            <w:pPr>
              <w:pStyle w:val="null3"/>
            </w:pPr>
            <w:r>
              <w:rPr>
                <w:rFonts w:ascii="仿宋_GB2312" w:hAnsi="仿宋_GB2312" w:cs="仿宋_GB2312" w:eastAsia="仿宋_GB2312"/>
              </w:rPr>
              <w:t>供应商须提供具有履行合同所必需的设备和专业技术能力的承诺；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提供已缴纳的2024年3月起任意一个月的纳税证明或完税证明，纳税证明或完税证明上应有代收机构或税务机关的公章或业务专用章。依法免税的供应商应提供相关文件证明；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三年内无重大违法记录声明</w:t>
            </w:r>
          </w:p>
        </w:tc>
        <w:tc>
          <w:tcPr>
            <w:tcW w:type="dxa" w:w="3322"/>
          </w:tcPr>
          <w:p>
            <w:pPr>
              <w:pStyle w:val="null3"/>
            </w:pPr>
            <w:r>
              <w:rPr>
                <w:rFonts w:ascii="仿宋_GB2312" w:hAnsi="仿宋_GB2312" w:cs="仿宋_GB2312" w:eastAsia="仿宋_GB2312"/>
              </w:rPr>
              <w:t>出具参加本次政府采购活动前三年内在经营活动中没有重大违法记录的书面声明；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法定代表人参加磋商的提供法定代表人身份证明及身份证，委托代理人参加磋商的提供授权委托书及委托代理人身份证；自然人只需提供身份证；备注：分支机构由分支机构负责人授权即可；</w:t>
            </w:r>
          </w:p>
        </w:tc>
        <w:tc>
          <w:tcPr>
            <w:tcW w:type="dxa" w:w="1661"/>
          </w:tcPr>
          <w:p>
            <w:pPr>
              <w:pStyle w:val="null3"/>
            </w:pPr>
            <w:r>
              <w:rPr>
                <w:rFonts w:ascii="仿宋_GB2312" w:hAnsi="仿宋_GB2312" w:cs="仿宋_GB2312" w:eastAsia="仿宋_GB2312"/>
              </w:rPr>
              <w:t>供应商应提交的相关资格证明材料 法定代表人身份证明与法定代表人授权书.docx 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采购人职工及其配偶、直系亲属投资开办或在相关企业担任高管、独立董事等有重大利益关系职务的相关供应商，不得参与磋商（提供承诺函）；</w:t>
            </w:r>
          </w:p>
        </w:tc>
        <w:tc>
          <w:tcPr>
            <w:tcW w:type="dxa" w:w="1661"/>
          </w:tcPr>
          <w:p>
            <w:pPr>
              <w:pStyle w:val="null3"/>
            </w:pPr>
            <w:r>
              <w:rPr>
                <w:rFonts w:ascii="仿宋_GB2312" w:hAnsi="仿宋_GB2312" w:cs="仿宋_GB2312" w:eastAsia="仿宋_GB2312"/>
              </w:rPr>
              <w:t>供应商应提交的相关资格证明材料 资格证明文件.docx 投标人承诺书.docx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信用信息查询</w:t>
            </w:r>
          </w:p>
        </w:tc>
        <w:tc>
          <w:tcPr>
            <w:tcW w:type="dxa" w:w="3322"/>
          </w:tcPr>
          <w:p>
            <w:pPr>
              <w:pStyle w:val="null3"/>
            </w:pPr>
            <w:r>
              <w:rPr>
                <w:rFonts w:ascii="仿宋_GB2312" w:hAnsi="仿宋_GB2312" w:cs="仿宋_GB2312" w:eastAsia="仿宋_GB2312"/>
              </w:rPr>
              <w:t>供应商不得为“信用中国”网站（www.creditchina.gov.cn）中列入失信被执行人（页面跳转至“中国执行信息公开网”http://zxgk.court.gov.cn/shixin/）和重大税收违法失信主体的供应商，不得为中国政府采购网（www.ccgp.gov.cn）政府采购严重违法失信行为记录名单中被财政部门禁止参加政府采购活动的供应商；以开标后代理公司网站查询结果为准；</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本项目不接受联合体磋商（提供书面声明材料）。</w:t>
            </w:r>
          </w:p>
        </w:tc>
        <w:tc>
          <w:tcPr>
            <w:tcW w:type="dxa" w:w="1661"/>
          </w:tcPr>
          <w:p>
            <w:pPr>
              <w:pStyle w:val="null3"/>
            </w:pPr>
            <w:r>
              <w:rPr>
                <w:rFonts w:ascii="仿宋_GB2312" w:hAnsi="仿宋_GB2312" w:cs="仿宋_GB2312" w:eastAsia="仿宋_GB2312"/>
              </w:rPr>
              <w:t>供应商应提交的相关资格证明材料 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响应文件的完整性</w:t>
            </w:r>
          </w:p>
        </w:tc>
        <w:tc>
          <w:tcPr>
            <w:tcW w:type="dxa" w:w="3322"/>
          </w:tcPr>
          <w:p>
            <w:pPr>
              <w:pStyle w:val="null3"/>
            </w:pPr>
            <w:r>
              <w:rPr>
                <w:rFonts w:ascii="仿宋_GB2312" w:hAnsi="仿宋_GB2312" w:cs="仿宋_GB2312" w:eastAsia="仿宋_GB2312"/>
              </w:rPr>
              <w:t>按要求编制</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资格证明文件.docx 响应文件封面 技术偏离表.docx 残疾人福利性单位声明函 服务方案 标的清单 法定代表人身份证明与法定代表人授权书.docx 响应函 投标人承诺书.docx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响应文件的有效性</w:t>
            </w:r>
          </w:p>
        </w:tc>
        <w:tc>
          <w:tcPr>
            <w:tcW w:type="dxa" w:w="3322"/>
          </w:tcPr>
          <w:p>
            <w:pPr>
              <w:pStyle w:val="null3"/>
            </w:pPr>
            <w:r>
              <w:rPr>
                <w:rFonts w:ascii="仿宋_GB2312" w:hAnsi="仿宋_GB2312" w:cs="仿宋_GB2312" w:eastAsia="仿宋_GB2312"/>
              </w:rPr>
              <w:t>按要求签署盖章</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资格证明文件.docx 响应文件封面 技术偏离表.docx 残疾人福利性单位声明函 服务方案 标的清单 法定代表人身份证明与法定代表人授权书.docx 响应函 投标人承诺书.docx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响应文件的响应性</w:t>
            </w:r>
          </w:p>
        </w:tc>
        <w:tc>
          <w:tcPr>
            <w:tcW w:type="dxa" w:w="3322"/>
          </w:tcPr>
          <w:p>
            <w:pPr>
              <w:pStyle w:val="null3"/>
            </w:pPr>
            <w:r>
              <w:rPr>
                <w:rFonts w:ascii="仿宋_GB2312" w:hAnsi="仿宋_GB2312" w:cs="仿宋_GB2312" w:eastAsia="仿宋_GB2312"/>
              </w:rPr>
              <w:t>实质上响应磋商文件，磋商文件允许偏离的除外</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资格证明文件.docx 响应文件封面 技术偏离表.docx 残疾人福利性单位声明函 服务方案 标的清单 法定代表人身份证明与法定代表人授权书.docx 响应函 投标人承诺书.docx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磋商报价是否超过最高限价</w:t>
            </w:r>
          </w:p>
        </w:tc>
        <w:tc>
          <w:tcPr>
            <w:tcW w:type="dxa" w:w="3322"/>
          </w:tcPr>
          <w:p>
            <w:pPr>
              <w:pStyle w:val="null3"/>
            </w:pPr>
            <w:r>
              <w:rPr>
                <w:rFonts w:ascii="仿宋_GB2312" w:hAnsi="仿宋_GB2312" w:cs="仿宋_GB2312" w:eastAsia="仿宋_GB2312"/>
              </w:rPr>
              <w:t>磋商报价不得超过最高限价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完整响应磋商文件合同条款</w:t>
            </w:r>
          </w:p>
        </w:tc>
        <w:tc>
          <w:tcPr>
            <w:tcW w:type="dxa" w:w="1661"/>
          </w:tcPr>
          <w:p>
            <w:pPr>
              <w:pStyle w:val="null3"/>
            </w:pPr>
            <w:r>
              <w:rPr>
                <w:rFonts w:ascii="仿宋_GB2312" w:hAnsi="仿宋_GB2312" w:cs="仿宋_GB2312" w:eastAsia="仿宋_GB2312"/>
              </w:rPr>
              <w:t>服务内容及服务邀请应答表 商务应答表 服务方案</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社保证明</w:t>
            </w:r>
          </w:p>
        </w:tc>
        <w:tc>
          <w:tcPr>
            <w:tcW w:type="dxa" w:w="3322"/>
          </w:tcPr>
          <w:p>
            <w:pPr>
              <w:pStyle w:val="null3"/>
            </w:pPr>
            <w:r>
              <w:rPr>
                <w:rFonts w:ascii="仿宋_GB2312" w:hAnsi="仿宋_GB2312" w:cs="仿宋_GB2312" w:eastAsia="仿宋_GB2312"/>
              </w:rPr>
              <w:t>投标人代表或法定代表人本人提供近三个月社保证明资料</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详细评审80.0000分</w:t>
            </w:r>
          </w:p>
          <w:p>
            <w:pPr>
              <w:pStyle w:val="null3"/>
            </w:pPr>
            <w:r>
              <w:rPr>
                <w:rFonts w:ascii="仿宋_GB2312" w:hAnsi="仿宋_GB2312" w:cs="仿宋_GB2312" w:eastAsia="仿宋_GB2312"/>
              </w:rPr>
              <w:t>报价得分20.0000分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技术参数清楚、明确，完全满足采购要求得10分。 带“▲”参数为重要指标项，每有一项负偏离的扣 2分；其它项为一般指标项，每有一项负偏离扣1 分。扣完为止。 (“▲”项为重要参数需提供相应的证明材料，包括但不限于产品彩页、检测报告、官网和功能截图等技术支持性文件等资料，如未提供相应的证明材料，证明材料缺失视为负偏离。)</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技术偏离表.docx</w:t>
            </w:r>
          </w:p>
        </w:tc>
      </w:tr>
      <w:tr>
        <w:tc>
          <w:tcPr>
            <w:tcW w:type="dxa" w:w="831"/>
            <w:vMerge/>
          </w:tcP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评审内容：供应商针对本项目提出具体的服务方案，方案内容包含：①服务内容分析及理解；②维保服务流程设计；③总体服务计划；④重难点分析；⑤信息保密措施；⑥巡检方案。评审标准：方案各部分内容全面详细、阐述条理清晰详尽、符合本项目采购需求，能保障本项目实施得17分；评审内容第①②③⑤⑥项每缺一项扣3分，评审内容有缺陷未完全响应评审标准的扣0.5-2.5分； 评审内容第④项每缺一项扣2分，评审内容有缺陷未完全响应评审标准的扣0.5-1.5分。(“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17.0000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评审内容：供应商针对本项目提出具体的服务保障措施，内容包含：①项目管理方案；②项目进度控制方案；③质量控制方案；④质量保证措施⑤服务承诺。 评审标准:方案各部分内容全面详细、阐述条理清晰详尽、符合本项目采购需求得15分，评审内容每缺一项扣3分，评审内容有缺陷未完全响应评审标准的扣0.5-2.5分。(“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应急措施方案</w:t>
            </w:r>
          </w:p>
        </w:tc>
        <w:tc>
          <w:tcPr>
            <w:tcW w:type="dxa" w:w="2492"/>
          </w:tcPr>
          <w:p>
            <w:pPr>
              <w:pStyle w:val="null3"/>
            </w:pPr>
            <w:r>
              <w:rPr>
                <w:rFonts w:ascii="仿宋_GB2312" w:hAnsi="仿宋_GB2312" w:cs="仿宋_GB2312" w:eastAsia="仿宋_GB2312"/>
              </w:rPr>
              <w:t>评审内容：供应商针对本项目提出具体的应急磋商方案，内容包含：①特殊紧急情况时限响应方案；②有特殊的应急服务方案及处理补救措施。 评审标准:方案各部分内容全面详细、阐述条理清晰详尽、符合本项目采购需求得8分，评审内容每缺一项扣4分，评审内容有缺陷未完全响应评审标准的扣0.5-3.5分。(“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服务人员</w:t>
            </w:r>
          </w:p>
        </w:tc>
        <w:tc>
          <w:tcPr>
            <w:tcW w:type="dxa" w:w="2492"/>
          </w:tcPr>
          <w:p>
            <w:pPr>
              <w:pStyle w:val="null3"/>
            </w:pPr>
            <w:r>
              <w:rPr>
                <w:rFonts w:ascii="仿宋_GB2312" w:hAnsi="仿宋_GB2312" w:cs="仿宋_GB2312" w:eastAsia="仿宋_GB2312"/>
              </w:rPr>
              <w:t>评审内容：①人员配备方案及人员保障措施②拟配备人员年龄、经验、资格/职称等。 评审标准:方案各部分内容全面详细、阐述条理清晰详尽、符合本项目采购需求得10分，评审内容每缺一项扣5分，评审内容有缺陷未完全响应评审标准的扣0.5-4.5分。(“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售后及培训</w:t>
            </w:r>
          </w:p>
        </w:tc>
        <w:tc>
          <w:tcPr>
            <w:tcW w:type="dxa" w:w="2492"/>
          </w:tcPr>
          <w:p>
            <w:pPr>
              <w:pStyle w:val="null3"/>
            </w:pPr>
            <w:r>
              <w:rPr>
                <w:rFonts w:ascii="仿宋_GB2312" w:hAnsi="仿宋_GB2312" w:cs="仿宋_GB2312" w:eastAsia="仿宋_GB2312"/>
              </w:rPr>
              <w:t>评审内容：供应商针对本项目提出具体的售后及培训方案，内容包含：①售后服务机构信息及售后人员；②技术指导及培训方案。 评审标准:方案各部分内容全面详细、阐述条理清晰详尽、符合本项目采购需求得10分，评审内容每缺一项扣5分，评审内容有缺陷未完全响应评审标准的扣0.5-4.5分。(“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提供供应商2022年1月1日至今类似业绩合同（以合同签订时间为准），每提供一份得5分，最高得10分，未提供不得分。 评审标准：提供完整合同复印件加盖供应商公章。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满足磋商文件要求的有效磋商报价的最小值为评审基准价，其价格分为满分。其他响应供应商的价格分统一按照下列公式计算：磋商报价得分=（评审基准价／磋商报价）×价格权值×100。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详见附件：法定代表人身份证明与法定代表人授权书.docx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详见附件：投标人承诺书.docx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