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2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技术偏离表</w:t>
      </w:r>
      <w:bookmarkStart w:id="0" w:name="_GoBack"/>
      <w:bookmarkEnd w:id="0"/>
    </w:p>
    <w:p w14:paraId="32FA93E1">
      <w:pPr>
        <w:spacing w:line="360" w:lineRule="auto"/>
        <w:ind w:left="1532" w:hanging="1313" w:hangingChars="545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请填写采购项目名称</w:t>
      </w:r>
      <w:r>
        <w:rPr>
          <w:rFonts w:hint="eastAsia"/>
          <w:sz w:val="24"/>
          <w:szCs w:val="24"/>
        </w:rPr>
        <w:t>}</w:t>
      </w:r>
    </w:p>
    <w:p w14:paraId="1759719F">
      <w:pPr>
        <w:spacing w:line="360" w:lineRule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</w:t>
      </w:r>
    </w:p>
    <w:tbl>
      <w:tblPr>
        <w:tblStyle w:val="4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899"/>
        <w:gridCol w:w="1714"/>
        <w:gridCol w:w="2167"/>
        <w:gridCol w:w="2167"/>
      </w:tblGrid>
      <w:tr w14:paraId="37214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71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899" w:type="dxa"/>
            <w:vAlign w:val="center"/>
          </w:tcPr>
          <w:p w14:paraId="10EECF9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标的名称</w:t>
            </w:r>
          </w:p>
        </w:tc>
        <w:tc>
          <w:tcPr>
            <w:tcW w:w="1714" w:type="dxa"/>
            <w:vAlign w:val="center"/>
          </w:tcPr>
          <w:p w14:paraId="349FA7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/>
                <w:sz w:val="24"/>
                <w:szCs w:val="24"/>
              </w:rPr>
              <w:t>文件要求</w:t>
            </w:r>
          </w:p>
        </w:tc>
        <w:tc>
          <w:tcPr>
            <w:tcW w:w="2167" w:type="dxa"/>
            <w:vAlign w:val="center"/>
          </w:tcPr>
          <w:p w14:paraId="6BDB88CF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产品技术参数</w:t>
            </w:r>
          </w:p>
        </w:tc>
        <w:tc>
          <w:tcPr>
            <w:tcW w:w="2167" w:type="dxa"/>
            <w:vAlign w:val="center"/>
          </w:tcPr>
          <w:p w14:paraId="3457F909">
            <w:pPr>
              <w:spacing w:line="360" w:lineRule="auto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偏离情况</w:t>
            </w:r>
          </w:p>
        </w:tc>
      </w:tr>
      <w:tr w14:paraId="3F0A4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71" w:type="dxa"/>
          </w:tcPr>
          <w:p w14:paraId="3A0EA33D">
            <w:pPr>
              <w:spacing w:line="360" w:lineRule="auto"/>
              <w:ind w:firstLine="470" w:firstLineChars="196"/>
              <w:rPr>
                <w:sz w:val="24"/>
                <w:szCs w:val="24"/>
              </w:rPr>
            </w:pPr>
          </w:p>
        </w:tc>
        <w:tc>
          <w:tcPr>
            <w:tcW w:w="1899" w:type="dxa"/>
          </w:tcPr>
          <w:p w14:paraId="5E991E25">
            <w:pPr>
              <w:spacing w:line="360" w:lineRule="auto"/>
              <w:ind w:firstLine="470" w:firstLineChars="196"/>
              <w:rPr>
                <w:sz w:val="24"/>
                <w:szCs w:val="24"/>
              </w:rPr>
            </w:pPr>
          </w:p>
        </w:tc>
        <w:tc>
          <w:tcPr>
            <w:tcW w:w="1714" w:type="dxa"/>
          </w:tcPr>
          <w:p w14:paraId="33265A1E">
            <w:pPr>
              <w:spacing w:line="360" w:lineRule="auto"/>
              <w:ind w:firstLine="470" w:firstLineChars="196"/>
              <w:rPr>
                <w:sz w:val="24"/>
                <w:szCs w:val="24"/>
              </w:rPr>
            </w:pPr>
          </w:p>
        </w:tc>
        <w:tc>
          <w:tcPr>
            <w:tcW w:w="2167" w:type="dxa"/>
          </w:tcPr>
          <w:p w14:paraId="615C0138">
            <w:pPr>
              <w:spacing w:line="360" w:lineRule="auto"/>
              <w:ind w:firstLine="470" w:firstLineChars="196"/>
              <w:rPr>
                <w:sz w:val="24"/>
                <w:szCs w:val="24"/>
              </w:rPr>
            </w:pPr>
          </w:p>
        </w:tc>
        <w:tc>
          <w:tcPr>
            <w:tcW w:w="2167" w:type="dxa"/>
          </w:tcPr>
          <w:p w14:paraId="7954082C">
            <w:pPr>
              <w:spacing w:line="360" w:lineRule="auto"/>
              <w:ind w:firstLine="470" w:firstLineChars="196"/>
              <w:rPr>
                <w:sz w:val="24"/>
                <w:szCs w:val="24"/>
              </w:rPr>
            </w:pPr>
          </w:p>
        </w:tc>
      </w:tr>
      <w:tr w14:paraId="1EAE1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71" w:type="dxa"/>
          </w:tcPr>
          <w:p w14:paraId="3A1AFC28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899" w:type="dxa"/>
          </w:tcPr>
          <w:p w14:paraId="38484F8A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14" w:type="dxa"/>
          </w:tcPr>
          <w:p w14:paraId="49204623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2167" w:type="dxa"/>
          </w:tcPr>
          <w:p w14:paraId="762F80DB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2167" w:type="dxa"/>
          </w:tcPr>
          <w:p w14:paraId="5FBA2EAA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 w14:paraId="5A161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71" w:type="dxa"/>
          </w:tcPr>
          <w:p w14:paraId="248698D4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899" w:type="dxa"/>
          </w:tcPr>
          <w:p w14:paraId="5AA1BCB4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14" w:type="dxa"/>
          </w:tcPr>
          <w:p w14:paraId="09D12E5E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2167" w:type="dxa"/>
          </w:tcPr>
          <w:p w14:paraId="38EC91FB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2167" w:type="dxa"/>
          </w:tcPr>
          <w:p w14:paraId="4F325B1B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 w14:paraId="21A0A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71" w:type="dxa"/>
          </w:tcPr>
          <w:p w14:paraId="038138B7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899" w:type="dxa"/>
          </w:tcPr>
          <w:p w14:paraId="0F697B68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14" w:type="dxa"/>
          </w:tcPr>
          <w:p w14:paraId="5CAFFDBA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2167" w:type="dxa"/>
          </w:tcPr>
          <w:p w14:paraId="66A5A435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2167" w:type="dxa"/>
          </w:tcPr>
          <w:p w14:paraId="1A2CDC09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 w14:paraId="0A6EB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71" w:type="dxa"/>
          </w:tcPr>
          <w:p w14:paraId="46B983B1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899" w:type="dxa"/>
          </w:tcPr>
          <w:p w14:paraId="55FDF497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14" w:type="dxa"/>
          </w:tcPr>
          <w:p w14:paraId="0A9D3627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2167" w:type="dxa"/>
          </w:tcPr>
          <w:p w14:paraId="4C331BDB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2167" w:type="dxa"/>
          </w:tcPr>
          <w:p w14:paraId="713332BB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 w14:paraId="502AA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71" w:type="dxa"/>
          </w:tcPr>
          <w:p w14:paraId="783DF48A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899" w:type="dxa"/>
          </w:tcPr>
          <w:p w14:paraId="7BDB4E83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14" w:type="dxa"/>
          </w:tcPr>
          <w:p w14:paraId="275FE583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2167" w:type="dxa"/>
          </w:tcPr>
          <w:p w14:paraId="24F4980D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2167" w:type="dxa"/>
          </w:tcPr>
          <w:p w14:paraId="2E4E5588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 w14:paraId="062EC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71" w:type="dxa"/>
          </w:tcPr>
          <w:p w14:paraId="1E7EA2FC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899" w:type="dxa"/>
          </w:tcPr>
          <w:p w14:paraId="7B3F5298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14" w:type="dxa"/>
          </w:tcPr>
          <w:p w14:paraId="47508223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2167" w:type="dxa"/>
          </w:tcPr>
          <w:p w14:paraId="769D485C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2167" w:type="dxa"/>
          </w:tcPr>
          <w:p w14:paraId="2BE411AD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>1.以上表格格式行、列可增减。</w:t>
      </w:r>
    </w:p>
    <w:p w14:paraId="114B3AB5"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  <w:lang w:val="en-US" w:eastAsia="zh-CN"/>
        </w:rPr>
        <w:t>供应商</w:t>
      </w:r>
      <w:r>
        <w:rPr>
          <w:sz w:val="24"/>
          <w:szCs w:val="24"/>
        </w:rPr>
        <w:t>根据采购项目的全部技术参数逐条填写此表，并按</w:t>
      </w:r>
      <w:r>
        <w:rPr>
          <w:rFonts w:hint="eastAsia"/>
          <w:sz w:val="24"/>
          <w:szCs w:val="24"/>
          <w:lang w:val="en-US" w:eastAsia="zh-CN"/>
        </w:rPr>
        <w:t>磋商</w:t>
      </w:r>
      <w:r>
        <w:rPr>
          <w:sz w:val="24"/>
          <w:szCs w:val="24"/>
        </w:rPr>
        <w:t>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BF711B"/>
    <w:multiLevelType w:val="multilevel"/>
    <w:tmpl w:val="4CBF711B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  <w:sz w:val="32"/>
        <w:szCs w:val="32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  <w:sz w:val="32"/>
        <w:szCs w:val="32"/>
      </w:rPr>
    </w:lvl>
    <w:lvl w:ilvl="2" w:tentative="0">
      <w:start w:val="1"/>
      <w:numFmt w:val="decimal"/>
      <w:pStyle w:val="2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D1A6F"/>
    <w:rsid w:val="623D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2025-03-17T08:31:00Z</dcterms:created>
  <dc:creator>余生太长。</dc:creator>
  <cp:lastModifiedBy>余生太长。</cp:lastModifiedBy>
  <dcterms:modified xsi:type="dcterms:W3CDTF">2025-03-17T08:32:40Z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6B4D251301514337944DD118FD747088_11</vt:lpwstr>
  </property>
  <property fmtid="{D5CDD505-2E9C-101B-9397-08002B2CF9AE}" pid="4" name="KSOTemplateDocerSaveRecord">
    <vt:lpwstr>eyJoZGlkIjoiZGE5OWRjODc1MTU2MGZhZDBjNzNhN2EyMWExMWFlNmQiLCJ1c2VySWQiOiIzMzczMjk0NjQifQ==</vt:lpwstr>
  </property>
</Properties>
</file>