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版本号：CT-ZB00-020-202520250320001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等级保护测评服务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CT-ZB00-020-2025</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等级保护测评服务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CT-ZB00-020-2025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等级保护测评服务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根据国家《网络安全法》《信息安全等级保护管理办法》(公通字[2007]43 号)、《关于推动信息安全等级保护测评体系建设和开展等级测评工作的通知》（公信安[2010]303 号）、《陕西省信息安全等 级保护安全建设整改工作指导意见》（陕等保办 2011 2 号）等相关文件要求，对 OA 系统、门户网站系 统、HIS 系统、LIS 系统、PACS 系统、互联网医院系统等 6 个系统实施网络安全等级保护测评工作。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 证书等国家规定的相关证明，自然人参与的提供其身份证明。</w:t>
      </w:r>
    </w:p>
    <w:p>
      <w:pPr>
        <w:pStyle w:val="null3"/>
      </w:pPr>
      <w:r>
        <w:rPr>
          <w:rFonts w:ascii="仿宋_GB2312" w:hAnsi="仿宋_GB2312" w:cs="仿宋_GB2312" w:eastAsia="仿宋_GB2312"/>
        </w:rPr>
        <w:t>2、财务状况报告：提供2023年度经审计的财务报告 （包括“ 四表一注 ”，即资产负债 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 2024年10月至今已缴纳至少一个月的依法缴纳税款的相关凭据（时间以税款所属日期为准、税种须包含增值税或企业所得税），凭据应有税务机关或代收机关的公章或业务专用章。依法免税或无须缴 纳税款的供应商，应提供相关证明文件。</w:t>
      </w:r>
    </w:p>
    <w:p>
      <w:pPr>
        <w:pStyle w:val="null3"/>
      </w:pPr>
      <w:r>
        <w:rPr>
          <w:rFonts w:ascii="仿宋_GB2312" w:hAnsi="仿宋_GB2312" w:cs="仿宋_GB2312" w:eastAsia="仿宋_GB2312"/>
        </w:rPr>
        <w:t>4、社会保障资金缴存证明：提供2024年10月至今已缴存的至少一个月的社会保障资金缴存单据或社保机构开具的社会保险参保缴费情况证明，依法不需要缴存社会保障资金的单位应提供相关证明材料。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 目拒绝被列入失信被执行人、重大税收违法失信主体、政府采购严重违法失信行为的供应商参与。</w:t>
      </w:r>
    </w:p>
    <w:p>
      <w:pPr>
        <w:pStyle w:val="null3"/>
      </w:pPr>
      <w:r>
        <w:rPr>
          <w:rFonts w:ascii="仿宋_GB2312" w:hAnsi="仿宋_GB2312" w:cs="仿宋_GB2312" w:eastAsia="仿宋_GB2312"/>
        </w:rPr>
        <w:t>6、具有履行合同所必需的设备和专业技术能力的承诺函：提供具有履行合同所必需的设备和专业技术能力的承诺函。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7、合法授权人授权委托书：供应商参加本项目的合法授权人授权委托书；供应商应授权合法的人员参加投标全过程，其中法定代表人直接参加投标的，须出具法人身份证，并与营业执照上信息一致。法定代表人授权代表参加投标的， 须出具法定代表人授权书及授权代 表身份证、授权代表本单位证明， 供应商授权代表提供近三个月本单位社保证明材料。</w:t>
      </w:r>
    </w:p>
    <w:p>
      <w:pPr>
        <w:pStyle w:val="null3"/>
      </w:pPr>
      <w:r>
        <w:rPr>
          <w:rFonts w:ascii="仿宋_GB2312" w:hAnsi="仿宋_GB2312" w:cs="仿宋_GB2312" w:eastAsia="仿宋_GB2312"/>
        </w:rPr>
        <w:t>8、具备《网络安全等级测评与检测评估机构服务认证证书》或《网络安全服务认证证书等级保护测评服务认证》：供应商应具备《网络安全等级测评与检测评估机构服务认证证书》或 《网络安全服务认证证书等级保护测评服务认证》，且需在全国网络安全等级测评与检测评估机构目录内。</w:t>
      </w:r>
    </w:p>
    <w:p>
      <w:pPr>
        <w:pStyle w:val="null3"/>
      </w:pPr>
      <w:r>
        <w:rPr>
          <w:rFonts w:ascii="仿宋_GB2312" w:hAnsi="仿宋_GB2312" w:cs="仿宋_GB2312" w:eastAsia="仿宋_GB2312"/>
        </w:rPr>
        <w:t>9、“信用中国 ”网站和中国 政府采购网（www.ccgp.gov.cn）查询记录：根据《财政部关于在政府采购活动中查询及使用信用记录有关问题的通知》（财库〔2016〕125号）文 件要求，采购人或采购代理机构将通过“信用中国 ”网站（www.creditchina.gov.cn）和“ 中国政府采购网 ”（www.ccgp.gov.cn）在磋商时查询供应商信用记录，被列入失信被执行人、重大税收违法失信主体、政府采购严重违法失信行为记录名单的单位将被拒绝参与本项目磋商；</w:t>
      </w:r>
    </w:p>
    <w:p>
      <w:pPr>
        <w:pStyle w:val="null3"/>
      </w:pPr>
      <w:r>
        <w:rPr>
          <w:rFonts w:ascii="仿宋_GB2312" w:hAnsi="仿宋_GB2312" w:cs="仿宋_GB2312" w:eastAsia="仿宋_GB2312"/>
        </w:rPr>
        <w:t>10、供应商澄清函：投标人须提供“供应商澄清函 ”（详见采购文件内容）：投标人承诺为非采购人单位职工及直系家属投资开办，其法人、股东和经营管理人员非采购人单位职工及直系家属；</w:t>
      </w:r>
    </w:p>
    <w:p>
      <w:pPr>
        <w:pStyle w:val="null3"/>
      </w:pPr>
      <w:r>
        <w:rPr>
          <w:rFonts w:ascii="仿宋_GB2312" w:hAnsi="仿宋_GB2312" w:cs="仿宋_GB2312" w:eastAsia="仿宋_GB2312"/>
        </w:rPr>
        <w:t>11、供应商承诺书：投标人须提供“供应商承诺函 ”（详见采购文件内容）:供应商未与本公司交叉控股股东、交叉兼任高级管理人员的公司同时参与本项目，避免涉嫌围标、串标。</w:t>
      </w:r>
    </w:p>
    <w:p>
      <w:pPr>
        <w:pStyle w:val="null3"/>
      </w:pPr>
      <w:r>
        <w:rPr>
          <w:rFonts w:ascii="仿宋_GB2312" w:hAnsi="仿宋_GB2312" w:cs="仿宋_GB2312" w:eastAsia="仿宋_GB2312"/>
        </w:rPr>
        <w:t>12、承诺、澄清签字盖章：供应商提供的所有承诺、澄清函均应由其法定代表人签字盖章。</w:t>
      </w:r>
    </w:p>
    <w:p>
      <w:pPr>
        <w:pStyle w:val="null3"/>
      </w:pPr>
      <w:r>
        <w:rPr>
          <w:rFonts w:ascii="仿宋_GB2312" w:hAnsi="仿宋_GB2312" w:cs="仿宋_GB2312" w:eastAsia="仿宋_GB2312"/>
        </w:rPr>
        <w:t>13、供应商声明函：投标人须提供“供应商承诺函 ”（详见采购文件内容）: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p>
      <w:pPr>
        <w:pStyle w:val="null3"/>
      </w:pPr>
      <w:r>
        <w:rPr>
          <w:rFonts w:ascii="仿宋_GB2312" w:hAnsi="仿宋_GB2312" w:cs="仿宋_GB2312" w:eastAsia="仿宋_GB2312"/>
        </w:rPr>
        <w:t>14、本项目不接受联合体投标：本项目不接受联合体投标。（投标供应商自行出具非联合体投标声明）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13891966838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谭晶晶、王超、王涛、李博飞、秦瑶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15209184728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 号）和国家发展改革委员会办公厅 颁发的《关于招标代理服务收费有关问题的通知》 （发改办价格『2003』857 号）规定标准下浮 20%收取。 2、收取中标服务费单位名称：中昕国际项目管理有限公司 开户银行：中国建设银行股份有限公司西安文景路支行 帐 号：61050178150000000278 联系 人：谭晶晶、王超、王涛、李博飞、秦瑶 联系电话：15209184728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1、所测评的 6 个系统通过相应等级等保测评。2、现行的国家标准或国家行政部门颁布的法律法规、规章制度等，是项目验收的另一个重要依据。没有国家标准的，可以参考行业标准。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联系人：谭晶晶、王超、王涛、李博飞、秦瑶</w:t>
      </w:r>
    </w:p>
    <w:p>
      <w:pPr>
        <w:pStyle w:val="null3"/>
      </w:pPr>
      <w:r>
        <w:rPr>
          <w:rFonts w:ascii="仿宋_GB2312" w:hAnsi="仿宋_GB2312" w:cs="仿宋_GB2312" w:eastAsia="仿宋_GB2312"/>
        </w:rPr>
        <w:t>联系电话：15209184728</w:t>
      </w:r>
    </w:p>
    <w:p>
      <w:pPr>
        <w:pStyle w:val="null3"/>
      </w:pPr>
      <w:r>
        <w:rPr>
          <w:rFonts w:ascii="仿宋_GB2312" w:hAnsi="仿宋_GB2312" w:cs="仿宋_GB2312" w:eastAsia="仿宋_GB2312"/>
        </w:rPr>
        <w:t>地址：西安经济技术开发区凤城十二路首创禧悦里 25 幢 A 座 16 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根据国家《网络安全法》《信息安全等级保护管理办法》(公通字[2007]43 号)、《关于推动信息安 全等级保护测评体系建设和开展等级测评工作的通知》（公信安[2010]303 号）、《陕西省信息安全等 级保护安全建设整改工作指导意见》（陕等保办 2011 2 号）等相关文件要求，对 OA 系统、门户网站系 统、HIS 系统、LIS 系统、PACS 系统、互联网医院系统等 6 个系统实施网络安全等级保护测评工作。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标的名称：等级保护测评服务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30"/>
              <w:ind w:left="120"/>
            </w:pPr>
            <w:r>
              <w:rPr>
                <w:rFonts w:ascii="仿宋_GB2312" w:hAnsi="仿宋_GB2312" w:cs="仿宋_GB2312" w:eastAsia="仿宋_GB2312"/>
                <w:sz w:val="21"/>
                <w:color w:val="000000"/>
              </w:rPr>
              <w:t>一、项目概况</w:t>
            </w:r>
          </w:p>
          <w:p>
            <w:pPr>
              <w:pStyle w:val="null3"/>
              <w:spacing w:before="30"/>
              <w:ind w:left="120"/>
            </w:pPr>
            <w:r>
              <w:rPr>
                <w:rFonts w:ascii="仿宋_GB2312" w:hAnsi="仿宋_GB2312" w:cs="仿宋_GB2312" w:eastAsia="仿宋_GB2312"/>
                <w:sz w:val="21"/>
                <w:color w:val="000000"/>
              </w:rPr>
              <w:t>根据国家《网络安全法》《信息安全等级保护管理办法》</w:t>
            </w:r>
            <w:r>
              <w:rPr>
                <w:rFonts w:ascii="仿宋_GB2312" w:hAnsi="仿宋_GB2312" w:cs="仿宋_GB2312" w:eastAsia="仿宋_GB2312"/>
                <w:sz w:val="21"/>
                <w:color w:val="000000"/>
              </w:rPr>
              <w:t>(</w:t>
            </w:r>
            <w:r>
              <w:rPr>
                <w:rFonts w:ascii="仿宋_GB2312" w:hAnsi="仿宋_GB2312" w:cs="仿宋_GB2312" w:eastAsia="仿宋_GB2312"/>
                <w:sz w:val="21"/>
                <w:color w:val="000000"/>
              </w:rPr>
              <w:t>公通字</w:t>
            </w:r>
            <w:r>
              <w:rPr>
                <w:rFonts w:ascii="仿宋_GB2312" w:hAnsi="仿宋_GB2312" w:cs="仿宋_GB2312" w:eastAsia="仿宋_GB2312"/>
                <w:sz w:val="21"/>
                <w:color w:val="000000"/>
              </w:rPr>
              <w:t>[2007]43</w:t>
            </w:r>
            <w:r>
              <w:rPr>
                <w:rFonts w:ascii="仿宋_GB2312" w:hAnsi="仿宋_GB2312" w:cs="仿宋_GB2312" w:eastAsia="仿宋_GB2312"/>
                <w:sz w:val="21"/>
                <w:color w:val="000000"/>
              </w:rPr>
              <w:t>号</w:t>
            </w:r>
            <w:r>
              <w:rPr>
                <w:rFonts w:ascii="仿宋_GB2312" w:hAnsi="仿宋_GB2312" w:cs="仿宋_GB2312" w:eastAsia="仿宋_GB2312"/>
                <w:sz w:val="21"/>
                <w:color w:val="000000"/>
              </w:rPr>
              <w:t>)、</w:t>
            </w:r>
            <w:r>
              <w:rPr>
                <w:rFonts w:ascii="仿宋_GB2312" w:hAnsi="仿宋_GB2312" w:cs="仿宋_GB2312" w:eastAsia="仿宋_GB2312"/>
                <w:sz w:val="21"/>
                <w:color w:val="000000"/>
              </w:rPr>
              <w:t>《关于推动信息安全等级保</w:t>
            </w:r>
            <w:r>
              <w:rPr>
                <w:rFonts w:ascii="仿宋_GB2312" w:hAnsi="仿宋_GB2312" w:cs="仿宋_GB2312" w:eastAsia="仿宋_GB2312"/>
                <w:sz w:val="21"/>
                <w:color w:val="000000"/>
              </w:rPr>
              <w:t>护测评体系建设和开展等级测评工作的通知》（公信安</w:t>
            </w:r>
            <w:r>
              <w:rPr>
                <w:rFonts w:ascii="仿宋_GB2312" w:hAnsi="仿宋_GB2312" w:cs="仿宋_GB2312" w:eastAsia="仿宋_GB2312"/>
                <w:sz w:val="21"/>
                <w:color w:val="000000"/>
              </w:rPr>
              <w:t>[2010]303</w:t>
            </w:r>
            <w:r>
              <w:rPr>
                <w:rFonts w:ascii="仿宋_GB2312" w:hAnsi="仿宋_GB2312" w:cs="仿宋_GB2312" w:eastAsia="仿宋_GB2312"/>
                <w:sz w:val="21"/>
                <w:color w:val="000000"/>
              </w:rPr>
              <w:t>号）、《陕西省信</w:t>
            </w:r>
            <w:r>
              <w:rPr>
                <w:rFonts w:ascii="仿宋_GB2312" w:hAnsi="仿宋_GB2312" w:cs="仿宋_GB2312" w:eastAsia="仿宋_GB2312"/>
                <w:sz w:val="21"/>
                <w:color w:val="000000"/>
              </w:rPr>
              <w:t>息安全等级保护安全建设整改工作指导意见》（陕等保</w:t>
            </w:r>
            <w:r>
              <w:rPr>
                <w:rFonts w:ascii="仿宋_GB2312" w:hAnsi="仿宋_GB2312" w:cs="仿宋_GB2312" w:eastAsia="仿宋_GB2312"/>
                <w:sz w:val="21"/>
                <w:color w:val="000000"/>
              </w:rPr>
              <w:t>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r>
              <w:rPr>
                <w:rFonts w:ascii="仿宋_GB2312" w:hAnsi="仿宋_GB2312" w:cs="仿宋_GB2312" w:eastAsia="仿宋_GB2312"/>
                <w:sz w:val="21"/>
                <w:color w:val="000000"/>
              </w:rPr>
              <w:t>号）等相关文件要</w:t>
            </w:r>
            <w:r>
              <w:rPr>
                <w:rFonts w:ascii="仿宋_GB2312" w:hAnsi="仿宋_GB2312" w:cs="仿宋_GB2312" w:eastAsia="仿宋_GB2312"/>
                <w:sz w:val="21"/>
                <w:color w:val="000000"/>
              </w:rPr>
              <w:t>求，对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OA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系统、门户网站系</w:t>
            </w:r>
            <w:r>
              <w:rPr>
                <w:rFonts w:ascii="仿宋_GB2312" w:hAnsi="仿宋_GB2312" w:cs="仿宋_GB2312" w:eastAsia="仿宋_GB2312"/>
                <w:sz w:val="21"/>
                <w:color w:val="000000"/>
              </w:rPr>
              <w:t>统、</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LIS</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PACS</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系统、互联网医院</w:t>
            </w:r>
            <w:r>
              <w:rPr>
                <w:rFonts w:ascii="仿宋_GB2312" w:hAnsi="仿宋_GB2312" w:cs="仿宋_GB2312" w:eastAsia="仿宋_GB2312"/>
                <w:sz w:val="21"/>
                <w:color w:val="000000"/>
              </w:rPr>
              <w:t>系统等</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个系统实施网络安</w:t>
            </w:r>
            <w:r>
              <w:rPr>
                <w:rFonts w:ascii="仿宋_GB2312" w:hAnsi="仿宋_GB2312" w:cs="仿宋_GB2312" w:eastAsia="仿宋_GB2312"/>
                <w:sz w:val="21"/>
                <w:color w:val="000000"/>
              </w:rPr>
              <w:t>全等级保护测评工作。</w:t>
            </w:r>
          </w:p>
          <w:p>
            <w:pPr>
              <w:pStyle w:val="null3"/>
              <w:spacing w:before="15"/>
              <w:ind w:left="120"/>
            </w:pPr>
            <w:r>
              <w:rPr>
                <w:rFonts w:ascii="仿宋_GB2312" w:hAnsi="仿宋_GB2312" w:cs="仿宋_GB2312" w:eastAsia="仿宋_GB2312"/>
                <w:sz w:val="21"/>
                <w:color w:val="000000"/>
              </w:rPr>
              <w:t>二、服务内容</w:t>
            </w:r>
          </w:p>
          <w:p>
            <w:pPr>
              <w:pStyle w:val="null3"/>
              <w:spacing w:before="15"/>
              <w:ind w:left="120"/>
            </w:pPr>
            <w:r>
              <w:rPr>
                <w:rFonts w:ascii="仿宋_GB2312" w:hAnsi="仿宋_GB2312" w:cs="仿宋_GB2312" w:eastAsia="仿宋_GB2312"/>
                <w:sz w:val="21"/>
                <w:color w:val="000000"/>
              </w:rPr>
              <w:t>对以下信息系统在“安全物理环境、安全通信网络、安全区域边界、安全计算环境、安全管理中心、安全管理制度、安全管理机构、全管理人员、安全建设管理、安全运维管理 ”等方面的开展测评工作。</w:t>
            </w:r>
          </w:p>
          <w:tbl>
            <w:tblPr>
              <w:tblInd w:type="dxa" w:w="135"/>
              <w:tblBorders>
                <w:top w:val="none" w:color="000000" w:sz="4"/>
                <w:left w:val="none" w:color="000000" w:sz="4"/>
                <w:bottom w:val="none" w:color="000000" w:sz="4"/>
                <w:right w:val="none" w:color="000000" w:sz="4"/>
                <w:insideH w:val="none"/>
                <w:insideV w:val="none"/>
              </w:tblBorders>
            </w:tblPr>
            <w:tblGrid>
              <w:gridCol w:w="326"/>
              <w:gridCol w:w="994"/>
              <w:gridCol w:w="531"/>
            </w:tblGrid>
            <w:tr>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号</w:t>
                  </w:r>
                  <w:r>
                    <w:rPr>
                      <w:rFonts w:ascii="仿宋_GB2312" w:hAnsi="仿宋_GB2312" w:cs="仿宋_GB2312" w:eastAsia="仿宋_GB2312"/>
                      <w:sz w:val="20"/>
                      <w:color w:val="000000"/>
                    </w:rPr>
                    <w:t>序</w:t>
                  </w:r>
                </w:p>
              </w:tc>
              <w:tc>
                <w:tcPr>
                  <w:tcW w:type="dxa" w:w="9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仿宋_GB2312" w:hAnsi="仿宋_GB2312" w:cs="仿宋_GB2312" w:eastAsia="仿宋_GB2312"/>
                      <w:sz w:val="20"/>
                      <w:color w:val="000000"/>
                    </w:rPr>
                    <w:t>系统名称</w:t>
                  </w:r>
                </w:p>
              </w:tc>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系统级别</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1</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仿宋_GB2312" w:hAnsi="仿宋_GB2312" w:cs="仿宋_GB2312" w:eastAsia="仿宋_GB2312"/>
                      <w:sz w:val="20"/>
                      <w:color w:val="000000"/>
                    </w:rPr>
                    <w:t>HIS</w:t>
                  </w:r>
                  <w:r>
                    <w:rPr>
                      <w:rFonts w:ascii="仿宋_GB2312" w:hAnsi="仿宋_GB2312" w:cs="仿宋_GB2312" w:eastAsia="仿宋_GB2312"/>
                    </w:rPr>
                    <w:t xml:space="preserve"> </w:t>
                  </w:r>
                  <w:r>
                    <w:rPr>
                      <w:rFonts w:ascii="仿宋_GB2312" w:hAnsi="仿宋_GB2312" w:cs="仿宋_GB2312" w:eastAsia="仿宋_GB2312"/>
                      <w:sz w:val="20"/>
                      <w:color w:val="000000"/>
                    </w:rPr>
                    <w:t>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三级</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2</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color w:val="000000"/>
                    </w:rPr>
                    <w:t>LIS</w:t>
                  </w:r>
                  <w:r>
                    <w:rPr>
                      <w:rFonts w:ascii="仿宋_GB2312" w:hAnsi="仿宋_GB2312" w:cs="仿宋_GB2312" w:eastAsia="仿宋_GB2312"/>
                    </w:rPr>
                    <w:t xml:space="preserve"> </w:t>
                  </w:r>
                  <w:r>
                    <w:rPr>
                      <w:rFonts w:ascii="仿宋_GB2312" w:hAnsi="仿宋_GB2312" w:cs="仿宋_GB2312" w:eastAsia="仿宋_GB2312"/>
                      <w:sz w:val="20"/>
                      <w:color w:val="000000"/>
                    </w:rPr>
                    <w:t>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三级</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3</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color w:val="000000"/>
                    </w:rPr>
                    <w:t>PACS 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三级</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4</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color w:val="000000"/>
                    </w:rPr>
                    <w:t>互联网医院系统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三级</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5</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color w:val="000000"/>
                    </w:rPr>
                    <w:t>OA系统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二级</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color w:val="000000"/>
                    </w:rPr>
                    <w:t>6</w:t>
                  </w:r>
                </w:p>
              </w:tc>
              <w:tc>
                <w:tcPr>
                  <w:tcW w:type="dxa" w:w="9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color w:val="000000"/>
                    </w:rPr>
                    <w:t>门户网站系统</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0"/>
                      <w:color w:val="000000"/>
                    </w:rPr>
                    <w:t>二级</w:t>
                  </w:r>
                </w:p>
              </w:tc>
            </w:tr>
          </w:tbl>
          <w:p>
            <w:pPr>
              <w:pStyle w:val="null3"/>
              <w:spacing w:before="270"/>
              <w:ind w:left="120"/>
            </w:pPr>
            <w:r>
              <w:rPr>
                <w:rFonts w:ascii="仿宋_GB2312" w:hAnsi="仿宋_GB2312" w:cs="仿宋_GB2312" w:eastAsia="仿宋_GB2312"/>
                <w:sz w:val="21"/>
                <w:color w:val="000000"/>
              </w:rPr>
              <w:t>三、技术要求</w:t>
            </w:r>
          </w:p>
          <w:p>
            <w:pPr>
              <w:pStyle w:val="null3"/>
              <w:spacing w:before="270"/>
              <w:ind w:left="120"/>
            </w:pPr>
            <w:r>
              <w:rPr>
                <w:rFonts w:ascii="仿宋_GB2312" w:hAnsi="仿宋_GB2312" w:cs="仿宋_GB2312" w:eastAsia="仿宋_GB2312"/>
                <w:sz w:val="21"/>
                <w:color w:val="000000"/>
              </w:rPr>
              <w:t>根据国家《信息安全等级保护管理办法》(公通字[2007]43 号)与《信息安全技术网络安全等级保护基本要求》GB/T22239-2019 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pPr>
            <w:r>
              <w:rPr>
                <w:rFonts w:ascii="仿宋_GB2312" w:hAnsi="仿宋_GB2312" w:cs="仿宋_GB2312" w:eastAsia="仿宋_GB2312"/>
              </w:rPr>
              <w:t xml:space="preserve"> </w:t>
            </w:r>
            <w:r>
              <w:rPr>
                <w:rFonts w:ascii="仿宋_GB2312" w:hAnsi="仿宋_GB2312" w:cs="仿宋_GB2312" w:eastAsia="仿宋_GB2312"/>
                <w:sz w:val="21"/>
                <w:color w:val="000000"/>
              </w:rPr>
              <w:t xml:space="preserve">  1.系统调研：在系统相关人员的协助下，对上述信息系统进行调研和梳理，了解系统当前信息系统资产现状。</w:t>
            </w:r>
          </w:p>
          <w:p>
            <w:pPr>
              <w:pStyle w:val="null3"/>
              <w:spacing w:before="30"/>
              <w:ind w:left="120" w:right="105" w:firstLine="4"/>
            </w:pPr>
            <w:r>
              <w:rPr>
                <w:rFonts w:ascii="仿宋_GB2312" w:hAnsi="仿宋_GB2312" w:cs="仿宋_GB2312" w:eastAsia="仿宋_GB2312"/>
                <w:sz w:val="21"/>
                <w:color w:val="000000"/>
              </w:rPr>
              <w:t xml:space="preserve"> 2.现场测评：根据国家等级测评的相关标准及已编制的相关等级保护测评指导书对信息系统中的相关资产进行测评项的检查、记录检查结果。</w:t>
            </w:r>
          </w:p>
          <w:p>
            <w:pPr>
              <w:pStyle w:val="null3"/>
            </w:pPr>
            <w:r>
              <w:rPr>
                <w:rFonts w:ascii="仿宋_GB2312" w:hAnsi="仿宋_GB2312" w:cs="仿宋_GB2312" w:eastAsia="仿宋_GB2312"/>
                <w:sz w:val="21"/>
                <w:color w:val="000000"/>
              </w:rPr>
              <w:t xml:space="preserve">   3.分析整改：根据前述工作内容，分析信息系统安全情况与等级保护基本要求的差距, 提供差异化测评服务，并进行风险分析，可根据现场情况出具科学合理的整改建议，协助配合采购单位安全整改工作。</w:t>
            </w:r>
          </w:p>
          <w:p>
            <w:pPr>
              <w:pStyle w:val="null3"/>
            </w:pPr>
            <w:r>
              <w:rPr>
                <w:rFonts w:ascii="仿宋_GB2312" w:hAnsi="仿宋_GB2312" w:cs="仿宋_GB2312" w:eastAsia="仿宋_GB2312"/>
                <w:sz w:val="21"/>
                <w:color w:val="000000"/>
              </w:rPr>
              <w:t xml:space="preserve">   4.结论报告：根据前述工作内容，分析当前信息系统安全保护能力是否符合相应等级的安全要求，针对涉及的整改项进行再次测评,提供安全等级符合性测评服务，最终出具相关系统测评报告。</w:t>
            </w:r>
          </w:p>
          <w:p>
            <w:pPr>
              <w:pStyle w:val="null3"/>
            </w:pPr>
            <w:r>
              <w:rPr>
                <w:rFonts w:ascii="仿宋_GB2312" w:hAnsi="仿宋_GB2312" w:cs="仿宋_GB2312" w:eastAsia="仿宋_GB2312"/>
                <w:sz w:val="21"/>
                <w:color w:val="000000"/>
              </w:rPr>
              <w:t xml:space="preserve">   5.配合验收：整理项目过程中所有相关的过程文档，提交系统相关人员。</w:t>
            </w:r>
          </w:p>
          <w:p>
            <w:pPr>
              <w:pStyle w:val="null3"/>
              <w:spacing w:before="15"/>
              <w:ind w:left="135"/>
            </w:pPr>
            <w:r>
              <w:rPr>
                <w:rFonts w:ascii="仿宋_GB2312" w:hAnsi="仿宋_GB2312" w:cs="仿宋_GB2312" w:eastAsia="仿宋_GB2312"/>
                <w:sz w:val="21"/>
                <w:color w:val="000000"/>
              </w:rPr>
              <w:t>四、服务要求</w:t>
            </w:r>
          </w:p>
          <w:p>
            <w:pPr>
              <w:pStyle w:val="null3"/>
              <w:ind w:right="165" w:firstLine="8"/>
            </w:pPr>
            <w:r>
              <w:rPr>
                <w:rFonts w:ascii="仿宋_GB2312" w:hAnsi="仿宋_GB2312" w:cs="仿宋_GB2312" w:eastAsia="仿宋_GB2312"/>
                <w:sz w:val="21"/>
                <w:color w:val="000000"/>
              </w:rPr>
              <w:t xml:space="preserve">  1、服务商在测评过程中，不得影响系统使用户单位的正常使用。</w:t>
            </w:r>
          </w:p>
          <w:p>
            <w:pPr>
              <w:pStyle w:val="null3"/>
              <w:ind w:right="165" w:firstLine="2"/>
            </w:pPr>
            <w:r>
              <w:rPr>
                <w:rFonts w:ascii="仿宋_GB2312" w:hAnsi="仿宋_GB2312" w:cs="仿宋_GB2312" w:eastAsia="仿宋_GB2312"/>
                <w:sz w:val="21"/>
                <w:color w:val="000000"/>
              </w:rPr>
              <w:t xml:space="preserve">  2、服务商需确保项目质量符合国家和行业质量标准。</w:t>
            </w:r>
          </w:p>
          <w:p>
            <w:pPr>
              <w:pStyle w:val="null3"/>
              <w:ind w:right="165" w:firstLine="1"/>
            </w:pPr>
            <w:r>
              <w:rPr>
                <w:rFonts w:ascii="仿宋_GB2312" w:hAnsi="仿宋_GB2312" w:cs="仿宋_GB2312" w:eastAsia="仿宋_GB2312"/>
                <w:sz w:val="21"/>
                <w:color w:val="000000"/>
              </w:rPr>
              <w:t xml:space="preserve">  3、服务商需配备相应的等保测评工程师，项目经理必须为高级测评师，项目经理和现场测评项目组其他成员均具有等保测评的资质认证。</w:t>
            </w:r>
          </w:p>
          <w:p>
            <w:pPr>
              <w:pStyle w:val="null3"/>
              <w:ind w:right="165"/>
            </w:pPr>
            <w:r>
              <w:rPr>
                <w:rFonts w:ascii="仿宋_GB2312" w:hAnsi="仿宋_GB2312" w:cs="仿宋_GB2312" w:eastAsia="仿宋_GB2312"/>
                <w:sz w:val="21"/>
                <w:color w:val="000000"/>
              </w:rPr>
              <w:t xml:space="preserve"> 4、服务商在实施过程中接触到的用户单位的涉密信息需严格保密并签订保密协议。</w:t>
            </w:r>
          </w:p>
          <w:p>
            <w:pPr>
              <w:pStyle w:val="null3"/>
              <w:ind w:right="1455"/>
            </w:pPr>
            <w:r>
              <w:rPr>
                <w:rFonts w:ascii="仿宋_GB2312" w:hAnsi="仿宋_GB2312" w:cs="仿宋_GB2312" w:eastAsia="仿宋_GB2312"/>
                <w:sz w:val="21"/>
                <w:color w:val="000000"/>
              </w:rPr>
              <w:t xml:space="preserve"> 五、商务要求 </w:t>
            </w:r>
          </w:p>
          <w:p>
            <w:pPr>
              <w:pStyle w:val="null3"/>
              <w:spacing w:before="30"/>
              <w:ind w:left="120" w:right="1455"/>
            </w:pPr>
            <w:r>
              <w:rPr>
                <w:rFonts w:ascii="仿宋_GB2312" w:hAnsi="仿宋_GB2312" w:cs="仿宋_GB2312" w:eastAsia="仿宋_GB2312"/>
                <w:sz w:val="21"/>
                <w:color w:val="000000"/>
              </w:rPr>
              <w:t>1、服务期限</w:t>
            </w:r>
            <w:r>
              <w:rPr>
                <w:rFonts w:ascii="仿宋_GB2312" w:hAnsi="仿宋_GB2312" w:cs="仿宋_GB2312" w:eastAsia="仿宋_GB2312"/>
                <w:sz w:val="21"/>
                <w:color w:val="000000"/>
              </w:rPr>
              <w:t xml:space="preserve"> </w:t>
            </w:r>
          </w:p>
          <w:p>
            <w:pPr>
              <w:pStyle w:val="null3"/>
              <w:spacing w:before="30"/>
              <w:ind w:left="120" w:right="1455"/>
            </w:pPr>
            <w:r>
              <w:rPr>
                <w:rFonts w:ascii="仿宋_GB2312" w:hAnsi="仿宋_GB2312" w:cs="仿宋_GB2312" w:eastAsia="仿宋_GB2312"/>
                <w:sz w:val="21"/>
                <w:color w:val="000000"/>
              </w:rPr>
              <w:t>服务期：合同签订后 6个月。</w:t>
            </w:r>
          </w:p>
          <w:p>
            <w:pPr>
              <w:pStyle w:val="null3"/>
            </w:pPr>
            <w:r>
              <w:rPr>
                <w:rFonts w:ascii="仿宋_GB2312" w:hAnsi="仿宋_GB2312" w:cs="仿宋_GB2312" w:eastAsia="仿宋_GB2312"/>
                <w:sz w:val="21"/>
                <w:color w:val="000000"/>
              </w:rPr>
              <w:t xml:space="preserve">  2、款项结算</w:t>
            </w:r>
          </w:p>
          <w:p>
            <w:pPr>
              <w:pStyle w:val="null3"/>
            </w:pPr>
            <w:r>
              <w:rPr>
                <w:rFonts w:ascii="仿宋_GB2312" w:hAnsi="仿宋_GB2312" w:cs="仿宋_GB2312" w:eastAsia="仿宋_GB2312"/>
                <w:sz w:val="21"/>
                <w:color w:val="000000"/>
              </w:rPr>
              <w:t>（1）合同签订后，采购人支付合同总价款的30%的预付款。</w:t>
            </w:r>
          </w:p>
          <w:p>
            <w:pPr>
              <w:pStyle w:val="null3"/>
            </w:pPr>
            <w:r>
              <w:rPr>
                <w:rFonts w:ascii="仿宋_GB2312" w:hAnsi="仿宋_GB2312" w:cs="仿宋_GB2312" w:eastAsia="仿宋_GB2312"/>
                <w:sz w:val="21"/>
                <w:color w:val="000000"/>
              </w:rPr>
              <w:t>（2）所有服务内容完成出具系统测评报告并验收合格后，采购人支付合同总价款的70%的验收款。</w:t>
            </w:r>
          </w:p>
          <w:p>
            <w:pPr>
              <w:pStyle w:val="null3"/>
            </w:pPr>
            <w:r>
              <w:rPr>
                <w:rFonts w:ascii="仿宋_GB2312" w:hAnsi="仿宋_GB2312" w:cs="仿宋_GB2312" w:eastAsia="仿宋_GB2312"/>
                <w:sz w:val="21"/>
                <w:color w:val="000000"/>
              </w:rPr>
              <w:t>六、其他</w:t>
            </w:r>
          </w:p>
          <w:p>
            <w:pPr>
              <w:pStyle w:val="null3"/>
            </w:pPr>
            <w:r>
              <w:rPr>
                <w:rFonts w:ascii="仿宋_GB2312" w:hAnsi="仿宋_GB2312" w:cs="仿宋_GB2312" w:eastAsia="仿宋_GB2312"/>
                <w:sz w:val="21"/>
                <w:color w:val="000000"/>
              </w:rPr>
              <w:t>1、成果交付要求系统测评报告、验收单。</w:t>
            </w:r>
          </w:p>
          <w:p>
            <w:pPr>
              <w:pStyle w:val="null3"/>
            </w:pPr>
            <w:r>
              <w:rPr>
                <w:rFonts w:ascii="仿宋_GB2312" w:hAnsi="仿宋_GB2312" w:cs="仿宋_GB2312" w:eastAsia="仿宋_GB2312"/>
                <w:sz w:val="21"/>
                <w:color w:val="000000"/>
              </w:rPr>
              <w:t>2、质量验收标准或规范所测评的6个系统通过相应等级等保测评。</w:t>
            </w:r>
          </w:p>
          <w:p>
            <w:pPr>
              <w:pStyle w:val="null3"/>
            </w:pPr>
            <w:r>
              <w:rPr>
                <w:rFonts w:ascii="仿宋_GB2312" w:hAnsi="仿宋_GB2312" w:cs="仿宋_GB2312" w:eastAsia="仿宋_GB2312"/>
                <w:sz w:val="21"/>
                <w:color w:val="000000"/>
              </w:rPr>
              <w:t>3、违约责任按《中华人民共和国政府采购法》、《中华人民共和国民法典》中的相关条款执行。</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6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（2）投标文件及澄清函、招标文件；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所有服务内容完成出具系统测评报告并验收合格后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详见采购文件及其合同附件内容。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其他材料.docx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 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 （包括“ 四表一注 ”，即资产负债 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2024年10月至今已缴纳至少一个月的依法缴纳税款的相关凭据（时间以税款所属日期为准、税种须包含增值税或企业所得税），凭据应有税务机关或代收机关的公章或业务专用章。依法免税或无须缴 纳税款的供应商，应提供相关证明文件。</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 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供应商参加本项目的合法授权人授权委托书；供应商应授权合法的人员参加投标全过程，其中法定代表人直接参加投标的，须出具法人身份证，并与营业执照上信息一致。法定代表人授权代表参加投标的， 须出具法定代表人授权书及授权代 表身份证、授权代表本单位证明， 供应商授权代表提供近三个月本单位社保证明材料。</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具备《网络安全等级测评与检测评估机构服务认证证书》或《网络安全服务认证证书等级保护测评服务认证》</w:t>
            </w:r>
          </w:p>
        </w:tc>
        <w:tc>
          <w:tcPr>
            <w:tcW w:type="dxa" w:w="3322"/>
          </w:tcPr>
          <w:p>
            <w:pPr>
              <w:pStyle w:val="null3"/>
            </w:pPr>
            <w:r>
              <w:rPr>
                <w:rFonts w:ascii="仿宋_GB2312" w:hAnsi="仿宋_GB2312" w:cs="仿宋_GB2312" w:eastAsia="仿宋_GB2312"/>
              </w:rPr>
              <w:t>供应商应具备《网络安全等级测评与检测评估机构服务认证证书》或 《网络安全服务认证证书等级保护测评服务认证》，且需在全国网络安全等级测评与检测评估机构目录内。</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其他材料.docx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 ”网站和中国 政府采购网（www.ccgp.gov.cn）查询记录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 件要求，采购人或采购代理机构将通过“信用中国 ”网站（www.creditchina.gov.cn）和“ 中国政府采购网 ”（www.ccgp.gov.cn）在磋商时查询供应商信用记录，被列入失信被执行人、重大税收违法失信主体、政府采购严重违法失信行为记录名单的单位将被拒绝参与本项目磋商；</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供应商澄清函</w:t>
            </w:r>
          </w:p>
        </w:tc>
        <w:tc>
          <w:tcPr>
            <w:tcW w:type="dxa" w:w="3322"/>
          </w:tcPr>
          <w:p>
            <w:pPr>
              <w:pStyle w:val="null3"/>
            </w:pPr>
            <w:r>
              <w:rPr>
                <w:rFonts w:ascii="仿宋_GB2312" w:hAnsi="仿宋_GB2312" w:cs="仿宋_GB2312" w:eastAsia="仿宋_GB2312"/>
              </w:rPr>
              <w:t>投标人须提供“供应商澄清函 ”（详见采购文件内容）：投标人承诺为非采购人单位职工及直系家属投资开办，其法人、股东和经营管理人员非采购人单位职工及直系家属；</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投标人须提供“供应商承诺函 ”（详见采购文件内容）:供应商未与本公司交叉控股股东、交叉兼任高级管理人员的公司同时参与本项目，避免涉嫌围标、串标。</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承诺、澄清签字盖章</w:t>
            </w:r>
          </w:p>
        </w:tc>
        <w:tc>
          <w:tcPr>
            <w:tcW w:type="dxa" w:w="3322"/>
          </w:tcPr>
          <w:p>
            <w:pPr>
              <w:pStyle w:val="null3"/>
            </w:pPr>
            <w:r>
              <w:rPr>
                <w:rFonts w:ascii="仿宋_GB2312" w:hAnsi="仿宋_GB2312" w:cs="仿宋_GB2312" w:eastAsia="仿宋_GB2312"/>
              </w:rPr>
              <w:t>供应商提供的所有承诺、澄清函均应由其法定代表人签字盖章。</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供应商声明函</w:t>
            </w:r>
          </w:p>
        </w:tc>
        <w:tc>
          <w:tcPr>
            <w:tcW w:type="dxa" w:w="3322"/>
          </w:tcPr>
          <w:p>
            <w:pPr>
              <w:pStyle w:val="null3"/>
            </w:pPr>
            <w:r>
              <w:rPr>
                <w:rFonts w:ascii="仿宋_GB2312" w:hAnsi="仿宋_GB2312" w:cs="仿宋_GB2312" w:eastAsia="仿宋_GB2312"/>
              </w:rPr>
              <w:t>投标人须提供“供应商承诺函 ”（详见采购文件内容）: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tc>
        <w:tc>
          <w:tcPr>
            <w:tcW w:type="dxa" w:w="1661"/>
          </w:tcPr>
          <w:p>
            <w:pPr>
              <w:pStyle w:val="null3"/>
            </w:pPr>
            <w:r>
              <w:rPr>
                <w:rFonts w:ascii="仿宋_GB2312" w:hAnsi="仿宋_GB2312" w:cs="仿宋_GB2312" w:eastAsia="仿宋_GB2312"/>
              </w:rPr>
              <w:t>供应商应提交的相关资格证明材料 其他材料.docx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供应商应提交的相关资格证明材料 其他材料.docx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其他材料.docx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 ”要求，无重大偏差。</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其他材料.docx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 其他材料.docx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企业技术实力</w:t>
            </w:r>
          </w:p>
        </w:tc>
        <w:tc>
          <w:tcPr>
            <w:tcW w:type="dxa" w:w="2492"/>
          </w:tcPr>
          <w:p>
            <w:pPr>
              <w:pStyle w:val="null3"/>
            </w:pPr>
            <w:r>
              <w:rPr>
                <w:rFonts w:ascii="仿宋_GB2312" w:hAnsi="仿宋_GB2312" w:cs="仿宋_GB2312" w:eastAsia="仿宋_GB2312"/>
              </w:rPr>
              <w:t>1.供应商具有中国网络安全审查技术与认证中心颁发的信息安全风险评估三级及以上资质证书得3分。 2.供应商具有质量管理体 ISO9001 证书得3分。 3.供应商具有信息安全管理体系认证 ISO27001 证书得3分。 4.供应商具有中国合格评定国家认委员会颁发的实验室认可证书得3分。 注：须提供证书复印件并加盖公章。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等级保护测评服务方案</w:t>
            </w:r>
          </w:p>
        </w:tc>
        <w:tc>
          <w:tcPr>
            <w:tcW w:type="dxa" w:w="2492"/>
          </w:tcPr>
          <w:p>
            <w:pPr>
              <w:pStyle w:val="null3"/>
            </w:pPr>
            <w:r>
              <w:rPr>
                <w:rFonts w:ascii="仿宋_GB2312" w:hAnsi="仿宋_GB2312" w:cs="仿宋_GB2312" w:eastAsia="仿宋_GB2312"/>
              </w:rPr>
              <w:t>一、评审内容 供应商根据国家相关标准并结合本项目实际需求，提供完整的等级保护测评服务方案。内容包括 ①定级备案②系统调研③初测评 ④差距测评⑤复测评⑥测评流程 具有详细说明。 二、评审标准 1、完整性：方案须全面，对评审内容中的各项要求描述详细； 2、可实施性：切合本项目实际情况，实施步骤清晰、合理； 3、针对性：方案能够紧扣项目实 际情况，内容科学合理。 三、赋分依据（满分 18 分） ①定级备案：每完全满足一个评审标准得1分，满分3分；未提供不得分； ②系统调研:每完全满足一个评审标准得1分，满分3分；未提供不得分； ③初测评:每完全满足一个评审标准得1分，满分3分；未提供不得分； ④差距测评：每完全满足一个评审标准得1分，满分3分；未提供不得分； ⑤复测评：每完全满足一个评审标准得1分，满分3分；未提供不得分； ⑥测评流程：每完全满足一个评审标准得1分，满分3分；未提供不得分。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风险防范措施和保密措施</w:t>
            </w:r>
          </w:p>
        </w:tc>
        <w:tc>
          <w:tcPr>
            <w:tcW w:type="dxa" w:w="2492"/>
          </w:tcPr>
          <w:p>
            <w:pPr>
              <w:pStyle w:val="null3"/>
            </w:pPr>
            <w:r>
              <w:rPr>
                <w:rFonts w:ascii="仿宋_GB2312" w:hAnsi="仿宋_GB2312" w:cs="仿宋_GB2312" w:eastAsia="仿宋_GB2312"/>
              </w:rPr>
              <w:t>一、评审内容 针对本项目的服务提供详细的过程中的方案，内容包括：①风险防范措施②保密措施③保密责任 ④赔偿承诺。 二、评审标准 1、完整性：方案须全面，对评审内容中的各项要求描述详细； 2、可实施性：切合本项目实际情况，实施步骤清晰、合理； 3、针对性：方案能够紧扣项目实际情况，内容科学合理。 三、赋分依据（满分 6 分） ①风险防范措施：每完全满足一个评审标准得0.5分，满分1.5分；未提供不得分； ②保密措施:每完全满足一个评审标准得0.5分，满分1.5分；未提供不得分； ③保密责任:每完全满足一个评审标准得0.5分，满分1.5分；未提供不得分； ④赔偿承诺:每完全满足一个评审标准得0.5分，满分1.5分；未提供不得分；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项目质量管控措施</w:t>
            </w:r>
          </w:p>
        </w:tc>
        <w:tc>
          <w:tcPr>
            <w:tcW w:type="dxa" w:w="2492"/>
          </w:tcPr>
          <w:p>
            <w:pPr>
              <w:pStyle w:val="null3"/>
            </w:pPr>
            <w:r>
              <w:rPr>
                <w:rFonts w:ascii="仿宋_GB2312" w:hAnsi="仿宋_GB2312" w:cs="仿宋_GB2312" w:eastAsia="仿宋_GB2312"/>
              </w:rPr>
              <w:t>一、评审内容 针对本项目实际需求，提供严格 的质量管控措施方案。内容包含 ①质量管控措施②应急处理方案 ③过程控制及监控手段④技术人员按照相应的操作指导规范实施测评。 二、评审标准 1、完整性：方案须全面，对评审 内容中的各项要求描述详细； 2、可实施性：切合本项目实际情 况，实施步骤清晰、合理； 3、针对性：方案能够紧扣项目实际情况，内容科学合理。 三、赋分依据（满分 6 分） ①质量管控措施：每完全满足一个评审标准得0.5分，满分1.5分；未提供不得分； ②应急处理方案:每完全满足一个评审标准得0.5分，满分1.5分；未提供不得分； ③过程控制及监控手段:每完全满足一个评审标准得0.5分，满分1.5分；未提供不得分； ④技术人员按照相应的操作指导规范实施测评:每完全满足一个评审标准得0.5分，满分1.5分；未提供不得分。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项目组成员工作分配及项目实施进度管理</w:t>
            </w:r>
          </w:p>
        </w:tc>
        <w:tc>
          <w:tcPr>
            <w:tcW w:type="dxa" w:w="2492"/>
          </w:tcPr>
          <w:p>
            <w:pPr>
              <w:pStyle w:val="null3"/>
            </w:pPr>
            <w:r>
              <w:rPr>
                <w:rFonts w:ascii="仿宋_GB2312" w:hAnsi="仿宋_GB2312" w:cs="仿宋_GB2312" w:eastAsia="仿宋_GB2312"/>
              </w:rPr>
              <w:t>一、评审内容 针对项目组成员工作分配及项目实施进度具有科学合理安排提供详细方案，内容包含①项目实施进度管理。 ②成员岗位职责：具有岗位工作标准、服务质量标准、 现场质量控制体系③成员内控制度：具有保密制度、廉洁敬业制度、监督机制、自查制度。 二、评审标准 1、完整性：方案须全面，对评审内容中的各项要求描述详细； 2、可实施性：切合本项目实际情况，实施步骤清晰、合理； 3、针对性：方案能够紧扣项目实际情况，内容科学合理。 三、赋分依据（满分 9 分） ①项目实施进度管理:每完全满足一个评审标准得1分，满分3分；未提供不得分； ②成员岗位职责::每完全满足一个评审标准得1分，满分3分；未提供不得分； ③成员内控制度:每完全满足一个评审标准得1分，满分3分；未提供不得分；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团队人员技术能力</w:t>
            </w:r>
          </w:p>
        </w:tc>
        <w:tc>
          <w:tcPr>
            <w:tcW w:type="dxa" w:w="2492"/>
          </w:tcPr>
          <w:p>
            <w:pPr>
              <w:pStyle w:val="null3"/>
            </w:pPr>
            <w:r>
              <w:rPr>
                <w:rFonts w:ascii="仿宋_GB2312" w:hAnsi="仿宋_GB2312" w:cs="仿宋_GB2312" w:eastAsia="仿宋_GB2312"/>
              </w:rPr>
              <w:t>1.针对本项目的测评团队中至少包含1名高级测评师，2名中级测评师，满足条件得3分；在此基础上，每提供1名高级测评师加1分，每提供1名中级测评师加0.5分，满分2分；本项最高得5分。 2. 项目团队成员具备软件质量检验师证书、注册网络安全源代码审计专业人员（NSATP-SCA)证书、DSA数据安全评估师证书、高级信息安全管理工程师、ISTQB等证书，每提供一个得1分，不提供不得分，本项最高得5分； 3.针对本项目提供专业服务团队，人员配备数量充足，针对本项目服务经验丰富、人员相关资料提供充足，人员证书齐全，能充分满足本项目需求的得5分，能基本满足本项目需求的得3分，一般满足本项目需求的得1分，不满足本项目需求的得0分。本项最高得5分（提供证书复印件及在本单位连续三个月社保缴纳证明，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针对本项目为保障测评项目结束后的网络安全，服务方须提供完善的售后服务方案。内容包含① 应急响应服务②电话支持服务③ 配合检查服务④安全咨询服务⑤ 安全培训服务 二、评审标准 1、完整性：方案须全面，对评审内容中的各项要求描述详细； 2、可实施性：切合本项目实际情况，实施步骤清晰、合理； 3、针对性：方案能够紧扣项目实际情况，内容科学合理。 三、赋分依据（满分 9 分） ①应急响应服务：每完全满足一个评审标准得0.6分，满分1.8分；未提供不得分； ②电话支持服务:每完全满足一个评审标准得0.6分，满分1.8分；未提供不得分； ③配合检查服务:每完全满足一个评审标准得0.6分，满分1.8分；未提供不得分； ④安全咨询服务:每完全满足一个评审标准得0.6分，满分1.8分；未提供不得分； ⑤安全培训服务:每完全满足一个评审标准得0.6分，满分1.8分；未提供不得分。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同类案例</w:t>
            </w:r>
          </w:p>
        </w:tc>
        <w:tc>
          <w:tcPr>
            <w:tcW w:type="dxa" w:w="2492"/>
          </w:tcPr>
          <w:p>
            <w:pPr>
              <w:pStyle w:val="null3"/>
            </w:pPr>
            <w:r>
              <w:rPr>
                <w:rFonts w:ascii="仿宋_GB2312" w:hAnsi="仿宋_GB2312" w:cs="仿宋_GB2312" w:eastAsia="仿宋_GB2312"/>
              </w:rPr>
              <w:t>供应商提供 2021年1月1 日至今（以合同签订时间为准）同类成 功项目案例，每提供一个得2分，最多得10 分。 供应商需提 供项目案例合同关键页（包括但不限于合同封面页、合同双方、 服务内容、签字盖章、生效时间等）复印件并加盖公章，否则该 项目案例评分不得分。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满足磋商文件要求且最后报价最低的供应商的价格为磋商基准价。各供应商的价格分统一按照下列公式计算：磋商报价得分=(磋商基准价/最后磋商报价)x 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