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C22C2">
      <w:pPr>
        <w:pStyle w:val="3"/>
        <w:jc w:val="center"/>
        <w:rPr>
          <w:rFonts w:hint="eastAsia" w:ascii="仿宋_GB2312" w:hAnsi="仿宋_GB2312" w:eastAsia="仿宋_GB2312" w:cs="仿宋_GB2312"/>
          <w:b/>
          <w:bCs/>
        </w:rPr>
      </w:pPr>
    </w:p>
    <w:p w14:paraId="33A045C5">
      <w:pPr>
        <w:pStyle w:val="3"/>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西安市第三医院</w:t>
      </w:r>
    </w:p>
    <w:p w14:paraId="63C451B3">
      <w:pPr>
        <w:pStyle w:val="3"/>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等级保护测评服务合同</w:t>
      </w:r>
    </w:p>
    <w:p w14:paraId="53B43AD0">
      <w:pPr>
        <w:pStyle w:val="3"/>
        <w:jc w:val="center"/>
        <w:rPr>
          <w:rFonts w:hint="eastAsia" w:ascii="仿宋_GB2312" w:hAnsi="仿宋_GB2312" w:eastAsia="仿宋_GB2312" w:cs="仿宋_GB2312"/>
          <w:b/>
          <w:bCs/>
          <w:sz w:val="44"/>
          <w:szCs w:val="44"/>
        </w:rPr>
      </w:pPr>
    </w:p>
    <w:p w14:paraId="63812746">
      <w:pPr>
        <w:pStyle w:val="3"/>
        <w:jc w:val="center"/>
        <w:rPr>
          <w:rFonts w:ascii="仿宋_GB2312" w:hAnsi="仿宋_GB2312" w:eastAsia="仿宋_GB2312" w:cs="仿宋_GB2312"/>
          <w:b/>
          <w:bCs/>
        </w:rPr>
      </w:pPr>
      <w:r>
        <w:rPr>
          <w:rFonts w:hint="eastAsia" w:ascii="仿宋_GB2312" w:hAnsi="仿宋_GB2312" w:eastAsia="仿宋_GB2312" w:cs="仿宋_GB2312"/>
          <w:b/>
          <w:bCs/>
          <w:sz w:val="44"/>
          <w:szCs w:val="44"/>
        </w:rPr>
        <w:t>（编号：</w:t>
      </w:r>
      <w:r>
        <w:rPr>
          <w:rFonts w:ascii="仿宋_GB2312" w:hAnsi="仿宋_GB2312" w:eastAsia="仿宋_GB2312" w:cs="仿宋_GB2312"/>
          <w:b/>
          <w:bCs/>
          <w:sz w:val="44"/>
          <w:szCs w:val="44"/>
        </w:rPr>
        <w:t xml:space="preserve">           </w:t>
      </w:r>
      <w:r>
        <w:rPr>
          <w:rFonts w:hint="eastAsia" w:ascii="仿宋_GB2312" w:hAnsi="仿宋_GB2312" w:eastAsia="仿宋_GB2312" w:cs="仿宋_GB2312"/>
          <w:b/>
          <w:bCs/>
          <w:sz w:val="44"/>
          <w:szCs w:val="44"/>
        </w:rPr>
        <w:t>）</w:t>
      </w:r>
    </w:p>
    <w:p w14:paraId="1FBFD684">
      <w:pPr>
        <w:jc w:val="center"/>
        <w:rPr>
          <w:rFonts w:ascii="黑体" w:eastAsia="黑体"/>
          <w:sz w:val="30"/>
          <w:szCs w:val="30"/>
        </w:rPr>
      </w:pPr>
    </w:p>
    <w:p w14:paraId="69B4467F"/>
    <w:p w14:paraId="27D571DF">
      <w:pPr>
        <w:jc w:val="both"/>
        <w:rPr>
          <w:rFonts w:hint="eastAsia" w:ascii="黑体" w:eastAsia="黑体"/>
          <w:sz w:val="30"/>
          <w:szCs w:val="30"/>
        </w:rPr>
      </w:pPr>
    </w:p>
    <w:p w14:paraId="494EB04F">
      <w:pPr>
        <w:pStyle w:val="2"/>
      </w:pPr>
    </w:p>
    <w:p w14:paraId="76A7DFBB">
      <w:pPr>
        <w:pStyle w:val="4"/>
        <w:ind w:firstLine="210"/>
      </w:pPr>
    </w:p>
    <w:p w14:paraId="19D467EB">
      <w:pPr>
        <w:ind w:firstLine="2249" w:firstLineChars="70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甲  方：西安市第三医院</w:t>
      </w:r>
    </w:p>
    <w:p w14:paraId="3D7DA877">
      <w:pPr>
        <w:ind w:firstLine="2249" w:firstLineChars="70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 xml:space="preserve">乙  方： </w:t>
      </w:r>
    </w:p>
    <w:p w14:paraId="1BA7FAE4">
      <w:pPr>
        <w:jc w:val="both"/>
        <w:rPr>
          <w:rFonts w:hint="eastAsia" w:ascii="仿宋_GB2312" w:hAnsi="仿宋_GB2312" w:eastAsia="仿宋_GB2312" w:cs="仿宋_GB2312"/>
          <w:b/>
          <w:bCs/>
          <w:kern w:val="2"/>
          <w:sz w:val="32"/>
          <w:szCs w:val="32"/>
          <w:lang w:val="en-US" w:eastAsia="zh-CN" w:bidi="ar-SA"/>
        </w:rPr>
      </w:pPr>
    </w:p>
    <w:p w14:paraId="24903C62">
      <w:pPr>
        <w:jc w:val="both"/>
        <w:rPr>
          <w:rFonts w:hint="eastAsia" w:ascii="仿宋_GB2312" w:hAnsi="仿宋_GB2312" w:eastAsia="仿宋_GB2312" w:cs="仿宋_GB2312"/>
          <w:b/>
          <w:bCs/>
          <w:kern w:val="2"/>
          <w:sz w:val="32"/>
          <w:szCs w:val="32"/>
          <w:lang w:val="en-US" w:eastAsia="zh-CN" w:bidi="ar-SA"/>
        </w:rPr>
      </w:pPr>
    </w:p>
    <w:p w14:paraId="3285500E">
      <w:pPr>
        <w:ind w:firstLine="3213" w:firstLineChars="1000"/>
        <w:jc w:val="both"/>
        <w:rPr>
          <w:rFonts w:ascii="黑体" w:eastAsia="黑体"/>
          <w:sz w:val="32"/>
          <w:szCs w:val="32"/>
        </w:rPr>
      </w:pPr>
      <w:r>
        <w:rPr>
          <w:rFonts w:hint="eastAsia" w:ascii="仿宋_GB2312" w:hAnsi="仿宋_GB2312" w:eastAsia="仿宋_GB2312" w:cs="仿宋_GB2312"/>
          <w:b/>
          <w:bCs/>
          <w:kern w:val="2"/>
          <w:sz w:val="32"/>
          <w:szCs w:val="32"/>
          <w:lang w:val="en-US" w:eastAsia="zh-CN" w:bidi="ar-SA"/>
        </w:rPr>
        <w:t xml:space="preserve"> 年    月</w:t>
      </w:r>
    </w:p>
    <w:p w14:paraId="5D8FF9C5">
      <w:pPr>
        <w:spacing w:line="500" w:lineRule="exact"/>
        <w:ind w:firstLine="480" w:firstLineChars="200"/>
        <w:rPr>
          <w:rFonts w:hint="eastAsia" w:ascii="仿宋" w:hAnsi="仿宋" w:eastAsia="仿宋"/>
          <w:color w:val="000000"/>
          <w:sz w:val="24"/>
        </w:rPr>
      </w:pPr>
    </w:p>
    <w:p w14:paraId="7087A10D">
      <w:pPr>
        <w:spacing w:line="500" w:lineRule="exact"/>
        <w:ind w:firstLine="480" w:firstLineChars="200"/>
        <w:rPr>
          <w:rFonts w:hint="eastAsia" w:ascii="仿宋" w:hAnsi="仿宋" w:eastAsia="仿宋"/>
          <w:color w:val="000000"/>
          <w:sz w:val="24"/>
        </w:rPr>
      </w:pPr>
    </w:p>
    <w:p w14:paraId="182FA9F7">
      <w:pPr>
        <w:spacing w:line="500" w:lineRule="exact"/>
        <w:ind w:firstLine="480" w:firstLineChars="200"/>
        <w:rPr>
          <w:rFonts w:hint="eastAsia" w:ascii="仿宋" w:hAnsi="仿宋" w:eastAsia="仿宋"/>
          <w:color w:val="000000"/>
          <w:sz w:val="24"/>
        </w:rPr>
      </w:pPr>
      <w:bookmarkStart w:id="0" w:name="_GoBack"/>
      <w:bookmarkEnd w:id="0"/>
    </w:p>
    <w:p w14:paraId="5B13ECC3">
      <w:pPr>
        <w:pStyle w:val="2"/>
        <w:rPr>
          <w:rFonts w:hint="eastAsia" w:ascii="仿宋" w:hAnsi="仿宋" w:eastAsia="仿宋"/>
          <w:color w:val="000000"/>
          <w:sz w:val="24"/>
        </w:rPr>
      </w:pPr>
    </w:p>
    <w:p w14:paraId="18288AD4">
      <w:pPr>
        <w:rPr>
          <w:rFonts w:hint="eastAsia" w:ascii="仿宋" w:hAnsi="仿宋" w:eastAsia="仿宋"/>
          <w:color w:val="000000"/>
          <w:sz w:val="24"/>
        </w:rPr>
      </w:pPr>
    </w:p>
    <w:p w14:paraId="45A2C130">
      <w:pPr>
        <w:pStyle w:val="2"/>
        <w:rPr>
          <w:rFonts w:hint="eastAsia" w:ascii="仿宋" w:hAnsi="仿宋" w:eastAsia="仿宋"/>
          <w:color w:val="000000"/>
          <w:sz w:val="24"/>
        </w:rPr>
      </w:pPr>
    </w:p>
    <w:p w14:paraId="6B4E32D1">
      <w:pPr>
        <w:rPr>
          <w:rFonts w:hint="eastAsia"/>
        </w:rPr>
      </w:pPr>
    </w:p>
    <w:p w14:paraId="3FE28B2B">
      <w:pPr>
        <w:pStyle w:val="2"/>
        <w:rPr>
          <w:rFonts w:hint="eastAsia"/>
        </w:rPr>
      </w:pPr>
    </w:p>
    <w:p w14:paraId="7C7ACCD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甲  方：西安市第三医院</w:t>
      </w:r>
    </w:p>
    <w:p w14:paraId="4D32972F">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住所地：西安市凤城三路东段10号</w:t>
      </w:r>
    </w:p>
    <w:p w14:paraId="6FC60CE0">
      <w:pPr>
        <w:spacing w:line="500" w:lineRule="exact"/>
        <w:ind w:firstLine="480" w:firstLineChars="200"/>
        <w:rPr>
          <w:rFonts w:ascii="仿宋" w:hAnsi="仿宋" w:eastAsia="仿宋"/>
          <w:color w:val="000000"/>
          <w:sz w:val="24"/>
        </w:rPr>
      </w:pPr>
      <w:r>
        <w:rPr>
          <w:rFonts w:hint="eastAsia" w:ascii="仿宋" w:hAnsi="仿宋" w:eastAsia="仿宋"/>
          <w:color w:val="000000"/>
          <w:sz w:val="24"/>
        </w:rPr>
        <w:t xml:space="preserve">法定代表人： </w:t>
      </w:r>
    </w:p>
    <w:p w14:paraId="2CA34B8B">
      <w:pPr>
        <w:spacing w:line="500" w:lineRule="exact"/>
        <w:ind w:firstLine="480" w:firstLineChars="200"/>
        <w:rPr>
          <w:rFonts w:ascii="仿宋" w:hAnsi="仿宋" w:eastAsia="仿宋"/>
          <w:color w:val="000000"/>
          <w:sz w:val="24"/>
        </w:rPr>
      </w:pPr>
      <w:r>
        <w:rPr>
          <w:rFonts w:hint="eastAsia" w:ascii="仿宋" w:hAnsi="仿宋" w:eastAsia="仿宋"/>
          <w:color w:val="000000"/>
          <w:sz w:val="24"/>
        </w:rPr>
        <w:t>联系方式：029-61816199</w:t>
      </w:r>
    </w:p>
    <w:p w14:paraId="7E44CBC1">
      <w:pPr>
        <w:spacing w:line="500" w:lineRule="exact"/>
        <w:rPr>
          <w:rFonts w:ascii="仿宋" w:hAnsi="仿宋" w:eastAsia="仿宋"/>
          <w:color w:val="000000"/>
          <w:sz w:val="24"/>
        </w:rPr>
      </w:pPr>
    </w:p>
    <w:p w14:paraId="531BCE5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 xml:space="preserve">乙  方：  </w:t>
      </w:r>
    </w:p>
    <w:p w14:paraId="724A865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 xml:space="preserve">住所地：  </w:t>
      </w:r>
    </w:p>
    <w:p w14:paraId="54D1A621">
      <w:pPr>
        <w:spacing w:line="500" w:lineRule="exact"/>
        <w:ind w:firstLine="480" w:firstLineChars="200"/>
        <w:rPr>
          <w:rFonts w:ascii="仿宋" w:hAnsi="仿宋" w:eastAsia="仿宋"/>
          <w:color w:val="000000"/>
          <w:sz w:val="24"/>
        </w:rPr>
      </w:pPr>
      <w:r>
        <w:rPr>
          <w:rFonts w:hint="eastAsia" w:ascii="仿宋" w:hAnsi="仿宋" w:eastAsia="仿宋"/>
          <w:color w:val="000000"/>
          <w:sz w:val="24"/>
        </w:rPr>
        <w:t xml:space="preserve">法定代表人： </w:t>
      </w:r>
    </w:p>
    <w:p w14:paraId="27FBF031">
      <w:pPr>
        <w:spacing w:line="500" w:lineRule="exact"/>
        <w:ind w:firstLine="480" w:firstLineChars="200"/>
        <w:rPr>
          <w:rFonts w:ascii="仿宋" w:hAnsi="仿宋" w:eastAsia="仿宋"/>
          <w:color w:val="000000"/>
          <w:sz w:val="24"/>
        </w:rPr>
      </w:pPr>
      <w:r>
        <w:rPr>
          <w:rFonts w:hint="eastAsia" w:ascii="仿宋" w:hAnsi="仿宋" w:eastAsia="仿宋"/>
          <w:color w:val="000000"/>
          <w:sz w:val="24"/>
        </w:rPr>
        <w:t xml:space="preserve">联系方式： </w:t>
      </w:r>
      <w:r>
        <w:rPr>
          <w:rFonts w:ascii="仿宋" w:hAnsi="仿宋" w:eastAsia="仿宋"/>
          <w:color w:val="000000"/>
          <w:sz w:val="24"/>
        </w:rPr>
        <w:t xml:space="preserve"> </w:t>
      </w:r>
    </w:p>
    <w:p w14:paraId="0864E18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在西安市财政局政府采购管理处的监督管理下，按照政府采购程序组织竞争性磋商，确定乙方为西安市第三医院</w:t>
      </w:r>
      <w:r>
        <w:rPr>
          <w:rFonts w:hint="eastAsia" w:ascii="仿宋" w:hAnsi="仿宋" w:eastAsia="仿宋"/>
          <w:color w:val="000000"/>
          <w:sz w:val="24"/>
          <w:u w:val="single"/>
        </w:rPr>
        <w:t xml:space="preserve">   </w:t>
      </w:r>
      <w:r>
        <w:rPr>
          <w:rFonts w:ascii="仿宋" w:hAnsi="仿宋" w:eastAsia="仿宋"/>
          <w:color w:val="000000"/>
          <w:sz w:val="24"/>
          <w:u w:val="single"/>
        </w:rPr>
        <w:t xml:space="preserve">         </w:t>
      </w:r>
      <w:r>
        <w:rPr>
          <w:rFonts w:hint="eastAsia" w:ascii="仿宋" w:hAnsi="仿宋" w:eastAsia="仿宋"/>
          <w:color w:val="000000"/>
          <w:sz w:val="24"/>
          <w:u w:val="single"/>
        </w:rPr>
        <w:t xml:space="preserve">    </w:t>
      </w:r>
      <w:r>
        <w:rPr>
          <w:rFonts w:hint="eastAsia" w:ascii="仿宋" w:hAnsi="仿宋" w:eastAsia="仿宋"/>
          <w:color w:val="000000"/>
          <w:sz w:val="24"/>
        </w:rPr>
        <w:t>项目（项目编号：</w:t>
      </w:r>
      <w:r>
        <w:rPr>
          <w:rFonts w:hint="eastAsia" w:ascii="仿宋" w:hAnsi="仿宋" w:eastAsia="仿宋"/>
          <w:color w:val="000000"/>
          <w:sz w:val="24"/>
          <w:u w:val="single"/>
        </w:rPr>
        <w:t xml:space="preserve">  </w:t>
      </w:r>
      <w:r>
        <w:rPr>
          <w:rFonts w:ascii="仿宋" w:hAnsi="仿宋" w:eastAsia="仿宋"/>
          <w:color w:val="000000"/>
          <w:sz w:val="24"/>
          <w:u w:val="single"/>
        </w:rPr>
        <w:t xml:space="preserve">          </w:t>
      </w:r>
      <w:r>
        <w:rPr>
          <w:rFonts w:hint="eastAsia" w:ascii="仿宋" w:hAnsi="仿宋" w:eastAsia="仿宋"/>
          <w:color w:val="000000"/>
          <w:sz w:val="24"/>
          <w:u w:val="single"/>
        </w:rPr>
        <w:t xml:space="preserve"> </w:t>
      </w:r>
      <w:r>
        <w:rPr>
          <w:rFonts w:hint="eastAsia" w:ascii="仿宋" w:hAnsi="仿宋" w:eastAsia="仿宋"/>
          <w:color w:val="000000"/>
          <w:sz w:val="24"/>
        </w:rPr>
        <w:t>）成交供应商。依据《中华人民共和国政府采购法》、《民法典》以及竞争性磋商文件、成交通知书，经甲、乙双方协商，达成如下合同条款。</w:t>
      </w:r>
    </w:p>
    <w:p w14:paraId="71EB291D">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一、合同标的物内容及数量（以响应文件正本和澄清表〈函〉为准）</w:t>
      </w:r>
    </w:p>
    <w:tbl>
      <w:tblPr>
        <w:tblStyle w:val="5"/>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2575"/>
        <w:gridCol w:w="1842"/>
        <w:gridCol w:w="1418"/>
        <w:gridCol w:w="921"/>
      </w:tblGrid>
      <w:tr w14:paraId="711F4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vAlign w:val="center"/>
          </w:tcPr>
          <w:p w14:paraId="38927CAB">
            <w:pPr>
              <w:spacing w:line="500" w:lineRule="exact"/>
              <w:jc w:val="center"/>
              <w:rPr>
                <w:rFonts w:ascii="仿宋" w:hAnsi="仿宋" w:eastAsia="仿宋"/>
                <w:color w:val="000000"/>
                <w:sz w:val="24"/>
              </w:rPr>
            </w:pPr>
            <w:r>
              <w:rPr>
                <w:rFonts w:hint="eastAsia" w:ascii="仿宋" w:hAnsi="仿宋" w:eastAsia="仿宋"/>
                <w:color w:val="000000"/>
                <w:sz w:val="24"/>
              </w:rPr>
              <w:t>序号</w:t>
            </w:r>
          </w:p>
        </w:tc>
        <w:tc>
          <w:tcPr>
            <w:tcW w:w="1351" w:type="dxa"/>
            <w:vAlign w:val="center"/>
          </w:tcPr>
          <w:p w14:paraId="39E4633C">
            <w:pPr>
              <w:spacing w:line="500" w:lineRule="exact"/>
              <w:jc w:val="center"/>
              <w:rPr>
                <w:rFonts w:ascii="仿宋" w:hAnsi="仿宋" w:eastAsia="仿宋"/>
                <w:color w:val="000000"/>
                <w:sz w:val="24"/>
              </w:rPr>
            </w:pPr>
            <w:r>
              <w:rPr>
                <w:rFonts w:hint="eastAsia" w:ascii="仿宋" w:hAnsi="仿宋" w:eastAsia="仿宋"/>
                <w:color w:val="000000"/>
                <w:sz w:val="24"/>
              </w:rPr>
              <w:t>服务名称</w:t>
            </w:r>
          </w:p>
        </w:tc>
        <w:tc>
          <w:tcPr>
            <w:tcW w:w="2575" w:type="dxa"/>
            <w:vAlign w:val="center"/>
          </w:tcPr>
          <w:p w14:paraId="14F30D18">
            <w:pPr>
              <w:spacing w:line="500" w:lineRule="exact"/>
              <w:jc w:val="center"/>
              <w:rPr>
                <w:rFonts w:ascii="仿宋" w:hAnsi="仿宋" w:eastAsia="仿宋"/>
                <w:color w:val="000000"/>
                <w:sz w:val="24"/>
              </w:rPr>
            </w:pPr>
            <w:r>
              <w:rPr>
                <w:rFonts w:hint="eastAsia" w:ascii="仿宋" w:hAnsi="仿宋" w:eastAsia="仿宋"/>
                <w:color w:val="000000"/>
                <w:sz w:val="24"/>
              </w:rPr>
              <w:t>服务内容</w:t>
            </w:r>
          </w:p>
        </w:tc>
        <w:tc>
          <w:tcPr>
            <w:tcW w:w="1842" w:type="dxa"/>
            <w:vAlign w:val="center"/>
          </w:tcPr>
          <w:p w14:paraId="0457CCCF">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418" w:type="dxa"/>
            <w:vAlign w:val="center"/>
          </w:tcPr>
          <w:p w14:paraId="3D5BF3CF">
            <w:pPr>
              <w:spacing w:line="500" w:lineRule="exact"/>
              <w:jc w:val="center"/>
              <w:rPr>
                <w:rFonts w:ascii="仿宋" w:hAnsi="仿宋" w:eastAsia="仿宋"/>
                <w:color w:val="000000"/>
                <w:sz w:val="24"/>
              </w:rPr>
            </w:pPr>
            <w:r>
              <w:rPr>
                <w:rFonts w:hint="eastAsia" w:ascii="仿宋" w:hAnsi="仿宋" w:eastAsia="仿宋"/>
                <w:color w:val="000000"/>
                <w:sz w:val="24"/>
              </w:rPr>
              <w:t>服务时间</w:t>
            </w:r>
          </w:p>
        </w:tc>
        <w:tc>
          <w:tcPr>
            <w:tcW w:w="921" w:type="dxa"/>
            <w:vAlign w:val="center"/>
          </w:tcPr>
          <w:p w14:paraId="01210768">
            <w:pPr>
              <w:spacing w:line="500" w:lineRule="exact"/>
              <w:jc w:val="center"/>
              <w:rPr>
                <w:rFonts w:ascii="仿宋" w:hAnsi="仿宋" w:eastAsia="仿宋"/>
                <w:color w:val="000000"/>
                <w:sz w:val="24"/>
              </w:rPr>
            </w:pPr>
            <w:r>
              <w:rPr>
                <w:rFonts w:hint="eastAsia" w:ascii="仿宋" w:hAnsi="仿宋" w:eastAsia="仿宋"/>
                <w:color w:val="000000"/>
                <w:sz w:val="24"/>
              </w:rPr>
              <w:t>备注</w:t>
            </w:r>
          </w:p>
        </w:tc>
      </w:tr>
      <w:tr w14:paraId="5C15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14:paraId="1306EA37">
            <w:pPr>
              <w:spacing w:line="500" w:lineRule="exact"/>
              <w:jc w:val="center"/>
              <w:rPr>
                <w:rFonts w:ascii="仿宋" w:hAnsi="仿宋" w:eastAsia="仿宋"/>
                <w:color w:val="000000"/>
                <w:sz w:val="24"/>
              </w:rPr>
            </w:pPr>
            <w:r>
              <w:rPr>
                <w:rFonts w:hint="eastAsia" w:ascii="仿宋" w:hAnsi="仿宋" w:eastAsia="仿宋"/>
                <w:color w:val="000000"/>
                <w:sz w:val="24"/>
              </w:rPr>
              <w:t>1</w:t>
            </w:r>
          </w:p>
        </w:tc>
        <w:tc>
          <w:tcPr>
            <w:tcW w:w="1351" w:type="dxa"/>
            <w:vAlign w:val="center"/>
          </w:tcPr>
          <w:p w14:paraId="5F059A39">
            <w:pPr>
              <w:spacing w:line="500" w:lineRule="exact"/>
              <w:jc w:val="left"/>
              <w:rPr>
                <w:rFonts w:ascii="仿宋" w:hAnsi="仿宋" w:eastAsia="仿宋"/>
                <w:color w:val="000000"/>
                <w:sz w:val="24"/>
              </w:rPr>
            </w:pPr>
          </w:p>
        </w:tc>
        <w:tc>
          <w:tcPr>
            <w:tcW w:w="2575" w:type="dxa"/>
          </w:tcPr>
          <w:p w14:paraId="0272BE7D">
            <w:pPr>
              <w:spacing w:line="500" w:lineRule="exact"/>
              <w:jc w:val="left"/>
              <w:rPr>
                <w:rFonts w:ascii="仿宋" w:hAnsi="仿宋" w:eastAsia="仿宋"/>
                <w:color w:val="000000"/>
                <w:sz w:val="24"/>
              </w:rPr>
            </w:pPr>
          </w:p>
        </w:tc>
        <w:tc>
          <w:tcPr>
            <w:tcW w:w="1842" w:type="dxa"/>
          </w:tcPr>
          <w:p w14:paraId="2B1FDC81">
            <w:pPr>
              <w:spacing w:line="500" w:lineRule="exact"/>
              <w:jc w:val="left"/>
              <w:rPr>
                <w:rFonts w:ascii="仿宋" w:hAnsi="仿宋" w:eastAsia="仿宋"/>
                <w:color w:val="000000"/>
                <w:sz w:val="24"/>
              </w:rPr>
            </w:pPr>
          </w:p>
        </w:tc>
        <w:tc>
          <w:tcPr>
            <w:tcW w:w="1418" w:type="dxa"/>
            <w:vAlign w:val="center"/>
          </w:tcPr>
          <w:p w14:paraId="3069C1CF">
            <w:pPr>
              <w:spacing w:line="500" w:lineRule="exact"/>
              <w:jc w:val="left"/>
              <w:rPr>
                <w:rFonts w:ascii="仿宋" w:hAnsi="仿宋" w:eastAsia="仿宋"/>
                <w:color w:val="000000"/>
                <w:sz w:val="24"/>
              </w:rPr>
            </w:pPr>
          </w:p>
        </w:tc>
        <w:tc>
          <w:tcPr>
            <w:tcW w:w="921" w:type="dxa"/>
          </w:tcPr>
          <w:p w14:paraId="49579779">
            <w:pPr>
              <w:spacing w:line="500" w:lineRule="exact"/>
              <w:ind w:firstLine="480" w:firstLineChars="200"/>
              <w:jc w:val="left"/>
              <w:rPr>
                <w:rFonts w:ascii="仿宋" w:hAnsi="仿宋" w:eastAsia="仿宋"/>
                <w:color w:val="000000"/>
                <w:sz w:val="24"/>
              </w:rPr>
            </w:pPr>
          </w:p>
        </w:tc>
      </w:tr>
      <w:tr w14:paraId="61A8C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14:paraId="4AEC0946">
            <w:pPr>
              <w:spacing w:line="500" w:lineRule="exact"/>
              <w:rPr>
                <w:rFonts w:ascii="仿宋" w:hAnsi="仿宋" w:eastAsia="仿宋"/>
                <w:color w:val="000000"/>
                <w:sz w:val="24"/>
              </w:rPr>
            </w:pPr>
            <w:r>
              <w:rPr>
                <w:rFonts w:hint="eastAsia" w:ascii="仿宋" w:hAnsi="仿宋" w:eastAsia="仿宋"/>
                <w:color w:val="000000"/>
                <w:sz w:val="24"/>
              </w:rPr>
              <w:t>合计</w:t>
            </w:r>
          </w:p>
        </w:tc>
        <w:tc>
          <w:tcPr>
            <w:tcW w:w="8107" w:type="dxa"/>
            <w:gridSpan w:val="5"/>
            <w:vAlign w:val="center"/>
          </w:tcPr>
          <w:p w14:paraId="3AD76669">
            <w:pPr>
              <w:spacing w:line="500" w:lineRule="exact"/>
              <w:rPr>
                <w:rFonts w:ascii="仿宋" w:hAnsi="仿宋" w:eastAsia="仿宋"/>
                <w:color w:val="000000"/>
                <w:sz w:val="24"/>
              </w:rPr>
            </w:pPr>
            <w:r>
              <w:rPr>
                <w:rFonts w:hint="eastAsia" w:ascii="仿宋" w:hAnsi="仿宋" w:eastAsia="仿宋"/>
                <w:color w:val="000000"/>
                <w:sz w:val="24"/>
              </w:rPr>
              <w:t xml:space="preserve">大写金额: </w:t>
            </w:r>
            <w:r>
              <w:rPr>
                <w:rFonts w:ascii="仿宋" w:hAnsi="仿宋" w:eastAsia="仿宋"/>
                <w:color w:val="000000"/>
                <w:sz w:val="24"/>
              </w:rPr>
              <w:t xml:space="preserve">           </w:t>
            </w:r>
            <w:r>
              <w:rPr>
                <w:rFonts w:hint="eastAsia" w:ascii="仿宋" w:hAnsi="仿宋" w:eastAsia="仿宋"/>
                <w:color w:val="000000"/>
                <w:sz w:val="24"/>
              </w:rPr>
              <w:t>元整（￥：</w:t>
            </w:r>
            <w:r>
              <w:rPr>
                <w:rFonts w:ascii="仿宋" w:hAnsi="仿宋" w:eastAsia="仿宋"/>
                <w:color w:val="000000"/>
                <w:sz w:val="24"/>
              </w:rPr>
              <w:t xml:space="preserve">         </w:t>
            </w:r>
            <w:r>
              <w:rPr>
                <w:rFonts w:hint="eastAsia" w:ascii="仿宋" w:hAnsi="仿宋" w:eastAsia="仿宋"/>
                <w:color w:val="000000"/>
                <w:sz w:val="24"/>
              </w:rPr>
              <w:t>元）</w:t>
            </w:r>
          </w:p>
        </w:tc>
      </w:tr>
    </w:tbl>
    <w:p w14:paraId="2889BFC6">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二、服务条件：</w:t>
      </w:r>
    </w:p>
    <w:p w14:paraId="2C040B9A">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（一）服务地点：甲方指定地点。</w:t>
      </w:r>
    </w:p>
    <w:p w14:paraId="29245516">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（二）交付期:自合同签订之日起</w:t>
      </w:r>
      <w:r>
        <w:rPr>
          <w:rFonts w:ascii="仿宋" w:hAnsi="仿宋" w:eastAsia="仿宋"/>
          <w:color w:val="000000"/>
          <w:sz w:val="24"/>
          <w:u w:val="single"/>
        </w:rPr>
        <w:t xml:space="preserve">        </w:t>
      </w:r>
      <w:r>
        <w:rPr>
          <w:rFonts w:hint="eastAsia" w:ascii="仿宋" w:hAnsi="仿宋" w:eastAsia="仿宋"/>
          <w:color w:val="000000"/>
          <w:sz w:val="24"/>
        </w:rPr>
        <w:t>个日历日内出具系统测评报告，</w:t>
      </w:r>
      <w:r>
        <w:rPr>
          <w:rFonts w:ascii="仿宋" w:hAnsi="仿宋" w:eastAsia="仿宋"/>
          <w:color w:val="000000"/>
          <w:sz w:val="24"/>
        </w:rPr>
        <w:t>不得延期</w:t>
      </w:r>
      <w:r>
        <w:rPr>
          <w:rFonts w:hint="eastAsia" w:ascii="仿宋" w:hAnsi="仿宋" w:eastAsia="仿宋"/>
          <w:color w:val="000000"/>
          <w:sz w:val="24"/>
        </w:rPr>
        <w:t>。</w:t>
      </w:r>
    </w:p>
    <w:p w14:paraId="36F7EF4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三、合同价款</w:t>
      </w:r>
    </w:p>
    <w:p w14:paraId="6F36DADD">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（一）合同总价款为人民币（大写）</w:t>
      </w:r>
      <w:r>
        <w:rPr>
          <w:rFonts w:ascii="仿宋" w:hAnsi="仿宋" w:eastAsia="仿宋"/>
          <w:color w:val="000000"/>
          <w:sz w:val="24"/>
          <w:u w:val="single"/>
        </w:rPr>
        <w:t xml:space="preserve">  </w:t>
      </w:r>
      <w:r>
        <w:rPr>
          <w:rFonts w:hint="eastAsia" w:ascii="仿宋" w:hAnsi="仿宋" w:eastAsia="仿宋"/>
          <w:color w:val="000000"/>
          <w:sz w:val="24"/>
          <w:u w:val="single"/>
        </w:rPr>
        <w:t xml:space="preserve"> </w:t>
      </w:r>
      <w:r>
        <w:rPr>
          <w:rFonts w:ascii="仿宋" w:hAnsi="仿宋" w:eastAsia="仿宋"/>
          <w:color w:val="000000"/>
          <w:sz w:val="24"/>
          <w:u w:val="single"/>
        </w:rPr>
        <w:t xml:space="preserve">     </w:t>
      </w:r>
      <w:r>
        <w:rPr>
          <w:rFonts w:hint="eastAsia" w:ascii="仿宋" w:hAnsi="仿宋" w:eastAsia="仿宋"/>
          <w:color w:val="000000"/>
          <w:sz w:val="24"/>
        </w:rPr>
        <w:t xml:space="preserve"> ；￥ </w:t>
      </w:r>
      <w:r>
        <w:rPr>
          <w:rFonts w:ascii="仿宋" w:hAnsi="仿宋" w:eastAsia="仿宋"/>
          <w:color w:val="000000"/>
          <w:sz w:val="24"/>
          <w:u w:val="single"/>
        </w:rPr>
        <w:t xml:space="preserve">        </w:t>
      </w:r>
      <w:r>
        <w:rPr>
          <w:rFonts w:hint="eastAsia" w:ascii="仿宋" w:hAnsi="仿宋" w:eastAsia="仿宋"/>
          <w:color w:val="000000"/>
          <w:sz w:val="24"/>
        </w:rPr>
        <w:t>元。</w:t>
      </w:r>
    </w:p>
    <w:p w14:paraId="7B0EAC5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（二）合同总价包括：测评费和其他全部费用。</w:t>
      </w:r>
    </w:p>
    <w:p w14:paraId="0C0FCFCA">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（三）合同总价一次性包死，不受市场价格变化因素的影响。</w:t>
      </w:r>
    </w:p>
    <w:p w14:paraId="2CDB3C1D">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四、款项结算</w:t>
      </w:r>
    </w:p>
    <w:p w14:paraId="0B703D4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（一）合同签订后 30个工作日内支付合同总价款的</w:t>
      </w:r>
      <w:r>
        <w:rPr>
          <w:rFonts w:ascii="仿宋" w:hAnsi="仿宋" w:eastAsia="仿宋"/>
          <w:color w:val="000000"/>
          <w:sz w:val="24"/>
          <w:u w:val="single"/>
        </w:rPr>
        <w:t xml:space="preserve"> </w:t>
      </w:r>
      <w:r>
        <w:rPr>
          <w:rFonts w:hint="eastAsia" w:ascii="仿宋" w:hAnsi="仿宋" w:eastAsia="仿宋"/>
          <w:color w:val="000000"/>
          <w:sz w:val="24"/>
          <w:u w:val="single"/>
        </w:rPr>
        <w:t>30</w:t>
      </w:r>
      <w:r>
        <w:rPr>
          <w:rFonts w:ascii="仿宋" w:hAnsi="仿宋" w:eastAsia="仿宋"/>
          <w:color w:val="000000"/>
          <w:sz w:val="24"/>
          <w:u w:val="single"/>
        </w:rPr>
        <w:t xml:space="preserve">  </w:t>
      </w:r>
      <w:r>
        <w:rPr>
          <w:rFonts w:hint="eastAsia" w:ascii="仿宋" w:hAnsi="仿宋" w:eastAsia="仿宋"/>
          <w:color w:val="000000"/>
          <w:sz w:val="24"/>
        </w:rPr>
        <w:t xml:space="preserve"> %。即人民币（大写）</w:t>
      </w:r>
      <w:r>
        <w:rPr>
          <w:rFonts w:ascii="仿宋" w:hAnsi="仿宋" w:eastAsia="仿宋"/>
          <w:color w:val="000000"/>
          <w:sz w:val="24"/>
          <w:u w:val="single"/>
        </w:rPr>
        <w:t xml:space="preserve"> </w:t>
      </w:r>
      <w:r>
        <w:rPr>
          <w:rFonts w:hint="eastAsia" w:ascii="仿宋" w:hAnsi="仿宋" w:eastAsia="仿宋"/>
          <w:color w:val="000000"/>
          <w:sz w:val="24"/>
          <w:u w:val="single"/>
        </w:rPr>
        <w:t xml:space="preserve"> </w:t>
      </w:r>
      <w:r>
        <w:rPr>
          <w:rFonts w:ascii="仿宋" w:hAnsi="仿宋" w:eastAsia="仿宋"/>
          <w:color w:val="000000"/>
          <w:sz w:val="24"/>
          <w:u w:val="single"/>
        </w:rPr>
        <w:t xml:space="preserve">           </w:t>
      </w:r>
      <w:r>
        <w:rPr>
          <w:rFonts w:hint="eastAsia" w:ascii="仿宋" w:hAnsi="仿宋" w:eastAsia="仿宋"/>
          <w:color w:val="000000"/>
          <w:sz w:val="24"/>
        </w:rPr>
        <w:t xml:space="preserve"> ；￥</w:t>
      </w:r>
      <w:r>
        <w:rPr>
          <w:rFonts w:ascii="仿宋" w:hAnsi="仿宋" w:eastAsia="仿宋"/>
          <w:color w:val="000000"/>
          <w:sz w:val="24"/>
          <w:u w:val="single"/>
        </w:rPr>
        <w:t xml:space="preserve">             </w:t>
      </w:r>
      <w:r>
        <w:rPr>
          <w:rFonts w:hint="eastAsia" w:ascii="仿宋" w:hAnsi="仿宋" w:eastAsia="仿宋"/>
          <w:color w:val="000000"/>
          <w:sz w:val="24"/>
        </w:rPr>
        <w:t xml:space="preserve"> 元。</w:t>
      </w:r>
    </w:p>
    <w:p w14:paraId="66D7DA70">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（二）所有服务内容完成出具系统测评报告并验收合格后， 30个工作日内支付合同总价款的</w:t>
      </w:r>
      <w:r>
        <w:rPr>
          <w:rFonts w:ascii="仿宋" w:hAnsi="仿宋" w:eastAsia="仿宋"/>
          <w:color w:val="000000"/>
          <w:sz w:val="24"/>
          <w:u w:val="single"/>
        </w:rPr>
        <w:t xml:space="preserve"> </w:t>
      </w:r>
      <w:r>
        <w:rPr>
          <w:rFonts w:hint="eastAsia" w:ascii="仿宋" w:hAnsi="仿宋" w:eastAsia="仿宋"/>
          <w:color w:val="000000"/>
          <w:sz w:val="24"/>
          <w:u w:val="single"/>
        </w:rPr>
        <w:t>70</w:t>
      </w:r>
      <w:r>
        <w:rPr>
          <w:rFonts w:ascii="仿宋" w:hAnsi="仿宋" w:eastAsia="仿宋"/>
          <w:color w:val="000000"/>
          <w:sz w:val="24"/>
          <w:u w:val="single"/>
        </w:rPr>
        <w:t xml:space="preserve">  </w:t>
      </w:r>
      <w:r>
        <w:rPr>
          <w:rFonts w:hint="eastAsia" w:ascii="仿宋" w:hAnsi="仿宋" w:eastAsia="仿宋"/>
          <w:color w:val="000000"/>
          <w:sz w:val="24"/>
        </w:rPr>
        <w:t xml:space="preserve"> %。即人民币（大写）</w:t>
      </w:r>
      <w:r>
        <w:rPr>
          <w:rFonts w:ascii="仿宋" w:hAnsi="仿宋" w:eastAsia="仿宋"/>
          <w:color w:val="000000"/>
          <w:sz w:val="24"/>
          <w:u w:val="single"/>
        </w:rPr>
        <w:t xml:space="preserve"> </w:t>
      </w:r>
      <w:r>
        <w:rPr>
          <w:rFonts w:hint="eastAsia" w:ascii="仿宋" w:hAnsi="仿宋" w:eastAsia="仿宋"/>
          <w:color w:val="000000"/>
          <w:sz w:val="24"/>
          <w:u w:val="single"/>
        </w:rPr>
        <w:t xml:space="preserve"> </w:t>
      </w:r>
      <w:r>
        <w:rPr>
          <w:rFonts w:ascii="仿宋" w:hAnsi="仿宋" w:eastAsia="仿宋"/>
          <w:color w:val="000000"/>
          <w:sz w:val="24"/>
          <w:u w:val="single"/>
        </w:rPr>
        <w:t xml:space="preserve">        </w:t>
      </w:r>
      <w:r>
        <w:rPr>
          <w:rFonts w:hint="eastAsia" w:ascii="仿宋" w:hAnsi="仿宋" w:eastAsia="仿宋"/>
          <w:color w:val="000000"/>
          <w:sz w:val="24"/>
        </w:rPr>
        <w:t xml:space="preserve"> ；￥</w:t>
      </w:r>
      <w:r>
        <w:rPr>
          <w:rFonts w:ascii="仿宋" w:hAnsi="仿宋" w:eastAsia="仿宋"/>
          <w:color w:val="000000"/>
          <w:sz w:val="24"/>
          <w:u w:val="single"/>
        </w:rPr>
        <w:t xml:space="preserve">       </w:t>
      </w:r>
      <w:r>
        <w:rPr>
          <w:rFonts w:hint="eastAsia" w:ascii="仿宋" w:hAnsi="仿宋" w:eastAsia="仿宋"/>
          <w:color w:val="000000"/>
          <w:sz w:val="24"/>
        </w:rPr>
        <w:t xml:space="preserve"> 元。</w:t>
      </w:r>
    </w:p>
    <w:p w14:paraId="089A5910">
      <w:pPr>
        <w:spacing w:line="276" w:lineRule="auto"/>
        <w:ind w:firstLine="480" w:firstLineChars="200"/>
        <w:rPr>
          <w:rFonts w:ascii="仿宋" w:hAnsi="仿宋" w:eastAsia="仿宋"/>
          <w:color w:val="000000"/>
          <w:sz w:val="24"/>
        </w:rPr>
      </w:pPr>
      <w:r>
        <w:rPr>
          <w:rFonts w:hint="eastAsia" w:ascii="仿宋" w:hAnsi="仿宋" w:eastAsia="仿宋"/>
          <w:color w:val="000000"/>
          <w:sz w:val="24"/>
        </w:rPr>
        <w:t>（三）支付方式：银行转账。甲方通过转账方式将应付乙方款项付至乙方指定下列账户：</w:t>
      </w:r>
    </w:p>
    <w:p w14:paraId="2CA4841E">
      <w:pPr>
        <w:spacing w:line="276" w:lineRule="auto"/>
        <w:ind w:firstLine="480" w:firstLineChars="200"/>
        <w:rPr>
          <w:rFonts w:ascii="仿宋" w:hAnsi="仿宋" w:eastAsia="仿宋"/>
          <w:color w:val="000000"/>
          <w:sz w:val="24"/>
        </w:rPr>
      </w:pPr>
      <w:r>
        <w:rPr>
          <w:rFonts w:hint="eastAsia" w:ascii="仿宋" w:hAnsi="仿宋" w:eastAsia="仿宋"/>
          <w:color w:val="000000"/>
          <w:sz w:val="24"/>
        </w:rPr>
        <w:t xml:space="preserve">户  名： </w:t>
      </w:r>
      <w:r>
        <w:rPr>
          <w:rFonts w:ascii="仿宋" w:hAnsi="仿宋" w:eastAsia="仿宋"/>
          <w:color w:val="000000"/>
          <w:sz w:val="24"/>
        </w:rPr>
        <w:t xml:space="preserve"> </w:t>
      </w:r>
    </w:p>
    <w:p w14:paraId="4C958AB0">
      <w:pPr>
        <w:spacing w:line="276" w:lineRule="auto"/>
        <w:ind w:firstLine="480" w:firstLineChars="200"/>
        <w:rPr>
          <w:rFonts w:ascii="仿宋" w:hAnsi="仿宋" w:eastAsia="仿宋"/>
          <w:color w:val="000000"/>
          <w:sz w:val="24"/>
        </w:rPr>
      </w:pPr>
      <w:r>
        <w:rPr>
          <w:rFonts w:hint="eastAsia" w:ascii="仿宋" w:hAnsi="仿宋" w:eastAsia="仿宋"/>
          <w:color w:val="000000"/>
          <w:sz w:val="24"/>
        </w:rPr>
        <w:t xml:space="preserve">开户行： </w:t>
      </w:r>
    </w:p>
    <w:p w14:paraId="5D6FC5D0">
      <w:pPr>
        <w:spacing w:line="276" w:lineRule="auto"/>
        <w:ind w:firstLine="480" w:firstLineChars="200"/>
        <w:rPr>
          <w:rFonts w:ascii="仿宋" w:hAnsi="仿宋" w:eastAsia="仿宋"/>
          <w:color w:val="000000"/>
          <w:sz w:val="24"/>
        </w:rPr>
      </w:pPr>
      <w:r>
        <w:rPr>
          <w:rFonts w:hint="eastAsia" w:ascii="仿宋" w:hAnsi="仿宋" w:eastAsia="仿宋"/>
          <w:color w:val="000000"/>
          <w:sz w:val="24"/>
        </w:rPr>
        <w:t>账  号：</w:t>
      </w:r>
      <w:r>
        <w:rPr>
          <w:rFonts w:ascii="仿宋" w:hAnsi="仿宋" w:eastAsia="仿宋"/>
          <w:color w:val="000000"/>
          <w:sz w:val="24"/>
        </w:rPr>
        <w:t xml:space="preserve"> </w:t>
      </w:r>
      <w:r>
        <w:rPr>
          <w:rFonts w:hint="eastAsia" w:ascii="仿宋" w:hAnsi="仿宋" w:eastAsia="仿宋"/>
          <w:color w:val="000000"/>
          <w:sz w:val="24"/>
        </w:rPr>
        <w:t xml:space="preserve"> </w:t>
      </w:r>
    </w:p>
    <w:p w14:paraId="6CAF50F2">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（四）结算方式：验收合格后填写政府采购项目验收单（一式伍份）、全额</w:t>
      </w:r>
      <w:r>
        <w:rPr>
          <w:rFonts w:ascii="仿宋" w:hAnsi="仿宋" w:eastAsia="仿宋"/>
          <w:color w:val="000000"/>
          <w:sz w:val="24"/>
        </w:rPr>
        <w:t>合规</w:t>
      </w:r>
      <w:r>
        <w:rPr>
          <w:rFonts w:hint="eastAsia" w:ascii="仿宋" w:hAnsi="仿宋" w:eastAsia="仿宋"/>
          <w:color w:val="000000"/>
          <w:sz w:val="24"/>
        </w:rPr>
        <w:t>发票（按合同总价直开甲方），乙方持成交通知书、供货合同、正式全额</w:t>
      </w:r>
      <w:r>
        <w:rPr>
          <w:rFonts w:ascii="仿宋" w:hAnsi="仿宋" w:eastAsia="仿宋"/>
          <w:color w:val="000000"/>
          <w:sz w:val="24"/>
        </w:rPr>
        <w:t>合规</w:t>
      </w:r>
      <w:r>
        <w:rPr>
          <w:rFonts w:hint="eastAsia" w:ascii="仿宋" w:hAnsi="仿宋" w:eastAsia="仿宋"/>
          <w:color w:val="000000"/>
          <w:sz w:val="24"/>
        </w:rPr>
        <w:t>发票、政府采购项目验收单，与甲方进行结算。乙</w:t>
      </w:r>
      <w:r>
        <w:rPr>
          <w:rFonts w:hint="eastAsia" w:ascii="仿宋" w:eastAsia="仿宋"/>
          <w:sz w:val="24"/>
        </w:rPr>
        <w:t>方于甲方付款前一个月内提供当合同年度全额合规含税发票，否则，甲方付款期限顺延,且不承担任何责任。</w:t>
      </w:r>
    </w:p>
    <w:p w14:paraId="4566EB7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五、双方的权利和义务</w:t>
      </w:r>
    </w:p>
    <w:p w14:paraId="42C6F840">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（一）甲方的权利和义务</w:t>
      </w:r>
    </w:p>
    <w:p w14:paraId="75D7EB3B">
      <w:pPr>
        <w:spacing w:line="500" w:lineRule="exact"/>
        <w:ind w:firstLine="480" w:firstLineChars="200"/>
        <w:rPr>
          <w:rFonts w:ascii="仿宋" w:hAnsi="仿宋" w:eastAsia="仿宋"/>
          <w:color w:val="000000"/>
          <w:sz w:val="24"/>
        </w:rPr>
      </w:pPr>
      <w:r>
        <w:rPr>
          <w:rFonts w:hint="eastAsia" w:ascii="仿宋" w:hAnsi="仿宋" w:eastAsia="仿宋"/>
          <w:color w:val="000000"/>
          <w:sz w:val="24"/>
        </w:rPr>
        <w:t>甲方应配合乙方的工作，按时提供相应的数据、信息和资料，并保证其正确性、真实性</w:t>
      </w:r>
      <w:r>
        <w:rPr>
          <w:rFonts w:ascii="仿宋" w:hAnsi="仿宋" w:eastAsia="仿宋"/>
          <w:color w:val="000000"/>
          <w:sz w:val="24"/>
        </w:rPr>
        <w:t>。</w:t>
      </w:r>
    </w:p>
    <w:p w14:paraId="7DD3ECA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（二）乙方的权利和义务</w:t>
      </w:r>
    </w:p>
    <w:p w14:paraId="784D612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1、乙方保证在项目实施过程中甲方的网络、HIS系统及其他相关软件不受影响，可正常运行。</w:t>
      </w:r>
    </w:p>
    <w:p w14:paraId="6821B652">
      <w:pPr>
        <w:spacing w:line="500" w:lineRule="exact"/>
        <w:ind w:firstLine="480" w:firstLineChars="200"/>
        <w:rPr>
          <w:rFonts w:ascii="仿宋" w:hAnsi="仿宋" w:eastAsia="仿宋"/>
          <w:color w:val="000000"/>
          <w:sz w:val="24"/>
        </w:rPr>
      </w:pPr>
      <w:r>
        <w:rPr>
          <w:rFonts w:hint="eastAsia" w:ascii="仿宋" w:hAnsi="仿宋" w:eastAsia="仿宋"/>
          <w:color w:val="000000"/>
          <w:sz w:val="24"/>
        </w:rPr>
        <w:t>2、乙方在完成相关预测评系统定级和备案工作的前提下，由第三医院信息系统相关人员协助，对HIS、LIS、PACS、互联网医院、OA、门户网站系统进行调研和梳理，了解第三医院HIS、LIS、PAC</w:t>
      </w:r>
      <w:r>
        <w:rPr>
          <w:rFonts w:ascii="仿宋" w:hAnsi="仿宋" w:eastAsia="仿宋"/>
          <w:color w:val="000000"/>
          <w:sz w:val="24"/>
        </w:rPr>
        <w:t>S</w:t>
      </w:r>
      <w:r>
        <w:rPr>
          <w:rFonts w:hint="eastAsia" w:ascii="仿宋" w:hAnsi="仿宋" w:eastAsia="仿宋"/>
          <w:color w:val="000000"/>
          <w:sz w:val="24"/>
        </w:rPr>
        <w:t>、互联网医院、OA、门户网站系统当前资产现状。</w:t>
      </w:r>
    </w:p>
    <w:p w14:paraId="18A899D0">
      <w:pPr>
        <w:spacing w:line="500" w:lineRule="exact"/>
        <w:ind w:firstLine="480" w:firstLineChars="200"/>
        <w:rPr>
          <w:rFonts w:ascii="仿宋" w:hAnsi="仿宋" w:eastAsia="仿宋"/>
          <w:color w:val="000000"/>
          <w:sz w:val="24"/>
        </w:rPr>
      </w:pPr>
      <w:r>
        <w:rPr>
          <w:rFonts w:hint="eastAsia" w:ascii="仿宋" w:hAnsi="仿宋" w:eastAsia="仿宋"/>
          <w:color w:val="000000"/>
          <w:sz w:val="24"/>
        </w:rPr>
        <w:t>3、乙方需根据国家等级测评的相关标准及已编制的相关等级保护测评指导书，对信息系统中的相关资产进行测评项的检查、记录检查结果。</w:t>
      </w:r>
    </w:p>
    <w:p w14:paraId="68604701">
      <w:pPr>
        <w:spacing w:line="500" w:lineRule="exact"/>
        <w:ind w:firstLine="480" w:firstLineChars="200"/>
        <w:rPr>
          <w:rFonts w:ascii="仿宋" w:hAnsi="仿宋" w:eastAsia="仿宋"/>
          <w:color w:val="000000"/>
          <w:sz w:val="24"/>
        </w:rPr>
      </w:pPr>
      <w:r>
        <w:rPr>
          <w:rFonts w:hint="eastAsia" w:ascii="仿宋" w:hAnsi="仿宋" w:eastAsia="仿宋"/>
          <w:color w:val="000000"/>
          <w:sz w:val="24"/>
        </w:rPr>
        <w:t>4、乙方需根据上述工作内容，分析信息系统安全情况与等级保护基本要求的差距，提供差异化测评服务，并进行风险分析。由</w:t>
      </w:r>
      <w:r>
        <w:rPr>
          <w:rFonts w:ascii="仿宋" w:hAnsi="仿宋" w:eastAsia="仿宋"/>
          <w:color w:val="000000"/>
          <w:sz w:val="24"/>
        </w:rPr>
        <w:t>乙方</w:t>
      </w:r>
      <w:r>
        <w:rPr>
          <w:rFonts w:hint="eastAsia" w:ascii="仿宋" w:hAnsi="仿宋" w:eastAsia="仿宋"/>
          <w:color w:val="000000"/>
          <w:sz w:val="24"/>
        </w:rPr>
        <w:t>根据现场情况出具科学合理的整改建议及整改方案，配合</w:t>
      </w:r>
      <w:r>
        <w:rPr>
          <w:rFonts w:ascii="仿宋" w:hAnsi="仿宋" w:eastAsia="仿宋"/>
          <w:color w:val="000000"/>
          <w:sz w:val="24"/>
        </w:rPr>
        <w:t>甲方</w:t>
      </w:r>
      <w:r>
        <w:rPr>
          <w:rFonts w:hint="eastAsia" w:ascii="仿宋" w:hAnsi="仿宋" w:eastAsia="仿宋"/>
          <w:color w:val="000000"/>
          <w:sz w:val="24"/>
        </w:rPr>
        <w:t>进行安全整改工作。</w:t>
      </w:r>
    </w:p>
    <w:p w14:paraId="77F2765A">
      <w:pPr>
        <w:spacing w:line="500" w:lineRule="exact"/>
        <w:ind w:firstLine="480" w:firstLineChars="200"/>
        <w:rPr>
          <w:rFonts w:ascii="仿宋" w:hAnsi="仿宋" w:eastAsia="仿宋"/>
          <w:color w:val="000000"/>
          <w:sz w:val="24"/>
        </w:rPr>
      </w:pPr>
      <w:r>
        <w:rPr>
          <w:rFonts w:hint="eastAsia" w:ascii="仿宋" w:hAnsi="仿宋" w:eastAsia="仿宋"/>
          <w:color w:val="000000"/>
          <w:sz w:val="24"/>
        </w:rPr>
        <w:t>5、乙方需分析当前信息系统安全保护能力是否符合相应等级的安全要求，针对整改项进行再次测评,提供安全等级符合性测评服务，出具相关系统测评报告。</w:t>
      </w:r>
    </w:p>
    <w:p w14:paraId="5E5C447D">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六、质量保证</w:t>
      </w:r>
    </w:p>
    <w:p w14:paraId="7F89C076">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乙方所供服务必须执行下列条款：</w:t>
      </w:r>
    </w:p>
    <w:p w14:paraId="057A757F">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（一）服务方案和方式科学、可行，人员配置合理，全面满足要求。</w:t>
      </w:r>
    </w:p>
    <w:p w14:paraId="627719E7">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（二）符合国家有关服务规范要求，确保各项服务达到最佳运行效果。</w:t>
      </w:r>
    </w:p>
    <w:p w14:paraId="5D368978">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（三）乙方提供的服务，若发生侵权而产生的一切后果，由乙方负责。甲方保留索赔权力。</w:t>
      </w:r>
    </w:p>
    <w:p w14:paraId="33758C6C">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（四）服务承诺</w:t>
      </w:r>
    </w:p>
    <w:p w14:paraId="4837420D">
      <w:pPr>
        <w:spacing w:line="500" w:lineRule="exact"/>
        <w:ind w:firstLine="480" w:firstLineChars="200"/>
        <w:rPr>
          <w:rFonts w:ascii="仿宋" w:hAnsi="仿宋" w:eastAsia="仿宋"/>
          <w:color w:val="000000"/>
          <w:sz w:val="24"/>
        </w:rPr>
      </w:pPr>
      <w:r>
        <w:rPr>
          <w:rFonts w:hint="eastAsia" w:ascii="仿宋" w:hAnsi="仿宋" w:eastAsia="仿宋"/>
          <w:color w:val="000000"/>
          <w:sz w:val="24"/>
        </w:rPr>
        <w:t>项目结束后，乙方将指定一名技术人员作为甲方服务专员，对甲方或评审专家提出的问题进行解答，配合我院测评工作的验收和获取相关测评证书。</w:t>
      </w:r>
    </w:p>
    <w:p w14:paraId="7B3C0B12">
      <w:pPr>
        <w:spacing w:line="500" w:lineRule="exact"/>
        <w:ind w:firstLine="480" w:firstLineChars="200"/>
        <w:rPr>
          <w:rFonts w:ascii="仿宋" w:hAnsi="仿宋" w:eastAsia="仿宋"/>
          <w:color w:val="000000"/>
          <w:sz w:val="24"/>
        </w:rPr>
      </w:pPr>
      <w:r>
        <w:rPr>
          <w:rFonts w:ascii="仿宋" w:hAnsi="仿宋" w:eastAsia="仿宋"/>
          <w:color w:val="000000"/>
          <w:sz w:val="24"/>
        </w:rPr>
        <w:t>七、验收</w:t>
      </w:r>
    </w:p>
    <w:p w14:paraId="06E2885F">
      <w:pPr>
        <w:spacing w:line="500" w:lineRule="exact"/>
        <w:ind w:firstLine="480" w:firstLineChars="200"/>
        <w:rPr>
          <w:rFonts w:ascii="仿宋" w:hAnsi="仿宋" w:eastAsia="仿宋"/>
          <w:color w:val="000000"/>
          <w:sz w:val="24"/>
        </w:rPr>
      </w:pPr>
      <w:r>
        <w:rPr>
          <w:rFonts w:hint="eastAsia" w:ascii="仿宋" w:hAnsi="仿宋" w:eastAsia="仿宋"/>
          <w:color w:val="000000"/>
          <w:sz w:val="24"/>
        </w:rPr>
        <w:t xml:space="preserve"> (一)成果交付</w:t>
      </w:r>
    </w:p>
    <w:p w14:paraId="58037726">
      <w:pPr>
        <w:spacing w:line="500" w:lineRule="exact"/>
        <w:ind w:firstLine="480" w:firstLineChars="200"/>
        <w:rPr>
          <w:rFonts w:ascii="仿宋" w:hAnsi="仿宋" w:eastAsia="仿宋"/>
          <w:color w:val="000000"/>
          <w:sz w:val="24"/>
        </w:rPr>
      </w:pPr>
      <w:r>
        <w:rPr>
          <w:rFonts w:ascii="仿宋" w:hAnsi="仿宋" w:eastAsia="仿宋"/>
          <w:color w:val="000000"/>
          <w:sz w:val="24"/>
        </w:rPr>
        <w:t xml:space="preserve"> 系统测评报告：文本纸质5份、电子版1份。</w:t>
      </w:r>
    </w:p>
    <w:p w14:paraId="05650CB2">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政府采购项目履约验收单送采购代理机构一份，并据此退还履约保证金。</w:t>
      </w:r>
    </w:p>
    <w:p w14:paraId="084A8F6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（三）乙方向甲方提交服务实施过程中的所有资料并出具完整的测评报告，以便甲方日后管理和维护。</w:t>
      </w:r>
    </w:p>
    <w:p w14:paraId="3CAA28F4">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（四）验收依据：</w:t>
      </w:r>
    </w:p>
    <w:p w14:paraId="6776371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1、竞争性磋商文件、竞争性磋商响应文件、澄清表（函）；</w:t>
      </w:r>
    </w:p>
    <w:p w14:paraId="32B7E52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2、本合同及附件文本；</w:t>
      </w:r>
    </w:p>
    <w:p w14:paraId="66558FA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3、国家相应的标准、规范。</w:t>
      </w:r>
    </w:p>
    <w:p w14:paraId="4AF8AB9C">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八、违约责任</w:t>
      </w:r>
    </w:p>
    <w:p w14:paraId="4CE013AC">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（一）按《民法典》中的相关条款执行。</w:t>
      </w:r>
    </w:p>
    <w:p w14:paraId="2E63F48E">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未按合同要求提供服务或服务质量不能满足合同要求，在约定的条件下，乙方必须无条件提供服务，完善服务质量，以达到甲方要求；否则，甲方有权解除合同，解除合同书面通知书到达乙方之日视为合同已解除，并按以下两种方式追究乙方的违约责任：</w:t>
      </w:r>
    </w:p>
    <w:p w14:paraId="6B37EFDA">
      <w:pPr>
        <w:spacing w:line="500" w:lineRule="exact"/>
        <w:ind w:firstLine="480" w:firstLineChars="200"/>
        <w:rPr>
          <w:rFonts w:ascii="仿宋" w:hAnsi="仿宋" w:eastAsia="仿宋"/>
          <w:color w:val="000000"/>
          <w:sz w:val="24"/>
        </w:rPr>
      </w:pPr>
      <w:r>
        <w:rPr>
          <w:rFonts w:hint="eastAsia" w:ascii="仿宋" w:hAnsi="仿宋" w:eastAsia="仿宋"/>
          <w:color w:val="000000"/>
          <w:sz w:val="24"/>
        </w:rPr>
        <w:t>1、乙方赔偿甲方解除合同的全部损失（包括但不限于重新委托产生的费用、合同未履行给甲方造成的损失）；</w:t>
      </w:r>
    </w:p>
    <w:p w14:paraId="5221DC0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2、乙方支付甲方违约金。违约金计算方法：以合同总价为基数，支付甲方合同总价的【</w:t>
      </w:r>
      <w:r>
        <w:rPr>
          <w:rFonts w:ascii="仿宋" w:hAnsi="仿宋" w:eastAsia="仿宋"/>
          <w:color w:val="000000"/>
          <w:sz w:val="24"/>
        </w:rPr>
        <w:t xml:space="preserve">    </w:t>
      </w:r>
      <w:r>
        <w:rPr>
          <w:rFonts w:hint="eastAsia" w:ascii="仿宋" w:hAnsi="仿宋" w:eastAsia="仿宋"/>
          <w:color w:val="000000"/>
          <w:sz w:val="24"/>
        </w:rPr>
        <w:t>】%作为违约金；同时，对乙方的违约行为报监管机构进行相应的处罚。</w:t>
      </w:r>
    </w:p>
    <w:p w14:paraId="07B89639">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（三）在本合同履行过程中，双方因违约或造成对方经济、社会效益等损失的应当全部赔偿。</w:t>
      </w:r>
    </w:p>
    <w:p w14:paraId="7A498E82">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（四）乙方未能按照本合同约定时间提供服务或完成约定的项目服务内容的，从逾期之日起每日按本合同总价款</w:t>
      </w:r>
      <w:r>
        <w:rPr>
          <w:rFonts w:ascii="仿宋" w:hAnsi="仿宋" w:eastAsia="仿宋"/>
          <w:color w:val="000000"/>
          <w:sz w:val="24"/>
        </w:rPr>
        <w:t>1</w:t>
      </w:r>
      <w:r>
        <w:rPr>
          <w:rFonts w:hint="eastAsia" w:ascii="仿宋" w:hAnsi="仿宋" w:eastAsia="仿宋"/>
          <w:color w:val="000000"/>
          <w:sz w:val="24"/>
        </w:rPr>
        <w:t>%的数额向甲方支付违约金；逾期 40 日以上的，甲方有权解除本合同，并按照本条第（二）款约定追究乙方的违约责任。</w:t>
      </w:r>
    </w:p>
    <w:p w14:paraId="03BE0E80">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（五）未经甲方同意，乙方不得擅自将本合同服务转包或</w:t>
      </w:r>
      <w:r>
        <w:rPr>
          <w:rFonts w:ascii="仿宋" w:hAnsi="仿宋" w:eastAsia="仿宋"/>
          <w:color w:val="000000"/>
          <w:sz w:val="24"/>
        </w:rPr>
        <w:t>分包</w:t>
      </w:r>
      <w:r>
        <w:rPr>
          <w:rFonts w:hint="eastAsia" w:ascii="仿宋" w:hAnsi="仿宋" w:eastAsia="仿宋"/>
          <w:color w:val="000000"/>
          <w:sz w:val="24"/>
        </w:rPr>
        <w:t>第三方承担，否则甲方有权按照本条第（二）款约定追究乙方的违约责任。</w:t>
      </w:r>
    </w:p>
    <w:p w14:paraId="79D87626">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九、保密条款</w:t>
      </w:r>
    </w:p>
    <w:p w14:paraId="384F1B2A">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AE992FC">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12289A09">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（三）本条款为独立条款，本合同的无效、变更、解除和终止均不影响本条款的效力。</w:t>
      </w:r>
    </w:p>
    <w:p w14:paraId="6B9EA308">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十、争议解决</w:t>
      </w:r>
    </w:p>
    <w:p w14:paraId="16A809D7">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（一）本合同在履行过程中发生的争议，由甲、乙双方当事人协商解决，协商不成的按下列第2种方式解决：</w:t>
      </w:r>
    </w:p>
    <w:p w14:paraId="74107284">
      <w:pPr>
        <w:spacing w:line="500" w:lineRule="exact"/>
        <w:ind w:firstLine="480" w:firstLineChars="200"/>
        <w:rPr>
          <w:rFonts w:ascii="仿宋" w:hAnsi="仿宋" w:eastAsia="仿宋"/>
          <w:color w:val="000000"/>
          <w:sz w:val="24"/>
        </w:rPr>
      </w:pPr>
      <w:r>
        <w:rPr>
          <w:rFonts w:hint="eastAsia" w:ascii="仿宋" w:hAnsi="仿宋" w:eastAsia="仿宋"/>
          <w:color w:val="000000"/>
          <w:sz w:val="24"/>
        </w:rPr>
        <w:t>1、提交西安仲裁委员会仲裁；</w:t>
      </w:r>
    </w:p>
    <w:p w14:paraId="37DFF7C6">
      <w:pPr>
        <w:spacing w:line="500" w:lineRule="exact"/>
        <w:ind w:firstLine="480" w:firstLineChars="200"/>
        <w:rPr>
          <w:rFonts w:ascii="仿宋" w:hAnsi="仿宋" w:eastAsia="仿宋"/>
          <w:color w:val="000000"/>
          <w:sz w:val="24"/>
        </w:rPr>
      </w:pPr>
      <w:r>
        <w:rPr>
          <w:rFonts w:hint="eastAsia" w:ascii="仿宋" w:hAnsi="仿宋" w:eastAsia="仿宋"/>
          <w:color w:val="000000"/>
          <w:sz w:val="24"/>
        </w:rPr>
        <w:t>2、依法向甲方所在地人民法院起诉。</w:t>
      </w:r>
    </w:p>
    <w:p w14:paraId="122DB3E9">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（二）本条款为独立条款，本合同的无效、变更、解除和终止均不影响本条款的效力。</w:t>
      </w:r>
    </w:p>
    <w:p w14:paraId="2592DD00">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十一、合同变更</w:t>
      </w:r>
    </w:p>
    <w:p w14:paraId="2DD1D099">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30EA9007">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十二、合同生效</w:t>
      </w:r>
    </w:p>
    <w:p w14:paraId="6B88BF0C">
      <w:pPr>
        <w:spacing w:line="500" w:lineRule="exact"/>
        <w:ind w:firstLine="480" w:firstLineChars="200"/>
        <w:rPr>
          <w:rFonts w:ascii="仿宋" w:hAnsi="仿宋" w:eastAsia="仿宋"/>
          <w:color w:val="000000"/>
          <w:sz w:val="24"/>
        </w:rPr>
      </w:pPr>
      <w:r>
        <w:rPr>
          <w:rFonts w:hint="eastAsia" w:ascii="仿宋" w:hAnsi="仿宋" w:eastAsia="仿宋"/>
          <w:color w:val="000000"/>
          <w:sz w:val="24"/>
        </w:rPr>
        <w:t>本合同一式陆份，甲方持肆份，乙方持贰份，本合同甲、乙签字盖章后生效，合同执行完毕后，自动失效（合同的服务承诺则长期有效）。</w:t>
      </w:r>
    </w:p>
    <w:p w14:paraId="59455F04">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如本合同有未尽事宜，以磋商文件为准，磋商文件未做要求的，由双方依法订立补充合同。</w:t>
      </w:r>
    </w:p>
    <w:p w14:paraId="457E6A63">
      <w:pPr>
        <w:spacing w:line="500" w:lineRule="exact"/>
        <w:ind w:firstLine="480" w:firstLineChars="200"/>
        <w:rPr>
          <w:rFonts w:ascii="仿宋" w:hAnsi="仿宋" w:eastAsia="仿宋"/>
          <w:color w:val="000000"/>
          <w:sz w:val="24"/>
        </w:rPr>
      </w:pPr>
      <w:r>
        <w:rPr>
          <w:rFonts w:hint="eastAsia" w:ascii="仿宋" w:hAnsi="仿宋" w:eastAsia="仿宋"/>
          <w:color w:val="000000"/>
          <w:sz w:val="24"/>
        </w:rPr>
        <w:t>十三、其他事项</w:t>
      </w:r>
    </w:p>
    <w:p w14:paraId="39209FF5">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（一）竞争性磋商文件、竞争性磋商响应文件、澄清表（函）、成交通知书、合同附件均成为合同不可分割的部分。</w:t>
      </w:r>
    </w:p>
    <w:p w14:paraId="4AF24A37">
      <w:pPr>
        <w:spacing w:line="500" w:lineRule="exact"/>
        <w:ind w:firstLine="480" w:firstLineChars="200"/>
        <w:rPr>
          <w:rFonts w:ascii="仿宋" w:hAnsi="仿宋" w:eastAsia="仿宋"/>
          <w:color w:val="000000"/>
          <w:sz w:val="24"/>
        </w:rPr>
      </w:pPr>
      <w:r>
        <w:rPr>
          <w:rFonts w:hint="eastAsia" w:ascii="仿宋" w:hAnsi="仿宋" w:eastAsia="仿宋"/>
          <w:color w:val="000000"/>
          <w:sz w:val="24"/>
        </w:rPr>
        <w:t>（二）合同未尽事宜，由甲、乙双方协商后签订政府采购补充合同，与原合同具有同等法律效力。</w:t>
      </w:r>
    </w:p>
    <w:p w14:paraId="1193D3A4">
      <w:pPr>
        <w:spacing w:line="500" w:lineRule="exact"/>
        <w:ind w:firstLine="422" w:firstLineChars="200"/>
        <w:rPr>
          <w:rFonts w:ascii="宋体" w:hAnsi="宋体" w:cs="宋体"/>
          <w:b/>
        </w:rPr>
      </w:pPr>
    </w:p>
    <w:p w14:paraId="5667C216">
      <w:pPr>
        <w:pStyle w:val="2"/>
      </w:pPr>
    </w:p>
    <w:p w14:paraId="12E6F774">
      <w:pPr>
        <w:spacing w:line="276" w:lineRule="auto"/>
        <w:rPr>
          <w:rFonts w:ascii="仿宋" w:hAnsi="仿宋" w:eastAsia="仿宋"/>
          <w:sz w:val="24"/>
        </w:rPr>
      </w:pPr>
      <w:r>
        <w:rPr>
          <w:rFonts w:hint="eastAsia" w:ascii="仿宋" w:hAnsi="仿宋" w:eastAsia="仿宋"/>
          <w:sz w:val="24"/>
        </w:rPr>
        <w:t xml:space="preserve">甲方：西安市第三医院             </w:t>
      </w:r>
      <w:r>
        <w:rPr>
          <w:rFonts w:ascii="仿宋" w:hAnsi="仿宋" w:eastAsia="仿宋"/>
          <w:sz w:val="24"/>
        </w:rPr>
        <w:t xml:space="preserve">      </w:t>
      </w:r>
      <w:r>
        <w:rPr>
          <w:rFonts w:hint="eastAsia" w:ascii="仿宋" w:hAnsi="仿宋" w:eastAsia="仿宋"/>
          <w:sz w:val="24"/>
        </w:rPr>
        <w:t xml:space="preserve">乙方： </w:t>
      </w:r>
    </w:p>
    <w:p w14:paraId="444CB050">
      <w:pPr>
        <w:pStyle w:val="2"/>
        <w:spacing w:line="276" w:lineRule="auto"/>
        <w:rPr>
          <w:rFonts w:ascii="仿宋" w:hAnsi="仿宋" w:eastAsia="仿宋"/>
          <w:sz w:val="24"/>
          <w:szCs w:val="24"/>
        </w:rPr>
      </w:pPr>
      <w:r>
        <w:rPr>
          <w:rFonts w:hint="eastAsia" w:ascii="仿宋" w:hAnsi="仿宋" w:eastAsia="仿宋"/>
          <w:sz w:val="24"/>
          <w:szCs w:val="24"/>
        </w:rPr>
        <w:t xml:space="preserve">（公章或合同专用章）          </w:t>
      </w:r>
      <w:r>
        <w:rPr>
          <w:rFonts w:ascii="仿宋" w:hAnsi="仿宋" w:eastAsia="仿宋"/>
          <w:sz w:val="24"/>
          <w:szCs w:val="24"/>
        </w:rPr>
        <w:t xml:space="preserve">        </w:t>
      </w:r>
      <w:r>
        <w:rPr>
          <w:rFonts w:hint="eastAsia" w:ascii="仿宋" w:hAnsi="仿宋" w:eastAsia="仿宋"/>
          <w:sz w:val="24"/>
          <w:szCs w:val="24"/>
        </w:rPr>
        <w:t xml:space="preserve">  （公章或合同专用章）</w:t>
      </w:r>
    </w:p>
    <w:p w14:paraId="0B10CA01">
      <w:pPr>
        <w:spacing w:line="276" w:lineRule="auto"/>
        <w:ind w:left="5400" w:hanging="5400" w:hangingChars="2250"/>
        <w:rPr>
          <w:rFonts w:ascii="仿宋" w:hAnsi="仿宋" w:eastAsia="仿宋"/>
          <w:sz w:val="24"/>
        </w:rPr>
      </w:pPr>
      <w:r>
        <w:rPr>
          <w:rFonts w:hint="eastAsia" w:ascii="仿宋" w:hAnsi="仿宋" w:eastAsia="仿宋"/>
          <w:sz w:val="24"/>
        </w:rPr>
        <w:t xml:space="preserve">地址：西安市未央区凤城三路 </w:t>
      </w:r>
      <w:r>
        <w:rPr>
          <w:rFonts w:ascii="仿宋" w:hAnsi="仿宋" w:eastAsia="仿宋"/>
          <w:sz w:val="24"/>
        </w:rPr>
        <w:t xml:space="preserve">            </w:t>
      </w:r>
      <w:r>
        <w:rPr>
          <w:rFonts w:hint="eastAsia" w:ascii="仿宋" w:hAnsi="仿宋" w:eastAsia="仿宋"/>
          <w:sz w:val="24"/>
        </w:rPr>
        <w:t>地址：</w:t>
      </w:r>
      <w:r>
        <w:rPr>
          <w:rFonts w:hint="eastAsia" w:ascii="仿宋" w:hAnsi="仿宋" w:eastAsia="仿宋"/>
          <w:color w:val="000000"/>
          <w:sz w:val="24"/>
        </w:rPr>
        <w:t xml:space="preserve"> </w:t>
      </w:r>
    </w:p>
    <w:p w14:paraId="73AEF7E2">
      <w:pPr>
        <w:spacing w:line="276" w:lineRule="auto"/>
        <w:rPr>
          <w:rFonts w:ascii="仿宋" w:hAnsi="仿宋" w:eastAsia="仿宋"/>
          <w:sz w:val="24"/>
        </w:rPr>
      </w:pPr>
      <w:r>
        <w:rPr>
          <w:rFonts w:hint="eastAsia" w:ascii="仿宋" w:hAnsi="仿宋" w:eastAsia="仿宋"/>
          <w:sz w:val="24"/>
        </w:rPr>
        <w:t xml:space="preserve">      东段10号                              </w:t>
      </w:r>
      <w:r>
        <w:rPr>
          <w:rFonts w:ascii="仿宋" w:hAnsi="仿宋" w:eastAsia="仿宋"/>
          <w:color w:val="000000"/>
          <w:sz w:val="24"/>
        </w:rPr>
        <w:t xml:space="preserve"> </w:t>
      </w:r>
    </w:p>
    <w:p w14:paraId="148C16E2">
      <w:pPr>
        <w:spacing w:line="276" w:lineRule="auto"/>
        <w:rPr>
          <w:rFonts w:ascii="仿宋" w:hAnsi="仿宋" w:eastAsia="仿宋"/>
          <w:sz w:val="24"/>
        </w:rPr>
      </w:pPr>
      <w:r>
        <w:rPr>
          <w:rFonts w:hint="eastAsia" w:ascii="仿宋" w:hAnsi="仿宋" w:eastAsia="仿宋"/>
          <w:sz w:val="24"/>
        </w:rPr>
        <w:t xml:space="preserve">法定代表人（签字或盖章）：             </w:t>
      </w:r>
      <w:r>
        <w:rPr>
          <w:rFonts w:ascii="仿宋" w:hAnsi="仿宋" w:eastAsia="仿宋"/>
          <w:sz w:val="24"/>
        </w:rPr>
        <w:t xml:space="preserve"> </w:t>
      </w:r>
      <w:r>
        <w:rPr>
          <w:rFonts w:hint="eastAsia" w:ascii="仿宋" w:hAnsi="仿宋" w:eastAsia="仿宋"/>
          <w:sz w:val="24"/>
        </w:rPr>
        <w:t>法定代表人（签字或盖章）：</w:t>
      </w:r>
    </w:p>
    <w:p w14:paraId="590A74C3">
      <w:pPr>
        <w:spacing w:line="276" w:lineRule="auto"/>
        <w:ind w:firstLine="480" w:firstLineChars="200"/>
        <w:rPr>
          <w:rFonts w:ascii="仿宋" w:hAnsi="仿宋" w:eastAsia="仿宋"/>
          <w:sz w:val="24"/>
        </w:rPr>
      </w:pPr>
      <w:r>
        <w:rPr>
          <w:rFonts w:hint="eastAsia" w:ascii="仿宋" w:hAnsi="仿宋" w:eastAsia="仿宋"/>
          <w:sz w:val="24"/>
        </w:rPr>
        <w:t xml:space="preserve">                 </w:t>
      </w:r>
    </w:p>
    <w:p w14:paraId="4ABD1066">
      <w:pPr>
        <w:tabs>
          <w:tab w:val="left" w:pos="6486"/>
        </w:tabs>
        <w:jc w:val="left"/>
        <w:rPr>
          <w:rFonts w:ascii="仿宋" w:hAnsi="仿宋" w:eastAsia="仿宋"/>
          <w:sz w:val="24"/>
        </w:rPr>
      </w:pPr>
    </w:p>
    <w:p w14:paraId="287489A7">
      <w:pPr>
        <w:tabs>
          <w:tab w:val="left" w:pos="6486"/>
        </w:tabs>
        <w:jc w:val="left"/>
        <w:rPr>
          <w:rFonts w:ascii="仿宋" w:hAnsi="仿宋" w:eastAsia="仿宋"/>
          <w:sz w:val="24"/>
        </w:rPr>
      </w:pPr>
      <w:r>
        <w:rPr>
          <w:rFonts w:hint="eastAsia" w:ascii="仿宋" w:hAnsi="仿宋" w:eastAsia="仿宋"/>
          <w:sz w:val="24"/>
        </w:rPr>
        <w:t xml:space="preserve">签订日期：   年    月   日      </w:t>
      </w:r>
      <w:r>
        <w:rPr>
          <w:rFonts w:ascii="仿宋" w:hAnsi="仿宋" w:eastAsia="仿宋"/>
          <w:sz w:val="24"/>
        </w:rPr>
        <w:t xml:space="preserve">       </w:t>
      </w:r>
      <w:r>
        <w:rPr>
          <w:rFonts w:hint="eastAsia" w:ascii="仿宋" w:hAnsi="仿宋" w:eastAsia="仿宋"/>
          <w:sz w:val="24"/>
        </w:rPr>
        <w:t xml:space="preserve"> 签订日期：    年    月   日</w:t>
      </w:r>
    </w:p>
    <w:p w14:paraId="55E16836">
      <w:pPr>
        <w:tabs>
          <w:tab w:val="left" w:pos="6486"/>
        </w:tabs>
        <w:jc w:val="left"/>
        <w:rPr>
          <w:rFonts w:ascii="仿宋" w:hAnsi="仿宋" w:eastAsia="仿宋"/>
          <w:sz w:val="24"/>
        </w:rPr>
      </w:pPr>
    </w:p>
    <w:p w14:paraId="45035207"/>
    <w:sectPr>
      <w:pgSz w:w="11906" w:h="16838"/>
      <w:pgMar w:top="1327" w:right="1440" w:bottom="132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F0C58"/>
    <w:rsid w:val="596F0C58"/>
    <w:rsid w:val="69A97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99"/>
    <w:pPr>
      <w:spacing w:before="260" w:after="260" w:line="416" w:lineRule="atLeast"/>
      <w:outlineLvl w:val="1"/>
    </w:pPr>
    <w:rPr>
      <w:rFonts w:ascii="Cambria" w:hAnsi="Cambria"/>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4">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2866</Words>
  <Characters>2903</Characters>
  <Lines>0</Lines>
  <Paragraphs>0</Paragraphs>
  <TotalTime>2</TotalTime>
  <ScaleCrop>false</ScaleCrop>
  <LinksUpToDate>false</LinksUpToDate>
  <CharactersWithSpaces>3258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2025-02-07T04:28:00Z</dcterms:created>
  <dc:creator>王苑君</dc:creator>
  <cp:lastModifiedBy>王苑君</cp:lastModifiedBy>
  <dcterms:modified xsi:type="dcterms:W3CDTF">2025-03-20T06:15:39Z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7DC937D53EEB4B4B978031F8E545B3D6_11</vt:lpwstr>
  </property>
  <property fmtid="{D5CDD505-2E9C-101B-9397-08002B2CF9AE}" pid="4" name="KSOTemplateDocerSaveRecord">
    <vt:lpwstr>eyJoZGlkIjoiNmJiNDMxY2UxNDM5NDYyZWI1MDQxNmQwNGU0NTA0NTIiLCJ1c2VySWQiOiIzMjc1MDg4NzcifQ==</vt:lpwstr>
  </property>
</Properties>
</file>