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版本号：250108001</w:t>
      </w:r>
      <w:r>
        <w:br/>
      </w:r>
      <w:r>
        <w:br/>
      </w:r>
      <w:r>
        <w:br/>
      </w:r>
      <w:r>
        <w:br/>
      </w:r>
      <w:r>
        <w:br/>
      </w:r>
    </w:p>
    <w:p>
      <w:pPr>
        <w:pStyle w:val="null3"/>
        <w:jc w:val="center"/>
        <w:outlineLvl w:val="0"/>
      </w:pPr>
      <w:r>
        <w:rPr>
          <w:sz w:val="48"/>
          <w:b/>
        </w:rPr>
        <w:t>谈 判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烹饪系、食品系实训课原材料采购项目</w:t>
      </w:r>
    </w:p>
    <w:p>
      <w:pPr>
        <w:pStyle w:val="null3"/>
        <w:jc w:val="center"/>
        <w:outlineLvl w:val="2"/>
      </w:pPr>
      <w:r>
        <w:rPr>
          <w:sz w:val="28"/>
          <w:b/>
        </w:rPr>
        <w:t>采购项目编号：</w:t>
      </w:r>
      <w:r>
        <w:rPr>
          <w:sz w:val="28"/>
          <w:b/>
        </w:rPr>
        <w:t>MZ2025-TP1007</w:t>
      </w:r>
      <w:r>
        <w:br/>
      </w:r>
      <w:r>
        <w:br/>
      </w:r>
      <w:r>
        <w:br/>
      </w:r>
    </w:p>
    <w:p>
      <w:pPr>
        <w:pStyle w:val="null3"/>
        <w:jc w:val="center"/>
        <w:outlineLvl w:val="2"/>
      </w:pPr>
      <w:r>
        <w:rPr>
          <w:sz w:val="28"/>
          <w:b/>
        </w:rPr>
        <w:t>西安商贸旅游技师学院</w:t>
      </w:r>
    </w:p>
    <w:p>
      <w:pPr>
        <w:pStyle w:val="null3"/>
        <w:jc w:val="center"/>
        <w:outlineLvl w:val="2"/>
      </w:pPr>
      <w:r>
        <w:rPr>
          <w:sz w:val="28"/>
          <w:b/>
        </w:rPr>
        <w:t>陕西明正招标有限公司</w:t>
      </w:r>
      <w:r>
        <w:rPr>
          <w:sz w:val="28"/>
          <w:b/>
        </w:rPr>
        <w:t>共同编制</w:t>
      </w:r>
    </w:p>
    <w:p>
      <w:pPr>
        <w:pStyle w:val="null3"/>
        <w:jc w:val="center"/>
        <w:outlineLvl w:val="2"/>
      </w:pPr>
      <w:r>
        <w:rPr>
          <w:sz w:val="28"/>
          <w:b/>
        </w:rPr>
        <w:t>2025年01月08日</w:t>
      </w:r>
    </w:p>
    <w:p>
      <w:pPr>
        <w:pStyle w:val="null3"/>
      </w:pPr>
      <w:r>
        <w:rPr/>
        <w:t xml:space="preserve"> </w:t>
        <w:br/>
        <w:br w:type="page"/>
      </w:r>
    </w:p>
    <w:p>
      <w:pPr>
        <w:pStyle w:val="null3"/>
        <w:jc w:val="center"/>
        <w:outlineLvl w:val="1"/>
      </w:pPr>
      <w:r>
        <w:rPr>
          <w:sz w:val="36"/>
          <w:b/>
        </w:rPr>
        <w:t>第一章 竞争性谈判邀请</w:t>
      </w:r>
    </w:p>
    <w:p>
      <w:pPr>
        <w:pStyle w:val="null3"/>
        <w:ind w:firstLine="480"/>
      </w:pPr>
      <w:r>
        <w:rPr/>
        <w:t>陕西明正招标有限公司</w:t>
      </w:r>
      <w:r>
        <w:rPr/>
        <w:t>（以下简称“代理机构”）受</w:t>
      </w:r>
      <w:r>
        <w:rPr/>
        <w:t>西安商贸旅游技师学院</w:t>
      </w:r>
      <w:r>
        <w:rPr/>
        <w:t>委托，拟对</w:t>
      </w:r>
      <w:r>
        <w:rPr/>
        <w:t>烹饪系、食品系实训课原材料采购项目</w:t>
      </w:r>
      <w:r>
        <w:rPr/>
        <w:t>采用竞争性谈判采购方式进行采购，兹邀请供应商参加本项目的竞争性谈判。</w:t>
      </w:r>
    </w:p>
    <w:p>
      <w:pPr>
        <w:pStyle w:val="null3"/>
        <w:outlineLvl w:val="2"/>
      </w:pPr>
      <w:r>
        <w:rPr>
          <w:sz w:val="28"/>
          <w:b/>
        </w:rPr>
        <w:t>一、项目编号：</w:t>
      </w:r>
      <w:r>
        <w:rPr>
          <w:sz w:val="28"/>
          <w:b/>
        </w:rPr>
        <w:t>MZ2025-TP1007</w:t>
      </w:r>
    </w:p>
    <w:p>
      <w:pPr>
        <w:pStyle w:val="null3"/>
        <w:outlineLvl w:val="2"/>
      </w:pPr>
      <w:r>
        <w:rPr>
          <w:sz w:val="28"/>
          <w:b/>
        </w:rPr>
        <w:t>二、项目名称：</w:t>
      </w:r>
      <w:r>
        <w:rPr>
          <w:sz w:val="28"/>
          <w:b/>
        </w:rPr>
        <w:t>烹饪系、食品系实训课原材料采购项目</w:t>
      </w:r>
    </w:p>
    <w:p>
      <w:pPr>
        <w:pStyle w:val="null3"/>
        <w:outlineLvl w:val="2"/>
      </w:pPr>
      <w:r>
        <w:rPr>
          <w:sz w:val="28"/>
          <w:b/>
        </w:rPr>
        <w:t>三、谈判项目简介：</w:t>
      </w:r>
    </w:p>
    <w:p>
      <w:pPr>
        <w:pStyle w:val="null3"/>
        <w:ind w:firstLine="480"/>
      </w:pPr>
      <w:r>
        <w:rPr/>
        <w:t>烹饪系、食品系实训课原材料采购项目，采购家畜类、家禽类、水产类、果蔬、米面油、调味品、食品添加剂等</w:t>
      </w:r>
    </w:p>
    <w:p>
      <w:pPr>
        <w:pStyle w:val="null3"/>
        <w:outlineLvl w:val="2"/>
      </w:pPr>
      <w:r>
        <w:rPr>
          <w:sz w:val="28"/>
          <w:b/>
        </w:rPr>
        <w:t>四、邀请供应商：</w:t>
      </w:r>
    </w:p>
    <w:p>
      <w:pPr>
        <w:pStyle w:val="null3"/>
      </w:pPr>
      <w:r>
        <w:rPr/>
        <w:t>本次采购采取公告征集邀请谈判的供应商。</w:t>
      </w:r>
    </w:p>
    <w:p>
      <w:pPr>
        <w:pStyle w:val="null3"/>
      </w:pPr>
      <w:r>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40"/>
        <w:jc w:val="left"/>
      </w:pPr>
      <w:r>
        <w:rPr>
          <w:sz w:val="22"/>
        </w:rPr>
        <w:t>注：监狱企业和残疾人福利性单位视同小微企业，符合中小企业划分标准的个体工商户视同中小企业。</w:t>
      </w:r>
    </w:p>
    <w:p>
      <w:pPr>
        <w:pStyle w:val="null3"/>
        <w:ind w:firstLine="480"/>
      </w:pPr>
      <w:r>
        <w:rPr/>
        <w:t>（三）本项目的特定资格要求：</w:t>
      </w:r>
    </w:p>
    <w:p>
      <w:pPr>
        <w:pStyle w:val="null3"/>
      </w:pPr>
      <w:r>
        <w:rPr/>
        <w:t>采购包1：</w:t>
      </w:r>
    </w:p>
    <w:p>
      <w:pPr>
        <w:pStyle w:val="null3"/>
      </w:pPr>
      <w:r>
        <w:rPr/>
        <w:t>1、法定代表人身份证明/法定代表人授权书：法定代表人直接参加谈判的，须出具法定代表人身份证明及法人身份证；法定代表人授权代表参加谈判的，须出具法定代表人身份证明、法定代表人授权书及法人和授权代表身份证。</w:t>
      </w:r>
    </w:p>
    <w:p>
      <w:pPr>
        <w:pStyle w:val="null3"/>
      </w:pPr>
      <w:r>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谈判后的网站查询记录为准；</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西安商贸旅游技师学院</w:t>
      </w:r>
    </w:p>
    <w:p>
      <w:pPr>
        <w:pStyle w:val="null3"/>
      </w:pPr>
      <w:r>
        <w:rPr/>
        <w:t xml:space="preserve"> 地址： </w:t>
      </w:r>
      <w:r>
        <w:rPr/>
        <w:t>西安市南关正街99号</w:t>
      </w:r>
    </w:p>
    <w:p>
      <w:pPr>
        <w:pStyle w:val="null3"/>
      </w:pPr>
      <w:r>
        <w:rPr/>
        <w:t xml:space="preserve"> 邮编： </w:t>
      </w:r>
      <w:r>
        <w:rPr/>
        <w:t>710068</w:t>
      </w:r>
    </w:p>
    <w:p>
      <w:pPr>
        <w:pStyle w:val="null3"/>
      </w:pPr>
      <w:r>
        <w:rPr/>
        <w:t xml:space="preserve"> 联系人： </w:t>
      </w:r>
      <w:r>
        <w:rPr/>
        <w:t>余老师</w:t>
      </w:r>
    </w:p>
    <w:p>
      <w:pPr>
        <w:pStyle w:val="null3"/>
      </w:pPr>
      <w:r>
        <w:rPr/>
        <w:t xml:space="preserve"> 联系电话： </w:t>
      </w:r>
      <w:r>
        <w:rPr/>
        <w:t xml:space="preserve"> 029-61819113</w:t>
      </w:r>
    </w:p>
    <w:p>
      <w:pPr>
        <w:pStyle w:val="null3"/>
        <w:outlineLvl w:val="3"/>
      </w:pPr>
      <w:r>
        <w:rPr>
          <w:sz w:val="24"/>
          <w:b/>
        </w:rPr>
        <w:t>代理机构：</w:t>
      </w:r>
      <w:r>
        <w:rPr>
          <w:sz w:val="24"/>
          <w:b/>
        </w:rPr>
        <w:t>陕西明正招标有限公司</w:t>
      </w:r>
    </w:p>
    <w:p>
      <w:pPr>
        <w:pStyle w:val="null3"/>
      </w:pPr>
      <w:r>
        <w:rPr/>
        <w:t xml:space="preserve"> 地址： </w:t>
      </w:r>
      <w:r>
        <w:rPr/>
        <w:t>西安市雁塔区二环南路西段88号老三届世纪星大厦30层AB座</w:t>
      </w:r>
    </w:p>
    <w:p>
      <w:pPr>
        <w:pStyle w:val="null3"/>
      </w:pPr>
      <w:r>
        <w:rPr/>
        <w:t xml:space="preserve"> 邮编： </w:t>
      </w:r>
      <w:r>
        <w:rPr/>
        <w:t>710061</w:t>
      </w:r>
    </w:p>
    <w:p>
      <w:pPr>
        <w:pStyle w:val="null3"/>
      </w:pPr>
      <w:r>
        <w:rPr/>
        <w:t xml:space="preserve"> 联系人： </w:t>
      </w:r>
      <w:r>
        <w:rPr/>
        <w:t>乔艳 冯瑶 韩微 韩乐乐</w:t>
      </w:r>
    </w:p>
    <w:p>
      <w:pPr>
        <w:pStyle w:val="null3"/>
      </w:pPr>
      <w:r>
        <w:rPr/>
        <w:t xml:space="preserve"> 联系电话： </w:t>
      </w:r>
      <w:r>
        <w:rPr/>
        <w:t>029-87551608</w:t>
      </w:r>
    </w:p>
    <w:p>
      <w:pPr>
        <w:pStyle w:val="null3"/>
        <w:outlineLvl w:val="3"/>
      </w:pPr>
      <w:r>
        <w:rPr>
          <w:sz w:val="24"/>
          <w:b/>
        </w:rPr>
        <w:t>采购监督机构：</w:t>
      </w:r>
      <w:r>
        <w:rPr>
          <w:sz w:val="24"/>
          <w:b/>
        </w:rPr>
        <w:t>西安市财政局政府采购管理处</w:t>
      </w:r>
    </w:p>
    <w:p>
      <w:pPr>
        <w:pStyle w:val="null3"/>
        <w:ind w:firstLine="480"/>
      </w:pPr>
      <w:r>
        <w:rPr/>
        <w:t>联系人：</w:t>
      </w:r>
      <w:r>
        <w:rPr/>
        <w:t>杜新星</w:t>
      </w:r>
    </w:p>
    <w:p>
      <w:pPr>
        <w:pStyle w:val="null3"/>
        <w:ind w:firstLine="480"/>
      </w:pPr>
      <w:r>
        <w:rPr/>
        <w:t>联系电话：</w:t>
      </w:r>
      <w:r>
        <w:rPr/>
        <w:t>029-89821846</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采购包1：697,000.00元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如以联合体响应的，联合体各方均应当具备本谈判文件要求的资格条件和能力。</w:t>
            </w:r>
          </w:p>
          <w:p>
            <w:pPr>
              <w:pStyle w:val="null3"/>
            </w:pPr>
            <w:r>
              <w:rPr/>
              <w:t xml:space="preserve"> （1）联合体各方均应具有承担本谈判项目必备的条件，如相应的人力、物力、资金等。</w:t>
            </w:r>
          </w:p>
          <w:p>
            <w:pPr>
              <w:pStyle w:val="null3"/>
            </w:pPr>
            <w:r>
              <w:rPr/>
              <w:t xml:space="preserve"> （2）谈判文件对供应商资格条件有特殊要求的，联合体各个成员都应当具备规定的相应资格条件。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说明：中标供应商应于本合同签订前向采购人支付合同约定金额 5%的履约保证金（四舍五入取整数）。合同履行过程中，产品质量一次不合格一个品种扣除履约保证金20元，前两周不计。配送迟到一次扣除履约保证金50元，采购人扣除后，中标供应商须立即将其补足至合同约定金额的5%。因中标供应商违约导致本合同终止的，采购人无需向中标供应商退还履约保证金。中标供应商按照本合同约定及采购人要求，完成全部供货义务及相关服务，最后一次结完帐，无任何纠纷，15天之内全额无息银行转账退还，如逾期退还，每逾期1天赔偿中标供应商100元。如果有纠纷，两家协商，如果未能达成，可走司法程序。</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考《国家计委关于印发〈招标代理服务费管理暂行办法〉的通知》(计价格【2002】1980号）、《国家发展和改革委员会办公厅关于招标代理服务收费有关问题的通知》（发改办价格〔2003〕857号）规定收取，具体金额将在结果公告中公布。</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一、本竞争性谈判文件仅适用于本次竞争性谈判采购项目。</w:t>
      </w:r>
    </w:p>
    <w:p>
      <w:pPr>
        <w:pStyle w:val="null3"/>
        <w:ind w:firstLine="480"/>
      </w:pPr>
      <w:r>
        <w:rPr/>
        <w:t>二、本竞争性谈判文件的最终解释权由</w:t>
      </w:r>
      <w:r>
        <w:rPr/>
        <w:t>西安商贸旅游技师学院</w:t>
      </w:r>
      <w:r>
        <w:rPr/>
        <w:t>和</w:t>
      </w:r>
      <w:r>
        <w:rPr/>
        <w:t>陕西明正招标有限公司</w:t>
      </w:r>
      <w:r>
        <w:rPr/>
        <w:t>享有。竞争性谈判文件中供应商参加本次政府采购活动应当具备的条件、技术清单、参数、商务及其他要求由</w:t>
      </w:r>
      <w:r>
        <w:rPr/>
        <w:t>西安商贸旅游技师学院</w:t>
      </w:r>
      <w:r>
        <w:rPr/>
        <w:t>负责解释。除上述竞争性谈判文件内容，其他内容由</w:t>
      </w:r>
      <w:r>
        <w:rPr/>
        <w:t>陕西明正招标有限公司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一、“采购人”是指依法进行政府采购的各级国家机关、事业单位、团体组织。本次谈判的采购人是</w:t>
      </w:r>
      <w:r>
        <w:rPr/>
        <w:t>西安商贸旅游技师学院</w:t>
      </w:r>
      <w:r>
        <w:rPr/>
        <w:t>。</w:t>
      </w:r>
    </w:p>
    <w:p>
      <w:pPr>
        <w:pStyle w:val="null3"/>
        <w:ind w:firstLine="480"/>
      </w:pPr>
      <w:r>
        <w:rPr/>
        <w:t xml:space="preserve"> 二、“供应商”是指在按照采购公告规定获取谈判文件，拟参加响应和向采购人提供货物、工程或服务的法人、其他组织或自然人。</w:t>
      </w:r>
    </w:p>
    <w:p>
      <w:pPr>
        <w:pStyle w:val="null3"/>
        <w:ind w:firstLine="480"/>
      </w:pPr>
      <w:r>
        <w:rPr/>
        <w:t xml:space="preserve"> 三、“代理机构”是指集中采购机构和集中采购机构以外的代理机构。本项目的代理机构是</w:t>
      </w:r>
      <w:r>
        <w:rPr/>
        <w:t>陕西明正招标有限公司</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五、“电子评审”是指通过项目电子化交易系统在线完成资格审查小组、谈判小组组建，开展资格和符合性审查、出具谈判报告、推荐成交候选供应商等活动。</w:t>
      </w:r>
    </w:p>
    <w:p>
      <w:pPr>
        <w:pStyle w:val="null3"/>
        <w:outlineLvl w:val="3"/>
      </w:pPr>
      <w:r>
        <w:rPr>
          <w:sz w:val="24"/>
          <w:b/>
        </w:rPr>
        <w:t>2.2.3响应费用（实质性要求）</w:t>
      </w:r>
    </w:p>
    <w:p>
      <w:pPr>
        <w:pStyle w:val="null3"/>
        <w:ind w:firstLine="480"/>
      </w:pPr>
      <w:r>
        <w:rPr/>
        <w:t>供应商应自行承担参加竞争性谈判采购活动的全部费用。</w:t>
      </w:r>
    </w:p>
    <w:p>
      <w:pPr>
        <w:pStyle w:val="null3"/>
        <w:outlineLvl w:val="2"/>
      </w:pPr>
      <w:r>
        <w:rPr>
          <w:sz w:val="28"/>
          <w:b/>
        </w:rPr>
        <w:t>2.3竞争性谈判文件</w:t>
      </w:r>
    </w:p>
    <w:p>
      <w:pPr>
        <w:pStyle w:val="null3"/>
        <w:outlineLvl w:val="3"/>
      </w:pPr>
      <w:r>
        <w:rPr>
          <w:sz w:val="24"/>
          <w:b/>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（四）资格审查；</w:t>
      </w:r>
    </w:p>
    <w:p>
      <w:pPr>
        <w:pStyle w:val="null3"/>
        <w:ind w:firstLine="480"/>
      </w:pPr>
      <w:r>
        <w:rPr/>
        <w:t>（五）谈判过程中可实质性变动的内容；</w:t>
      </w:r>
    </w:p>
    <w:p>
      <w:pPr>
        <w:pStyle w:val="null3"/>
        <w:ind w:firstLine="480"/>
      </w:pPr>
      <w:r>
        <w:rPr/>
        <w:t>（六）谈判办法；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sz w:val="24"/>
          <w:b/>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r>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除谈判文件中另有规定外，本项目均采用国家法定的计量单位。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四、构成本谈判文件的各组成部分，未经采购人书面同意，供应商不得擅自复印或用于非本谈判项目所需的其他目的。</w:t>
      </w:r>
    </w:p>
    <w:p>
      <w:pPr>
        <w:pStyle w:val="null3"/>
        <w:outlineLvl w:val="3"/>
      </w:pPr>
      <w:r>
        <w:rPr>
          <w:sz w:val="24"/>
          <w:b/>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响应文件具体内容详见第七章。</w:t>
      </w:r>
    </w:p>
    <w:p>
      <w:pPr>
        <w:pStyle w:val="null3"/>
        <w:outlineLvl w:val="3"/>
      </w:pPr>
      <w:r>
        <w:rPr>
          <w:sz w:val="24"/>
          <w:b/>
        </w:rPr>
        <w:t>2.4.6响应文件格式</w:t>
      </w:r>
    </w:p>
    <w:p>
      <w:pPr>
        <w:pStyle w:val="null3"/>
        <w:ind w:firstLine="480"/>
      </w:pPr>
      <w:r>
        <w:rPr/>
        <w:t>1.供应商应按照谈判文件第七章中提供的“响应文件格式”填写相关内容。</w:t>
      </w:r>
    </w:p>
    <w:p>
      <w:pPr>
        <w:pStyle w:val="null3"/>
        <w:ind w:firstLine="480"/>
      </w:pPr>
      <w:r>
        <w:rPr/>
        <w:t>2.对于没有格式要求的响应文件由供应商自行编写。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一、供应商的报价是其响应谈判项目要求的全部工作内容的价格体现，包括供应商完成本项目所需的一切费用。</w:t>
      </w:r>
    </w:p>
    <w:p>
      <w:pPr>
        <w:pStyle w:val="null3"/>
        <w:ind w:firstLine="480"/>
      </w:pPr>
      <w:r>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一、响应文件应当根据谈判通知书进行编制。供应商应通过陕西省政府采购网-办事指南-CA及签章服务下载投标（响应）客户端，使用客户端编制响应文件。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2.5开启、资格审查、谈判和确定成交供应商</w:t>
      </w:r>
    </w:p>
    <w:p>
      <w:pPr>
        <w:pStyle w:val="null3"/>
        <w:outlineLvl w:val="3"/>
      </w:pPr>
      <w:r>
        <w:rPr>
          <w:sz w:val="24"/>
          <w:b/>
        </w:rPr>
        <w:t>2.5.1谈判开启程序</w:t>
      </w:r>
    </w:p>
    <w:p>
      <w:pPr>
        <w:pStyle w:val="null3"/>
        <w:ind w:firstLine="480"/>
      </w:pPr>
      <w:r>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t>二、谈判开启准备工作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详见谈判文件第四章。</w:t>
      </w:r>
    </w:p>
    <w:p>
      <w:pPr>
        <w:pStyle w:val="null3"/>
        <w:outlineLvl w:val="3"/>
      </w:pPr>
      <w:r>
        <w:rPr>
          <w:sz w:val="24"/>
          <w:b/>
        </w:rPr>
        <w:t>2.5.4谈判</w:t>
      </w:r>
    </w:p>
    <w:p>
      <w:pPr>
        <w:pStyle w:val="null3"/>
        <w:ind w:firstLine="480"/>
      </w:pPr>
      <w:r>
        <w:rPr/>
        <w:t>详见谈判文件第六章。</w:t>
      </w:r>
    </w:p>
    <w:p>
      <w:pPr>
        <w:pStyle w:val="null3"/>
        <w:outlineLvl w:val="3"/>
      </w:pPr>
      <w:r>
        <w:rPr>
          <w:sz w:val="24"/>
          <w:b/>
        </w:rPr>
        <w:t>2.5.5、成交通知书</w:t>
      </w:r>
    </w:p>
    <w:p>
      <w:pPr>
        <w:pStyle w:val="null3"/>
        <w:ind w:firstLine="480"/>
      </w:pPr>
      <w:r>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sz w:val="28"/>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sz w:val="28"/>
          <w:b/>
        </w:rPr>
        <w:t>2.6.7履约验收方案</w:t>
      </w:r>
    </w:p>
    <w:p>
      <w:pPr>
        <w:pStyle w:val="null3"/>
      </w:pPr>
      <w:r>
        <w:rPr/>
        <w:t>采购包1：</w:t>
      </w:r>
    </w:p>
    <w:p>
      <w:pPr>
        <w:pStyle w:val="null3"/>
      </w:pPr>
      <w:r>
        <w:rPr/>
        <w:t>1.供应商必须严格按学院教学计划要求，及时准确足量将用料单所列全部原材料送至学院指定地点，且确保物料新鲜符合要求。 2.供应商交货前对货物作出全面检查并列出交货清单，作为甲方收货验收和使用的依据。 3.货物运抵现场后，采购人依据竞争性谈判文件上的技术规格要求和国家有关质量标准组织初步验收，如采购人提出货物品质不符合要求，则供应商无条件上门更换。4.其他未尽事宜应严格按照《财政部关于进一步加强政府采购需求和履约验收管理的指导意见》(财库(2016) 205号)的要求进行。</w:t>
      </w:r>
    </w:p>
    <w:p>
      <w:pPr>
        <w:pStyle w:val="null3"/>
        <w:outlineLvl w:val="2"/>
      </w:pPr>
      <w:r>
        <w:rPr>
          <w:sz w:val="28"/>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sz w:val="24"/>
          <w:b/>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陕西明正招标有限公司</w:t>
      </w:r>
      <w:r>
        <w:rPr/>
        <w:t xml:space="preserve"> 负责答复；供应商对除采购需求外的采购文件的询问、质疑由</w:t>
      </w:r>
      <w:r>
        <w:rPr/>
        <w:t>陕西明正招标有限公司</w:t>
      </w:r>
      <w:r>
        <w:rPr/>
        <w:t xml:space="preserve"> 负责答复；供应商对采购过程、采购结果的询问、质疑由 </w:t>
      </w:r>
      <w:r>
        <w:rPr/>
        <w:t>陕西明正招标有限公司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pPr>
      <w:r>
        <w:rPr/>
        <w:t>答复主体：代理机构</w:t>
      </w:r>
    </w:p>
    <w:p>
      <w:pPr>
        <w:pStyle w:val="null3"/>
      </w:pPr>
      <w:r>
        <w:rPr/>
        <w:t>联系人：乔艳 冯瑶</w:t>
      </w:r>
    </w:p>
    <w:p>
      <w:pPr>
        <w:pStyle w:val="null3"/>
      </w:pPr>
      <w:r>
        <w:rPr/>
        <w:t>联系电话：029-87551608</w:t>
      </w:r>
    </w:p>
    <w:p>
      <w:pPr>
        <w:pStyle w:val="null3"/>
      </w:pPr>
      <w:r>
        <w:rPr/>
        <w:t>地址：西安市雁塔区二环南路西段88号老三届世纪星大厦30层AB座</w:t>
      </w:r>
    </w:p>
    <w:p>
      <w:pPr>
        <w:pStyle w:val="null3"/>
      </w:pPr>
      <w:r>
        <w:rPr/>
        <w:t>邮编：710061</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t xml:space="preserve"> </w:t>
        <w:br/>
        <w:br w:type="page"/>
      </w:r>
    </w:p>
    <w:p>
      <w:pPr>
        <w:pStyle w:val="null3"/>
        <w:jc w:val="center"/>
        <w:outlineLvl w:val="1"/>
      </w:pPr>
      <w:r>
        <w:rPr>
          <w:sz w:val="36"/>
          <w:b/>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烹饪系、食品系实训课原材料采购项目，采购家畜类、家禽类、水产类、果蔬、米面油、调味品、食品添加剂等</w:t>
      </w:r>
    </w:p>
    <w:p>
      <w:pPr>
        <w:pStyle w:val="null3"/>
        <w:outlineLvl w:val="2"/>
      </w:pPr>
      <w:r>
        <w:rPr>
          <w:sz w:val="28"/>
          <w:b/>
        </w:rPr>
        <w:t>3.2采购内容</w:t>
      </w:r>
    </w:p>
    <w:p>
      <w:pPr>
        <w:pStyle w:val="null3"/>
      </w:pPr>
      <w:r>
        <w:rPr/>
        <w:t>采购包1：</w:t>
      </w:r>
    </w:p>
    <w:p>
      <w:pPr>
        <w:pStyle w:val="null3"/>
      </w:pPr>
      <w:r>
        <w:rPr/>
        <w:t>采购包预算金额（元）: 697,000.00</w:t>
      </w:r>
    </w:p>
    <w:p>
      <w:pPr>
        <w:pStyle w:val="null3"/>
      </w:pPr>
      <w:r>
        <w:rPr/>
        <w:t>采购包最高限价（元）: 697,000.00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烹饪、食品实训课原材料</w:t>
            </w:r>
          </w:p>
        </w:tc>
        <w:tc>
          <w:tcPr>
            <w:tcW w:type="dxa" w:w="831"/>
          </w:tcPr>
          <w:p>
            <w:pPr>
              <w:pStyle w:val="null3"/>
              <w:jc w:val="right"/>
            </w:pPr>
            <w:r>
              <w:rPr/>
              <w:t>1.00</w:t>
            </w:r>
          </w:p>
        </w:tc>
        <w:tc>
          <w:tcPr>
            <w:tcW w:type="dxa" w:w="831"/>
          </w:tcPr>
          <w:p>
            <w:pPr>
              <w:pStyle w:val="null3"/>
              <w:jc w:val="right"/>
            </w:pPr>
            <w:r>
              <w:rPr/>
              <w:t>697,000.00</w:t>
            </w:r>
          </w:p>
        </w:tc>
        <w:tc>
          <w:tcPr>
            <w:tcW w:type="dxa" w:w="831"/>
          </w:tcPr>
          <w:p>
            <w:pPr>
              <w:pStyle w:val="null3"/>
            </w:pPr>
            <w:r>
              <w:rPr/>
              <w:t>批</w:t>
            </w:r>
          </w:p>
        </w:tc>
        <w:tc>
          <w:tcPr>
            <w:tcW w:type="dxa" w:w="831"/>
          </w:tcPr>
          <w:p>
            <w:pPr>
              <w:pStyle w:val="null3"/>
            </w:pPr>
            <w:r>
              <w:rPr/>
              <w:t>零售业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标的名称：烹饪、食品实训课原材料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spacing w:after="120"/>
              <w:ind w:firstLine="402"/>
              <w:jc w:val="both"/>
            </w:pPr>
            <w:r>
              <w:rPr>
                <w:rFonts w:ascii="宋体" w:hAnsi="宋体" w:cs="宋体" w:eastAsia="宋体"/>
                <w:sz w:val="20"/>
                <w:b/>
              </w:rPr>
              <w:t>第一肉类</w:t>
            </w:r>
          </w:p>
          <w:p>
            <w:pPr>
              <w:pStyle w:val="null3"/>
              <w:ind w:firstLine="400"/>
              <w:jc w:val="both"/>
            </w:pPr>
            <w:r>
              <w:rPr>
                <w:rFonts w:ascii="宋体" w:hAnsi="宋体" w:cs="宋体" w:eastAsia="宋体"/>
                <w:sz w:val="20"/>
              </w:rPr>
              <w:t>（一）肉品类</w:t>
            </w:r>
          </w:p>
          <w:p>
            <w:pPr>
              <w:pStyle w:val="null3"/>
              <w:ind w:firstLine="400"/>
              <w:jc w:val="both"/>
            </w:pPr>
            <w:r>
              <w:rPr>
                <w:rFonts w:ascii="宋体" w:hAnsi="宋体" w:cs="宋体" w:eastAsia="宋体"/>
                <w:sz w:val="20"/>
              </w:rPr>
              <w:t>（</w:t>
            </w:r>
            <w:r>
              <w:rPr>
                <w:rFonts w:ascii="宋体" w:hAnsi="宋体" w:cs="宋体" w:eastAsia="宋体"/>
                <w:sz w:val="20"/>
              </w:rPr>
              <w:t>1）家畜类：</w:t>
            </w:r>
          </w:p>
          <w:p>
            <w:pPr>
              <w:pStyle w:val="null3"/>
              <w:ind w:firstLine="400"/>
              <w:jc w:val="both"/>
            </w:pPr>
            <w:r>
              <w:rPr>
                <w:rFonts w:ascii="宋体" w:hAnsi="宋体" w:cs="宋体" w:eastAsia="宋体"/>
                <w:sz w:val="20"/>
              </w:rPr>
              <w:t>猪肉：呈鲜红色，有光泽，脂肪洁白，肉的外表微干或微湿润，不粘手，指压后凹陷立即恢复，具有新鲜猪肉的正常气味。有检疫合格印章。</w:t>
            </w:r>
          </w:p>
          <w:p>
            <w:pPr>
              <w:pStyle w:val="null3"/>
              <w:ind w:firstLine="400"/>
              <w:jc w:val="both"/>
            </w:pPr>
            <w:r>
              <w:rPr>
                <w:rFonts w:ascii="宋体" w:hAnsi="宋体" w:cs="宋体" w:eastAsia="宋体"/>
                <w:sz w:val="20"/>
              </w:rPr>
              <w:t>牛肉：新鲜的模肉肌肉色泽呈鲜红色，有光泽，肥肉部分接近白色</w:t>
            </w:r>
            <w:r>
              <w:rPr>
                <w:rFonts w:ascii="宋体" w:hAnsi="宋体" w:cs="宋体" w:eastAsia="宋体"/>
                <w:sz w:val="20"/>
              </w:rPr>
              <w:t>;表面微干，有风干膜，不黏手;弹性好，指压后凹陷能立即恢复;具有牛肉特有的气味。</w:t>
            </w:r>
          </w:p>
          <w:p>
            <w:pPr>
              <w:pStyle w:val="null3"/>
              <w:ind w:firstLine="400"/>
              <w:jc w:val="both"/>
            </w:pPr>
            <w:r>
              <w:rPr>
                <w:rFonts w:ascii="宋体" w:hAnsi="宋体" w:cs="宋体" w:eastAsia="宋体"/>
                <w:sz w:val="20"/>
              </w:rPr>
              <w:t>羊肉：肉色鲜红而且均匀，有光泽，肉细而紧密，有弹性，外表略干，不粘手，气味新鲜，无其他异味。</w:t>
            </w:r>
          </w:p>
          <w:p>
            <w:pPr>
              <w:pStyle w:val="null3"/>
              <w:ind w:firstLine="400"/>
              <w:jc w:val="both"/>
            </w:pPr>
            <w:r>
              <w:rPr>
                <w:rFonts w:ascii="宋体" w:hAnsi="宋体" w:cs="宋体" w:eastAsia="宋体"/>
                <w:sz w:val="20"/>
              </w:rPr>
              <w:t>（</w:t>
            </w:r>
            <w:r>
              <w:rPr>
                <w:rFonts w:ascii="宋体" w:hAnsi="宋体" w:cs="宋体" w:eastAsia="宋体"/>
                <w:sz w:val="20"/>
              </w:rPr>
              <w:t>2）家禽类：</w:t>
            </w:r>
          </w:p>
          <w:p>
            <w:pPr>
              <w:pStyle w:val="null3"/>
              <w:ind w:firstLine="400"/>
              <w:jc w:val="both"/>
            </w:pPr>
            <w:r>
              <w:rPr>
                <w:rFonts w:ascii="宋体" w:hAnsi="宋体" w:cs="宋体" w:eastAsia="宋体"/>
                <w:sz w:val="20"/>
              </w:rPr>
              <w:t>禽类</w:t>
            </w:r>
            <w:r>
              <w:rPr>
                <w:rFonts w:ascii="宋体" w:hAnsi="宋体" w:cs="宋体" w:eastAsia="宋体"/>
                <w:sz w:val="20"/>
              </w:rPr>
              <w:t>:眼球饱满，皮肤有光泽，肌肉切面发光，外表微干或微湿润，不粘手，指压后凹陷能立即恢复。</w:t>
            </w:r>
          </w:p>
          <w:p>
            <w:pPr>
              <w:pStyle w:val="null3"/>
              <w:ind w:firstLine="400"/>
              <w:jc w:val="both"/>
            </w:pPr>
            <w:r>
              <w:rPr>
                <w:rFonts w:ascii="宋体" w:hAnsi="宋体" w:cs="宋体" w:eastAsia="宋体"/>
                <w:sz w:val="20"/>
              </w:rPr>
              <w:t>（</w:t>
            </w:r>
            <w:r>
              <w:rPr>
                <w:rFonts w:ascii="宋体" w:hAnsi="宋体" w:cs="宋体" w:eastAsia="宋体"/>
                <w:sz w:val="20"/>
              </w:rPr>
              <w:t>3）水产类：</w:t>
            </w:r>
          </w:p>
          <w:p>
            <w:pPr>
              <w:pStyle w:val="null3"/>
              <w:ind w:firstLine="400"/>
              <w:jc w:val="both"/>
            </w:pPr>
            <w:r>
              <w:rPr>
                <w:rFonts w:ascii="宋体" w:hAnsi="宋体" w:cs="宋体" w:eastAsia="宋体"/>
                <w:sz w:val="20"/>
              </w:rPr>
              <w:t>1、活鲜鱼类</w:t>
            </w:r>
          </w:p>
          <w:p>
            <w:pPr>
              <w:pStyle w:val="null3"/>
              <w:ind w:firstLine="400"/>
              <w:jc w:val="both"/>
            </w:pPr>
            <w:r>
              <w:rPr>
                <w:rFonts w:ascii="宋体" w:hAnsi="宋体" w:cs="宋体" w:eastAsia="宋体"/>
                <w:sz w:val="20"/>
              </w:rPr>
              <w:t>神态</w:t>
            </w:r>
            <w:r>
              <w:rPr>
                <w:rFonts w:ascii="宋体" w:hAnsi="宋体" w:cs="宋体" w:eastAsia="宋体"/>
                <w:sz w:val="20"/>
              </w:rPr>
              <w:t>——在水中游动自如</w:t>
            </w:r>
          </w:p>
          <w:p>
            <w:pPr>
              <w:pStyle w:val="null3"/>
              <w:ind w:firstLine="400"/>
              <w:jc w:val="both"/>
            </w:pPr>
            <w:r>
              <w:rPr>
                <w:rFonts w:ascii="宋体" w:hAnsi="宋体" w:cs="宋体" w:eastAsia="宋体"/>
                <w:sz w:val="20"/>
              </w:rPr>
              <w:t>体态</w:t>
            </w:r>
            <w:r>
              <w:rPr>
                <w:rFonts w:ascii="宋体" w:hAnsi="宋体" w:cs="宋体" w:eastAsia="宋体"/>
                <w:sz w:val="20"/>
              </w:rPr>
              <w:t>——无伤残、无畸形、无病害</w:t>
            </w:r>
          </w:p>
          <w:p>
            <w:pPr>
              <w:pStyle w:val="null3"/>
              <w:ind w:firstLine="400"/>
              <w:jc w:val="both"/>
            </w:pPr>
            <w:r>
              <w:rPr>
                <w:rFonts w:ascii="宋体" w:hAnsi="宋体" w:cs="宋体" w:eastAsia="宋体"/>
                <w:sz w:val="20"/>
              </w:rPr>
              <w:t>体表</w:t>
            </w:r>
            <w:r>
              <w:rPr>
                <w:rFonts w:ascii="宋体" w:hAnsi="宋体" w:cs="宋体" w:eastAsia="宋体"/>
                <w:sz w:val="20"/>
              </w:rPr>
              <w:t>——鳞片完整无损，无皮下出血现象及红色鱼鳞。</w:t>
            </w:r>
          </w:p>
          <w:p>
            <w:pPr>
              <w:pStyle w:val="null3"/>
              <w:ind w:firstLine="400"/>
              <w:jc w:val="both"/>
            </w:pPr>
            <w:r>
              <w:rPr>
                <w:rFonts w:ascii="宋体" w:hAnsi="宋体" w:cs="宋体" w:eastAsia="宋体"/>
                <w:sz w:val="20"/>
              </w:rPr>
              <w:t>行动迟缓、反肚、慌乱、狂游的鱼表明己接近死亡或有己病害。有红色鱼鳞之鱼须挑出拒收。</w:t>
            </w:r>
          </w:p>
          <w:p>
            <w:pPr>
              <w:pStyle w:val="null3"/>
              <w:ind w:firstLine="400"/>
              <w:jc w:val="both"/>
            </w:pPr>
            <w:r>
              <w:rPr>
                <w:rFonts w:ascii="宋体" w:hAnsi="宋体" w:cs="宋体" w:eastAsia="宋体"/>
                <w:sz w:val="20"/>
              </w:rPr>
              <w:t>2、虾类:个大而均匀，活蹦乱跳(或能活动)</w:t>
            </w:r>
          </w:p>
          <w:p>
            <w:pPr>
              <w:pStyle w:val="null3"/>
              <w:ind w:firstLine="400"/>
              <w:jc w:val="both"/>
            </w:pPr>
            <w:r>
              <w:rPr>
                <w:rFonts w:ascii="宋体" w:hAnsi="宋体" w:cs="宋体" w:eastAsia="宋体"/>
                <w:sz w:val="20"/>
              </w:rPr>
              <w:t>3、蟹类</w:t>
            </w:r>
          </w:p>
          <w:p>
            <w:pPr>
              <w:pStyle w:val="null3"/>
              <w:ind w:firstLine="400"/>
              <w:jc w:val="both"/>
            </w:pPr>
            <w:r>
              <w:rPr>
                <w:rFonts w:ascii="宋体" w:hAnsi="宋体" w:cs="宋体" w:eastAsia="宋体"/>
                <w:sz w:val="20"/>
              </w:rPr>
              <w:t>大闸蟹</w:t>
            </w:r>
            <w:r>
              <w:rPr>
                <w:rFonts w:ascii="宋体" w:hAnsi="宋体" w:cs="宋体" w:eastAsia="宋体"/>
                <w:sz w:val="20"/>
              </w:rPr>
              <w:t>——青皮、 白肚、黄毛、金螯及蟹脚刚劲有力，膘壮肉厚，膏多，堆在地上，能迅速四面爬开</w:t>
            </w:r>
          </w:p>
          <w:p>
            <w:pPr>
              <w:pStyle w:val="null3"/>
              <w:ind w:firstLine="400"/>
              <w:jc w:val="both"/>
            </w:pPr>
            <w:r>
              <w:rPr>
                <w:rFonts w:ascii="宋体" w:hAnsi="宋体" w:cs="宋体" w:eastAsia="宋体"/>
                <w:sz w:val="20"/>
              </w:rPr>
              <w:t>海蟹</w:t>
            </w:r>
            <w:r>
              <w:rPr>
                <w:rFonts w:ascii="宋体" w:hAnsi="宋体" w:cs="宋体" w:eastAsia="宋体"/>
                <w:sz w:val="20"/>
              </w:rPr>
              <w:t>——体肥、甲壳色泽正常，腹部洁白，雌蟹有膏时，头胸甲棘尖，反面透黄色，螯及蟹脚有力。</w:t>
            </w:r>
          </w:p>
          <w:p>
            <w:pPr>
              <w:pStyle w:val="null3"/>
              <w:ind w:firstLine="400"/>
              <w:jc w:val="both"/>
            </w:pPr>
            <w:r>
              <w:rPr>
                <w:rFonts w:ascii="宋体" w:hAnsi="宋体" w:cs="宋体" w:eastAsia="宋体"/>
                <w:sz w:val="20"/>
              </w:rPr>
              <w:t>4、贝类</w:t>
            </w:r>
          </w:p>
          <w:p>
            <w:pPr>
              <w:pStyle w:val="null3"/>
              <w:ind w:firstLine="400"/>
              <w:jc w:val="both"/>
            </w:pPr>
            <w:r>
              <w:rPr>
                <w:rFonts w:ascii="宋体" w:hAnsi="宋体" w:cs="宋体" w:eastAsia="宋体"/>
                <w:sz w:val="20"/>
              </w:rPr>
              <w:t>双壳贝类</w:t>
            </w:r>
            <w:r>
              <w:rPr>
                <w:rFonts w:ascii="宋体" w:hAnsi="宋体" w:cs="宋体" w:eastAsia="宋体"/>
                <w:sz w:val="20"/>
              </w:rPr>
              <w:t>——外壳具固有色泽，平时微张口、受惊闭合，斧足与触管伸缩灵活，具固有气味。</w:t>
            </w:r>
          </w:p>
          <w:p>
            <w:pPr>
              <w:pStyle w:val="null3"/>
              <w:ind w:firstLine="400"/>
              <w:jc w:val="both"/>
            </w:pPr>
            <w:r>
              <w:rPr>
                <w:rFonts w:ascii="宋体" w:hAnsi="宋体" w:cs="宋体" w:eastAsia="宋体"/>
                <w:sz w:val="20"/>
              </w:rPr>
              <w:t>单壳贝类</w:t>
            </w:r>
            <w:r>
              <w:rPr>
                <w:rFonts w:ascii="宋体" w:hAnsi="宋体" w:cs="宋体" w:eastAsia="宋体"/>
                <w:sz w:val="20"/>
              </w:rPr>
              <w:t>——贝肉收缩 自如，用手指抚平后能回缩</w:t>
            </w:r>
          </w:p>
          <w:p>
            <w:pPr>
              <w:pStyle w:val="null3"/>
              <w:ind w:firstLine="400"/>
              <w:jc w:val="both"/>
            </w:pPr>
            <w:r>
              <w:rPr>
                <w:rFonts w:ascii="宋体" w:hAnsi="宋体" w:cs="宋体" w:eastAsia="宋体"/>
                <w:sz w:val="20"/>
              </w:rPr>
              <w:t>5、冰鲜鱼</w:t>
            </w:r>
          </w:p>
          <w:p>
            <w:pPr>
              <w:pStyle w:val="null3"/>
              <w:ind w:firstLine="400"/>
              <w:jc w:val="both"/>
            </w:pPr>
            <w:r>
              <w:rPr>
                <w:rFonts w:ascii="宋体" w:hAnsi="宋体" w:cs="宋体" w:eastAsia="宋体"/>
                <w:sz w:val="20"/>
              </w:rPr>
              <w:t>皮肤</w:t>
            </w:r>
            <w:r>
              <w:rPr>
                <w:rFonts w:ascii="宋体" w:hAnsi="宋体" w:cs="宋体" w:eastAsia="宋体"/>
                <w:sz w:val="20"/>
              </w:rPr>
              <w:t>——类金属、 光泽哑色的表面显示其己不温鲜</w:t>
            </w:r>
          </w:p>
          <w:p>
            <w:pPr>
              <w:pStyle w:val="null3"/>
              <w:ind w:firstLine="400"/>
              <w:jc w:val="both"/>
            </w:pPr>
            <w:r>
              <w:rPr>
                <w:rFonts w:ascii="宋体" w:hAnsi="宋体" w:cs="宋体" w:eastAsia="宋体"/>
                <w:sz w:val="20"/>
              </w:rPr>
              <w:t>眼睛</w:t>
            </w:r>
            <w:r>
              <w:rPr>
                <w:rFonts w:ascii="宋体" w:hAnsi="宋体" w:cs="宋体" w:eastAsia="宋体"/>
                <w:sz w:val="20"/>
              </w:rPr>
              <w:t>——饱满明亮、 清晰且完整、瞳孔黑、角膜清澈</w:t>
            </w:r>
          </w:p>
          <w:p>
            <w:pPr>
              <w:pStyle w:val="null3"/>
              <w:ind w:firstLine="400"/>
              <w:jc w:val="both"/>
            </w:pPr>
            <w:r>
              <w:rPr>
                <w:rFonts w:ascii="宋体" w:hAnsi="宋体" w:cs="宋体" w:eastAsia="宋体"/>
                <w:sz w:val="20"/>
              </w:rPr>
              <w:t>鳃</w:t>
            </w:r>
            <w:r>
              <w:rPr>
                <w:rFonts w:ascii="宋体" w:hAnsi="宋体" w:cs="宋体" w:eastAsia="宋体"/>
                <w:sz w:val="20"/>
              </w:rPr>
              <w:t>——鲜红色或血红色、含粘液且没有粘泥</w:t>
            </w:r>
          </w:p>
          <w:p>
            <w:pPr>
              <w:pStyle w:val="null3"/>
              <w:ind w:firstLine="400"/>
              <w:jc w:val="both"/>
            </w:pPr>
            <w:r>
              <w:rPr>
                <w:rFonts w:ascii="宋体" w:hAnsi="宋体" w:cs="宋体" w:eastAsia="宋体"/>
                <w:sz w:val="20"/>
              </w:rPr>
              <w:t>鱼肚</w:t>
            </w:r>
            <w:r>
              <w:rPr>
                <w:rFonts w:ascii="宋体" w:hAnsi="宋体" w:cs="宋体" w:eastAsia="宋体"/>
                <w:sz w:val="20"/>
              </w:rPr>
              <w:t>——内收或平整，不突出，不破肛</w:t>
            </w:r>
          </w:p>
          <w:p>
            <w:pPr>
              <w:pStyle w:val="null3"/>
              <w:ind w:firstLine="400"/>
              <w:jc w:val="both"/>
            </w:pPr>
            <w:r>
              <w:rPr>
                <w:rFonts w:ascii="宋体" w:hAnsi="宋体" w:cs="宋体" w:eastAsia="宋体"/>
                <w:sz w:val="20"/>
              </w:rPr>
              <w:t>体外粘液</w:t>
            </w:r>
            <w:r>
              <w:rPr>
                <w:rFonts w:ascii="宋体" w:hAnsi="宋体" w:cs="宋体" w:eastAsia="宋体"/>
                <w:sz w:val="20"/>
              </w:rPr>
              <w:t>——透明或水白</w:t>
            </w:r>
          </w:p>
          <w:p>
            <w:pPr>
              <w:pStyle w:val="null3"/>
              <w:ind w:firstLine="400"/>
              <w:jc w:val="both"/>
            </w:pPr>
            <w:r>
              <w:rPr>
                <w:rFonts w:ascii="宋体" w:hAnsi="宋体" w:cs="宋体" w:eastAsia="宋体"/>
                <w:sz w:val="20"/>
              </w:rPr>
              <w:t>肉质</w:t>
            </w:r>
            <w:r>
              <w:rPr>
                <w:rFonts w:ascii="宋体" w:hAnsi="宋体" w:cs="宋体" w:eastAsia="宋体"/>
                <w:sz w:val="20"/>
              </w:rPr>
              <w:t>——坚实且富有弹性，轻按下鱼肉后，手指的凹陷处可立刻恢复</w:t>
            </w:r>
          </w:p>
          <w:p>
            <w:pPr>
              <w:pStyle w:val="null3"/>
              <w:ind w:firstLine="400"/>
              <w:jc w:val="both"/>
            </w:pPr>
            <w:r>
              <w:rPr>
                <w:rFonts w:ascii="宋体" w:hAnsi="宋体" w:cs="宋体" w:eastAsia="宋体"/>
                <w:sz w:val="20"/>
              </w:rPr>
              <w:t>气味</w:t>
            </w:r>
            <w:r>
              <w:rPr>
                <w:rFonts w:ascii="宋体" w:hAnsi="宋体" w:cs="宋体" w:eastAsia="宋体"/>
                <w:sz w:val="20"/>
              </w:rPr>
              <w:t>——温和的海水味或鲜海藻味，无氯味腐臭味</w:t>
            </w:r>
          </w:p>
          <w:p>
            <w:pPr>
              <w:pStyle w:val="null3"/>
              <w:ind w:firstLine="400"/>
              <w:jc w:val="both"/>
            </w:pPr>
            <w:r>
              <w:rPr>
                <w:rFonts w:ascii="宋体" w:hAnsi="宋体" w:cs="宋体" w:eastAsia="宋体"/>
                <w:sz w:val="20"/>
              </w:rPr>
              <w:t>体表</w:t>
            </w:r>
            <w:r>
              <w:rPr>
                <w:rFonts w:ascii="宋体" w:hAnsi="宋体" w:cs="宋体" w:eastAsia="宋体"/>
                <w:sz w:val="20"/>
              </w:rPr>
              <w:t>——鱼鳞完整、体表无破损</w:t>
            </w:r>
          </w:p>
          <w:p>
            <w:pPr>
              <w:pStyle w:val="null3"/>
              <w:ind w:firstLine="400"/>
              <w:jc w:val="both"/>
            </w:pPr>
            <w:r>
              <w:rPr>
                <w:rFonts w:ascii="宋体" w:hAnsi="宋体" w:cs="宋体" w:eastAsia="宋体"/>
                <w:sz w:val="20"/>
              </w:rPr>
              <w:t>6、冰鲜虾</w:t>
            </w:r>
          </w:p>
          <w:p>
            <w:pPr>
              <w:pStyle w:val="null3"/>
              <w:ind w:firstLine="400"/>
              <w:jc w:val="both"/>
            </w:pPr>
            <w:r>
              <w:rPr>
                <w:rFonts w:ascii="宋体" w:hAnsi="宋体" w:cs="宋体" w:eastAsia="宋体"/>
                <w:sz w:val="20"/>
              </w:rPr>
              <w:t>有固有的颜色，不发白或红</w:t>
            </w:r>
            <w:r>
              <w:rPr>
                <w:rFonts w:ascii="宋体" w:hAnsi="宋体" w:cs="宋体" w:eastAsia="宋体"/>
                <w:sz w:val="20"/>
              </w:rPr>
              <w:t>;头胸甲与躯千连接紧密，无断头现象;虾身清洁无污物。</w:t>
            </w:r>
          </w:p>
          <w:p>
            <w:pPr>
              <w:pStyle w:val="null3"/>
              <w:ind w:firstLine="400"/>
              <w:jc w:val="both"/>
            </w:pPr>
            <w:r>
              <w:rPr>
                <w:rFonts w:ascii="宋体" w:hAnsi="宋体" w:cs="宋体" w:eastAsia="宋体"/>
                <w:sz w:val="20"/>
              </w:rPr>
              <w:t>（二）冻品类</w:t>
            </w:r>
          </w:p>
          <w:p>
            <w:pPr>
              <w:pStyle w:val="null3"/>
              <w:ind w:firstLine="400"/>
              <w:jc w:val="both"/>
            </w:pPr>
            <w:r>
              <w:rPr>
                <w:rFonts w:ascii="宋体" w:hAnsi="宋体" w:cs="宋体" w:eastAsia="宋体"/>
                <w:sz w:val="20"/>
              </w:rPr>
              <w:t>1、整箱包装完整、无破箱、生产地址明显。</w:t>
            </w:r>
          </w:p>
          <w:p>
            <w:pPr>
              <w:pStyle w:val="null3"/>
              <w:ind w:firstLine="400"/>
              <w:jc w:val="both"/>
            </w:pPr>
            <w:r>
              <w:rPr>
                <w:rFonts w:ascii="宋体" w:hAnsi="宋体" w:cs="宋体" w:eastAsia="宋体"/>
                <w:sz w:val="20"/>
              </w:rPr>
              <w:t>2、验货时，要拆箱检查，如含水量太多称重时适当按比例除冰块的重量。</w:t>
            </w:r>
          </w:p>
          <w:p>
            <w:pPr>
              <w:pStyle w:val="null3"/>
              <w:ind w:firstLine="400"/>
              <w:jc w:val="both"/>
            </w:pPr>
            <w:r>
              <w:rPr>
                <w:rFonts w:ascii="宋体" w:hAnsi="宋体" w:cs="宋体" w:eastAsia="宋体"/>
                <w:sz w:val="20"/>
              </w:rPr>
              <w:t>3、如冻品解冻、软化、出水带血水，则不能收货。</w:t>
            </w:r>
          </w:p>
          <w:p>
            <w:pPr>
              <w:pStyle w:val="null3"/>
              <w:ind w:firstLine="400"/>
              <w:jc w:val="both"/>
            </w:pPr>
            <w:r>
              <w:rPr>
                <w:rFonts w:ascii="宋体" w:hAnsi="宋体" w:cs="宋体" w:eastAsia="宋体"/>
                <w:sz w:val="20"/>
              </w:rPr>
              <w:t>4、称重时要扣除纸箱、冰块的重量，以货品净重为准。如果外包装箱上标有净重，按净重入库，如果没有净重标识，按5%扣除含冰量。</w:t>
            </w:r>
          </w:p>
          <w:p>
            <w:pPr>
              <w:pStyle w:val="null3"/>
              <w:spacing w:after="120"/>
              <w:ind w:firstLine="402"/>
              <w:jc w:val="both"/>
            </w:pPr>
            <w:r>
              <w:rPr>
                <w:rFonts w:ascii="宋体" w:hAnsi="宋体" w:cs="宋体" w:eastAsia="宋体"/>
                <w:sz w:val="20"/>
                <w:b/>
              </w:rPr>
              <w:t>第二粮油类</w:t>
            </w:r>
          </w:p>
          <w:p>
            <w:pPr>
              <w:pStyle w:val="null3"/>
              <w:ind w:firstLine="400"/>
              <w:jc w:val="both"/>
            </w:pPr>
            <w:r>
              <w:rPr>
                <w:rFonts w:ascii="宋体" w:hAnsi="宋体" w:cs="宋体" w:eastAsia="宋体"/>
                <w:sz w:val="20"/>
              </w:rPr>
              <w:t>（一）面粉及淀粉类</w:t>
            </w:r>
          </w:p>
          <w:p>
            <w:pPr>
              <w:pStyle w:val="null3"/>
              <w:ind w:firstLine="400"/>
              <w:jc w:val="both"/>
            </w:pPr>
            <w:r>
              <w:rPr>
                <w:rFonts w:ascii="宋体" w:hAnsi="宋体" w:cs="宋体" w:eastAsia="宋体"/>
                <w:sz w:val="20"/>
              </w:rPr>
              <w:t>面粉：均为整袋采购，要求完整原厂包装，生产合格证、</w:t>
            </w:r>
            <w:r>
              <w:rPr>
                <w:rFonts w:ascii="宋体" w:hAnsi="宋体" w:cs="宋体" w:eastAsia="宋体"/>
                <w:sz w:val="20"/>
              </w:rPr>
              <w:t>SC证号完备，外包装无污损，保质期剩余至少二分之一以上。不同种类面粉的化学和卫生指标应符合《中华人民共和国国家标准》中面粉的指标要求。原袋分装应有完整包装、生产日期等信息，指标符合国家标准。</w:t>
            </w:r>
          </w:p>
          <w:p>
            <w:pPr>
              <w:pStyle w:val="null3"/>
              <w:ind w:firstLine="400"/>
              <w:jc w:val="both"/>
            </w:pPr>
            <w:r>
              <w:rPr>
                <w:rFonts w:ascii="宋体" w:hAnsi="宋体" w:cs="宋体" w:eastAsia="宋体"/>
                <w:sz w:val="20"/>
              </w:rPr>
              <w:t>淀粉类：整袋采购有完整原厂包装，生产合格证、</w:t>
            </w:r>
            <w:r>
              <w:rPr>
                <w:rFonts w:ascii="宋体" w:hAnsi="宋体" w:cs="宋体" w:eastAsia="宋体"/>
                <w:sz w:val="20"/>
              </w:rPr>
              <w:t>SC证号完备，外包装无污损，保质期剩余至少二分之一以上。散装淀粉需在保质期内，色泽洁白，无杂质，无异味，无虫蚀，无霉变，分装盛器需使用食品级包材。</w:t>
            </w:r>
          </w:p>
          <w:p>
            <w:pPr>
              <w:pStyle w:val="null3"/>
              <w:ind w:firstLine="400"/>
              <w:jc w:val="both"/>
            </w:pPr>
            <w:r>
              <w:rPr>
                <w:rFonts w:ascii="宋体" w:hAnsi="宋体" w:cs="宋体" w:eastAsia="宋体"/>
                <w:sz w:val="20"/>
              </w:rPr>
              <w:t>（二）米及米粉类</w:t>
            </w:r>
          </w:p>
          <w:p>
            <w:pPr>
              <w:pStyle w:val="null3"/>
              <w:ind w:firstLine="400"/>
              <w:jc w:val="both"/>
            </w:pPr>
            <w:r>
              <w:rPr>
                <w:rFonts w:ascii="宋体" w:hAnsi="宋体" w:cs="宋体" w:eastAsia="宋体"/>
                <w:sz w:val="20"/>
              </w:rPr>
              <w:t>米：整袋采购的必须有完整原厂包装，生产合格证、</w:t>
            </w:r>
            <w:r>
              <w:rPr>
                <w:rFonts w:ascii="宋体" w:hAnsi="宋体" w:cs="宋体" w:eastAsia="宋体"/>
                <w:sz w:val="20"/>
              </w:rPr>
              <w:t>SC证号完备，外包装无污损，保质期剩余至少二分之一以上。不同种类米的化学和卫生指标应符合《中华人民共和国国家标准》中米的指标要求。散装米米粒饱满，光泽度高，腹白低，残缺粒、爆腰粒少，米香味正，无杂质，无虫害，分装盛器需使用食品级包材。</w:t>
            </w:r>
          </w:p>
          <w:p>
            <w:pPr>
              <w:pStyle w:val="null3"/>
              <w:ind w:firstLine="400"/>
              <w:jc w:val="both"/>
            </w:pPr>
            <w:r>
              <w:rPr>
                <w:rFonts w:ascii="宋体" w:hAnsi="宋体" w:cs="宋体" w:eastAsia="宋体"/>
                <w:sz w:val="20"/>
              </w:rPr>
              <w:t>米粉类：整袋采购有完整原厂包装，生产合格证、</w:t>
            </w:r>
            <w:r>
              <w:rPr>
                <w:rFonts w:ascii="宋体" w:hAnsi="宋体" w:cs="宋体" w:eastAsia="宋体"/>
                <w:sz w:val="20"/>
              </w:rPr>
              <w:t>SC证号完备，外包装无污损，保质期剩余至少二分之一以上。散装米粉需在保质期内，色泽洁白，无杂质，无异味，无虫蚀，无霉变，分装盛器需使用食品级包材。</w:t>
            </w:r>
          </w:p>
          <w:p>
            <w:pPr>
              <w:pStyle w:val="null3"/>
              <w:ind w:firstLine="400"/>
              <w:jc w:val="both"/>
            </w:pPr>
            <w:r>
              <w:rPr>
                <w:rFonts w:ascii="宋体" w:hAnsi="宋体" w:cs="宋体" w:eastAsia="宋体"/>
                <w:sz w:val="20"/>
              </w:rPr>
              <w:t>（三）食用油脂类</w:t>
            </w:r>
          </w:p>
          <w:p>
            <w:pPr>
              <w:pStyle w:val="null3"/>
              <w:ind w:firstLine="400"/>
              <w:jc w:val="both"/>
            </w:pPr>
            <w:r>
              <w:rPr>
                <w:rFonts w:ascii="宋体" w:hAnsi="宋体" w:cs="宋体" w:eastAsia="宋体"/>
                <w:sz w:val="20"/>
              </w:rPr>
              <w:t>植物油：有完整的原厂包装，生产合格证、</w:t>
            </w:r>
            <w:r>
              <w:rPr>
                <w:rFonts w:ascii="宋体" w:hAnsi="宋体" w:cs="宋体" w:eastAsia="宋体"/>
                <w:sz w:val="20"/>
              </w:rPr>
              <w:t>SC证号完备，外包装无污损，保质期剩余至少二分之一以上。</w:t>
            </w:r>
          </w:p>
          <w:p>
            <w:pPr>
              <w:pStyle w:val="null3"/>
              <w:ind w:firstLine="400"/>
              <w:jc w:val="both"/>
            </w:pPr>
            <w:r>
              <w:rPr>
                <w:rFonts w:ascii="宋体" w:hAnsi="宋体" w:cs="宋体" w:eastAsia="宋体"/>
                <w:sz w:val="20"/>
              </w:rPr>
              <w:t>动物油：精炼动物油应有完整的原厂包装，生产合格证、</w:t>
            </w:r>
            <w:r>
              <w:rPr>
                <w:rFonts w:ascii="宋体" w:hAnsi="宋体" w:cs="宋体" w:eastAsia="宋体"/>
                <w:sz w:val="20"/>
              </w:rPr>
              <w:t>SC证号完备，外包装无污损，保质期剩余至少二分之一以上。</w:t>
            </w:r>
          </w:p>
          <w:p>
            <w:pPr>
              <w:pStyle w:val="null3"/>
              <w:ind w:firstLine="400"/>
              <w:jc w:val="both"/>
            </w:pPr>
            <w:r>
              <w:rPr>
                <w:rFonts w:ascii="宋体" w:hAnsi="宋体" w:cs="宋体" w:eastAsia="宋体"/>
                <w:sz w:val="20"/>
              </w:rPr>
              <w:t>合成油：有完整的原厂包装，生产合格证、</w:t>
            </w:r>
            <w:r>
              <w:rPr>
                <w:rFonts w:ascii="宋体" w:hAnsi="宋体" w:cs="宋体" w:eastAsia="宋体"/>
                <w:sz w:val="20"/>
              </w:rPr>
              <w:t>SC证号完备，外包装无污损，保质期剩余至少二分之一以上，植脂鲜奶油应冷链运输保藏。</w:t>
            </w:r>
          </w:p>
          <w:p>
            <w:pPr>
              <w:pStyle w:val="null3"/>
              <w:ind w:firstLine="400"/>
              <w:jc w:val="both"/>
            </w:pPr>
            <w:r>
              <w:rPr>
                <w:rFonts w:ascii="宋体" w:hAnsi="宋体" w:cs="宋体" w:eastAsia="宋体"/>
                <w:sz w:val="20"/>
              </w:rPr>
              <w:t>（四）杂粮类</w:t>
            </w:r>
          </w:p>
          <w:p>
            <w:pPr>
              <w:pStyle w:val="null3"/>
              <w:ind w:firstLine="400"/>
              <w:jc w:val="both"/>
            </w:pPr>
            <w:r>
              <w:rPr>
                <w:rFonts w:ascii="宋体" w:hAnsi="宋体" w:cs="宋体" w:eastAsia="宋体"/>
                <w:sz w:val="20"/>
              </w:rPr>
              <w:t>豆：豆类应无杂质、无霉变、无异味、无虫蚀、无杂豆、无鼠害、表面有光泽，均为当年新豆。</w:t>
            </w:r>
          </w:p>
          <w:p>
            <w:pPr>
              <w:pStyle w:val="null3"/>
              <w:ind w:firstLine="400"/>
              <w:jc w:val="both"/>
            </w:pPr>
            <w:r>
              <w:rPr>
                <w:rFonts w:ascii="宋体" w:hAnsi="宋体" w:cs="宋体" w:eastAsia="宋体"/>
                <w:sz w:val="20"/>
              </w:rPr>
              <w:t>豆沙：整包采购，应有生产合格证、</w:t>
            </w:r>
            <w:r>
              <w:rPr>
                <w:rFonts w:ascii="宋体" w:hAnsi="宋体" w:cs="宋体" w:eastAsia="宋体"/>
                <w:sz w:val="20"/>
              </w:rPr>
              <w:t>SC证号完备，外包装无污损，保质期剩余至少二分之一以上。</w:t>
            </w:r>
          </w:p>
          <w:p>
            <w:pPr>
              <w:pStyle w:val="null3"/>
              <w:spacing w:after="120"/>
              <w:ind w:firstLine="402"/>
              <w:jc w:val="both"/>
            </w:pPr>
            <w:r>
              <w:rPr>
                <w:rFonts w:ascii="宋体" w:hAnsi="宋体" w:cs="宋体" w:eastAsia="宋体"/>
                <w:sz w:val="20"/>
                <w:b/>
              </w:rPr>
              <w:t>第三蛋、乳类</w:t>
            </w:r>
          </w:p>
          <w:p>
            <w:pPr>
              <w:pStyle w:val="null3"/>
              <w:ind w:firstLine="400"/>
              <w:jc w:val="both"/>
            </w:pPr>
            <w:r>
              <w:rPr>
                <w:rFonts w:ascii="宋体" w:hAnsi="宋体" w:cs="宋体" w:eastAsia="宋体"/>
                <w:sz w:val="20"/>
              </w:rPr>
              <w:t>（一）乳品类</w:t>
            </w:r>
          </w:p>
          <w:p>
            <w:pPr>
              <w:pStyle w:val="null3"/>
              <w:ind w:firstLine="400"/>
              <w:jc w:val="both"/>
            </w:pPr>
            <w:r>
              <w:rPr>
                <w:rFonts w:ascii="宋体" w:hAnsi="宋体" w:cs="宋体" w:eastAsia="宋体"/>
                <w:sz w:val="20"/>
              </w:rPr>
              <w:t>鲜乳和炼乳：均为整箱或整包采购，瓶装、罐装、利乐包装或康美包装等均可，拒绝散装和简易包装。有生产合格证、</w:t>
            </w:r>
            <w:r>
              <w:rPr>
                <w:rFonts w:ascii="宋体" w:hAnsi="宋体" w:cs="宋体" w:eastAsia="宋体"/>
                <w:sz w:val="20"/>
              </w:rPr>
              <w:t>SC证号完备，外包装无污损，保质期剩余至少二分之一以上。</w:t>
            </w:r>
          </w:p>
          <w:p>
            <w:pPr>
              <w:pStyle w:val="null3"/>
              <w:ind w:firstLine="400"/>
              <w:jc w:val="both"/>
            </w:pPr>
            <w:r>
              <w:rPr>
                <w:rFonts w:ascii="宋体" w:hAnsi="宋体" w:cs="宋体" w:eastAsia="宋体"/>
                <w:sz w:val="20"/>
              </w:rPr>
              <w:t>乳粉：有完整包装，拒绝散装。纯乳含量不得低于</w:t>
            </w:r>
            <w:r>
              <w:rPr>
                <w:rFonts w:ascii="宋体" w:hAnsi="宋体" w:cs="宋体" w:eastAsia="宋体"/>
                <w:sz w:val="20"/>
              </w:rPr>
              <w:t>60%，有生产合格证、SC证号完备，外包装无污损，保质期剩余至少二分之一以上。</w:t>
            </w:r>
          </w:p>
          <w:p>
            <w:pPr>
              <w:pStyle w:val="null3"/>
              <w:ind w:firstLine="400"/>
              <w:jc w:val="both"/>
            </w:pPr>
            <w:r>
              <w:rPr>
                <w:rFonts w:ascii="宋体" w:hAnsi="宋体" w:cs="宋体" w:eastAsia="宋体"/>
                <w:sz w:val="20"/>
              </w:rPr>
              <w:t>乳酪：整包采购，应有生产合格证、</w:t>
            </w:r>
            <w:r>
              <w:rPr>
                <w:rFonts w:ascii="宋体" w:hAnsi="宋体" w:cs="宋体" w:eastAsia="宋体"/>
                <w:sz w:val="20"/>
              </w:rPr>
              <w:t>SC证号完备，外包装无污损，保质期剩余至少二分之一以上。</w:t>
            </w:r>
          </w:p>
          <w:p>
            <w:pPr>
              <w:pStyle w:val="null3"/>
              <w:ind w:firstLine="400"/>
              <w:jc w:val="both"/>
            </w:pPr>
            <w:r>
              <w:rPr>
                <w:rFonts w:ascii="宋体" w:hAnsi="宋体" w:cs="宋体" w:eastAsia="宋体"/>
                <w:sz w:val="20"/>
              </w:rPr>
              <w:t>酸乳：原包装采购，冷链运输保藏，有生产合格证、</w:t>
            </w:r>
            <w:r>
              <w:rPr>
                <w:rFonts w:ascii="宋体" w:hAnsi="宋体" w:cs="宋体" w:eastAsia="宋体"/>
                <w:sz w:val="20"/>
              </w:rPr>
              <w:t>SC证号完备，外包装无污损，保质期剩余三分之二以上。</w:t>
            </w:r>
          </w:p>
          <w:p>
            <w:pPr>
              <w:pStyle w:val="null3"/>
              <w:ind w:firstLine="400"/>
              <w:jc w:val="both"/>
            </w:pPr>
            <w:r>
              <w:rPr>
                <w:rFonts w:ascii="宋体" w:hAnsi="宋体" w:cs="宋体" w:eastAsia="宋体"/>
                <w:sz w:val="20"/>
              </w:rPr>
              <w:t>（二）蛋品类</w:t>
            </w:r>
          </w:p>
          <w:p>
            <w:pPr>
              <w:pStyle w:val="null3"/>
              <w:ind w:firstLine="400"/>
              <w:jc w:val="both"/>
            </w:pPr>
            <w:r>
              <w:rPr>
                <w:rFonts w:ascii="宋体" w:hAnsi="宋体" w:cs="宋体" w:eastAsia="宋体"/>
                <w:sz w:val="20"/>
              </w:rPr>
              <w:t>鲜蛋：新鲜无变质、无污染，破损率</w:t>
            </w:r>
            <w:r>
              <w:rPr>
                <w:rFonts w:ascii="宋体" w:hAnsi="宋体" w:cs="宋体" w:eastAsia="宋体"/>
                <w:sz w:val="20"/>
              </w:rPr>
              <w:t>≤1%，秋冬季距生产日期不超过15天，春夏季距生产日期不超过7天。</w:t>
            </w:r>
          </w:p>
          <w:p>
            <w:pPr>
              <w:pStyle w:val="null3"/>
              <w:ind w:firstLine="400"/>
              <w:jc w:val="both"/>
            </w:pPr>
            <w:r>
              <w:rPr>
                <w:rFonts w:ascii="宋体" w:hAnsi="宋体" w:cs="宋体" w:eastAsia="宋体"/>
                <w:sz w:val="20"/>
              </w:rPr>
              <w:t>咸蛋、变蛋：无霉变，无污染，无破损，保质期剩余至少二分之一以上。</w:t>
            </w:r>
          </w:p>
          <w:p>
            <w:pPr>
              <w:pStyle w:val="null3"/>
              <w:ind w:firstLine="400"/>
              <w:jc w:val="both"/>
            </w:pPr>
            <w:r>
              <w:rPr>
                <w:rFonts w:ascii="宋体" w:hAnsi="宋体" w:cs="宋体" w:eastAsia="宋体"/>
                <w:sz w:val="20"/>
              </w:rPr>
              <w:t>咸蛋黄：</w:t>
            </w:r>
            <w:r>
              <w:rPr>
                <w:rFonts w:ascii="宋体" w:hAnsi="宋体" w:cs="宋体" w:eastAsia="宋体"/>
                <w:sz w:val="20"/>
              </w:rPr>
              <w:t>100%咸蛋黄，拒绝再次加工品。整包采购，应有生产合格证、SC证号完备，外包装无污损，保质期剩余至少二分之一以上。</w:t>
            </w:r>
          </w:p>
          <w:p>
            <w:pPr>
              <w:pStyle w:val="null3"/>
              <w:spacing w:after="120"/>
              <w:ind w:firstLine="402"/>
              <w:jc w:val="both"/>
            </w:pPr>
            <w:r>
              <w:rPr>
                <w:rFonts w:ascii="宋体" w:hAnsi="宋体" w:cs="宋体" w:eastAsia="宋体"/>
                <w:sz w:val="20"/>
                <w:b/>
              </w:rPr>
              <w:t>第四蔬菜类</w:t>
            </w:r>
          </w:p>
          <w:p>
            <w:pPr>
              <w:pStyle w:val="null3"/>
              <w:ind w:firstLine="400"/>
              <w:jc w:val="both"/>
            </w:pPr>
            <w:r>
              <w:rPr>
                <w:rFonts w:ascii="宋体" w:hAnsi="宋体" w:cs="宋体" w:eastAsia="宋体"/>
                <w:sz w:val="20"/>
              </w:rPr>
              <w:t>根茎类</w:t>
            </w:r>
            <w:r>
              <w:rPr>
                <w:rFonts w:ascii="宋体" w:hAnsi="宋体" w:cs="宋体" w:eastAsia="宋体"/>
                <w:sz w:val="20"/>
              </w:rPr>
              <w:t>:茎部不老化，机体均匀，未发芽、变色</w:t>
            </w:r>
          </w:p>
          <w:p>
            <w:pPr>
              <w:pStyle w:val="null3"/>
              <w:ind w:firstLine="400"/>
              <w:jc w:val="both"/>
            </w:pPr>
            <w:r>
              <w:rPr>
                <w:rFonts w:ascii="宋体" w:hAnsi="宋体" w:cs="宋体" w:eastAsia="宋体"/>
                <w:sz w:val="20"/>
              </w:rPr>
              <w:t>叶菜类</w:t>
            </w:r>
            <w:r>
              <w:rPr>
                <w:rFonts w:ascii="宋体" w:hAnsi="宋体" w:cs="宋体" w:eastAsia="宋体"/>
                <w:sz w:val="20"/>
              </w:rPr>
              <w:t>:色泽鲜亮，切口不变色，叶片挺而不干枯、不发黄。质地脆嫩、坚挺，球形叶菜，结实，无老帮</w:t>
            </w:r>
          </w:p>
          <w:p>
            <w:pPr>
              <w:pStyle w:val="null3"/>
              <w:ind w:firstLine="400"/>
              <w:jc w:val="both"/>
            </w:pPr>
            <w:r>
              <w:rPr>
                <w:rFonts w:ascii="宋体" w:hAnsi="宋体" w:cs="宋体" w:eastAsia="宋体"/>
                <w:sz w:val="20"/>
              </w:rPr>
              <w:t>花果类</w:t>
            </w:r>
            <w:r>
              <w:rPr>
                <w:rFonts w:ascii="宋体" w:hAnsi="宋体" w:cs="宋体" w:eastAsia="宋体"/>
                <w:sz w:val="20"/>
              </w:rPr>
              <w:t>:允许果形有轻微缺点，但不得变形、过熟</w:t>
            </w:r>
          </w:p>
          <w:p>
            <w:pPr>
              <w:pStyle w:val="null3"/>
              <w:ind w:firstLine="400"/>
              <w:jc w:val="both"/>
            </w:pPr>
            <w:r>
              <w:rPr>
                <w:rFonts w:ascii="宋体" w:hAnsi="宋体" w:cs="宋体" w:eastAsia="宋体"/>
                <w:sz w:val="20"/>
              </w:rPr>
              <w:t>菇菌类</w:t>
            </w:r>
            <w:r>
              <w:rPr>
                <w:rFonts w:ascii="宋体" w:hAnsi="宋体" w:cs="宋体" w:eastAsia="宋体"/>
                <w:sz w:val="20"/>
              </w:rPr>
              <w:t>:外形饱满，不发霉、变黑</w:t>
            </w:r>
          </w:p>
          <w:p>
            <w:pPr>
              <w:pStyle w:val="null3"/>
              <w:spacing w:after="120"/>
              <w:ind w:firstLine="402"/>
              <w:jc w:val="both"/>
            </w:pPr>
            <w:r>
              <w:rPr>
                <w:rFonts w:ascii="宋体" w:hAnsi="宋体" w:cs="宋体" w:eastAsia="宋体"/>
                <w:sz w:val="20"/>
                <w:b/>
              </w:rPr>
              <w:t>第五果品类</w:t>
            </w:r>
          </w:p>
          <w:p>
            <w:pPr>
              <w:pStyle w:val="null3"/>
              <w:ind w:firstLine="400"/>
              <w:jc w:val="both"/>
            </w:pPr>
            <w:r>
              <w:rPr>
                <w:rFonts w:ascii="宋体" w:hAnsi="宋体" w:cs="宋体" w:eastAsia="宋体"/>
                <w:sz w:val="20"/>
              </w:rPr>
              <w:t>鲜果：二级果及以上，无虫害，无霉变，无失水萎蔫，农残符合国家标准。</w:t>
            </w:r>
          </w:p>
          <w:p>
            <w:pPr>
              <w:pStyle w:val="null3"/>
              <w:ind w:firstLine="400"/>
              <w:jc w:val="both"/>
            </w:pPr>
            <w:r>
              <w:rPr>
                <w:rFonts w:ascii="宋体" w:hAnsi="宋体" w:cs="宋体" w:eastAsia="宋体"/>
                <w:sz w:val="20"/>
              </w:rPr>
              <w:t>果酱、果脯、蜜饯、水果罐头、果汁：整包采购，应有生产合格证、</w:t>
            </w:r>
            <w:r>
              <w:rPr>
                <w:rFonts w:ascii="宋体" w:hAnsi="宋体" w:cs="宋体" w:eastAsia="宋体"/>
                <w:sz w:val="20"/>
              </w:rPr>
              <w:t>SC证号完备，外包装无污损，保质期剩余至少二分之一以上。果干、干果、干果片、干果碎、干果粉：无变色、无杂质、无霉变、无异味、无虫蚀、无鼠害、均为当年新果。</w:t>
            </w:r>
          </w:p>
          <w:p>
            <w:pPr>
              <w:pStyle w:val="null3"/>
              <w:ind w:firstLine="400"/>
              <w:jc w:val="both"/>
            </w:pPr>
            <w:r>
              <w:rPr>
                <w:rFonts w:ascii="宋体" w:hAnsi="宋体" w:cs="宋体" w:eastAsia="宋体"/>
                <w:sz w:val="20"/>
              </w:rPr>
              <w:t>第六调味品类</w:t>
            </w:r>
          </w:p>
          <w:p>
            <w:pPr>
              <w:pStyle w:val="null3"/>
              <w:ind w:firstLine="400"/>
              <w:jc w:val="both"/>
            </w:pPr>
            <w:r>
              <w:rPr>
                <w:rFonts w:ascii="宋体" w:hAnsi="宋体" w:cs="宋体" w:eastAsia="宋体"/>
                <w:sz w:val="20"/>
              </w:rPr>
              <w:t>（一）食糖类</w:t>
            </w:r>
          </w:p>
          <w:p>
            <w:pPr>
              <w:pStyle w:val="null3"/>
              <w:ind w:firstLine="400"/>
              <w:jc w:val="both"/>
            </w:pPr>
            <w:r>
              <w:rPr>
                <w:rFonts w:ascii="宋体" w:hAnsi="宋体" w:cs="宋体" w:eastAsia="宋体"/>
                <w:sz w:val="20"/>
              </w:rPr>
              <w:t>砂糖（糖粉）类：各类砂糖应符合《中华人民共和国国家标准》中对砂糖的色值、颗粒大小、杂质含量、甜度、含水量等标准的要求。袋装采购品应有完整的原厂包装，生产合格证、</w:t>
            </w:r>
            <w:r>
              <w:rPr>
                <w:rFonts w:ascii="宋体" w:hAnsi="宋体" w:cs="宋体" w:eastAsia="宋体"/>
                <w:sz w:val="20"/>
              </w:rPr>
              <w:t>SC证号完备，外包装无污损，保质期剩余至少二分之一以上。散装品需在保质期内，无杂质，无异味，无虫蚀，无霉变，分装盛器需使用食品级包材。</w:t>
            </w:r>
          </w:p>
          <w:p>
            <w:pPr>
              <w:pStyle w:val="null3"/>
              <w:ind w:firstLine="400"/>
              <w:jc w:val="both"/>
            </w:pPr>
            <w:r>
              <w:rPr>
                <w:rFonts w:ascii="宋体" w:hAnsi="宋体" w:cs="宋体" w:eastAsia="宋体"/>
                <w:sz w:val="20"/>
              </w:rPr>
              <w:t>蜂蜜、糖浆类：均为整包采购，拒绝散装。品名准确，生产合格证、</w:t>
            </w:r>
            <w:r>
              <w:rPr>
                <w:rFonts w:ascii="宋体" w:hAnsi="宋体" w:cs="宋体" w:eastAsia="宋体"/>
                <w:sz w:val="20"/>
              </w:rPr>
              <w:t>SC证号完备，外包装无污损，保质期剩余至少二分之一以上。</w:t>
            </w:r>
          </w:p>
          <w:p>
            <w:pPr>
              <w:pStyle w:val="null3"/>
              <w:ind w:firstLine="400"/>
              <w:jc w:val="both"/>
            </w:pPr>
            <w:r>
              <w:rPr>
                <w:rFonts w:ascii="宋体" w:hAnsi="宋体" w:cs="宋体" w:eastAsia="宋体"/>
                <w:sz w:val="20"/>
              </w:rPr>
              <w:t>（二）巧克力类</w:t>
            </w:r>
          </w:p>
          <w:p>
            <w:pPr>
              <w:pStyle w:val="null3"/>
              <w:ind w:firstLine="400"/>
              <w:jc w:val="both"/>
            </w:pPr>
            <w:r>
              <w:rPr>
                <w:rFonts w:ascii="宋体" w:hAnsi="宋体" w:cs="宋体" w:eastAsia="宋体"/>
                <w:sz w:val="20"/>
              </w:rPr>
              <w:t>巧克力：整包采购，应有生产合格证、</w:t>
            </w:r>
            <w:r>
              <w:rPr>
                <w:rFonts w:ascii="宋体" w:hAnsi="宋体" w:cs="宋体" w:eastAsia="宋体"/>
                <w:sz w:val="20"/>
              </w:rPr>
              <w:t>SC证号完备，外包装无污损，保质期剩余至少二分之一以上。</w:t>
            </w:r>
          </w:p>
          <w:p>
            <w:pPr>
              <w:pStyle w:val="null3"/>
              <w:ind w:firstLine="400"/>
              <w:jc w:val="both"/>
            </w:pPr>
            <w:r>
              <w:rPr>
                <w:rFonts w:ascii="宋体" w:hAnsi="宋体" w:cs="宋体" w:eastAsia="宋体"/>
                <w:sz w:val="20"/>
              </w:rPr>
              <w:t>（三）食品添加剂类</w:t>
            </w:r>
          </w:p>
          <w:p>
            <w:pPr>
              <w:pStyle w:val="null3"/>
              <w:ind w:firstLine="400"/>
              <w:jc w:val="both"/>
            </w:pPr>
            <w:r>
              <w:rPr>
                <w:rFonts w:ascii="宋体" w:hAnsi="宋体" w:cs="宋体" w:eastAsia="宋体"/>
                <w:sz w:val="20"/>
              </w:rPr>
              <w:t>食品添加剂：整包采购，应有生产合格证、</w:t>
            </w:r>
            <w:r>
              <w:rPr>
                <w:rFonts w:ascii="宋体" w:hAnsi="宋体" w:cs="宋体" w:eastAsia="宋体"/>
                <w:sz w:val="20"/>
              </w:rPr>
              <w:t>SC证号完备，外包装无污损，保质期剩余至少二分之一以上，生物活性添加剂（如酵母）距离生产日期不超过6个月。</w:t>
            </w:r>
          </w:p>
          <w:p>
            <w:pPr>
              <w:pStyle w:val="null3"/>
              <w:ind w:firstLine="400"/>
              <w:jc w:val="both"/>
            </w:pPr>
            <w:r>
              <w:rPr>
                <w:rFonts w:ascii="宋体" w:hAnsi="宋体" w:cs="宋体" w:eastAsia="宋体"/>
                <w:sz w:val="20"/>
              </w:rPr>
              <w:t>（四）调味品</w:t>
            </w:r>
          </w:p>
          <w:p>
            <w:pPr>
              <w:pStyle w:val="null3"/>
              <w:jc w:val="both"/>
            </w:pPr>
            <w:r>
              <w:rPr>
                <w:rFonts w:ascii="宋体" w:hAnsi="宋体" w:cs="宋体" w:eastAsia="宋体"/>
                <w:sz w:val="20"/>
              </w:rPr>
              <w:t xml:space="preserve">  </w:t>
            </w:r>
            <w:r>
              <w:rPr>
                <w:rFonts w:ascii="宋体" w:hAnsi="宋体" w:cs="宋体" w:eastAsia="宋体"/>
                <w:sz w:val="20"/>
              </w:rPr>
              <w:t>符合国标</w:t>
            </w:r>
            <w:r>
              <w:rPr>
                <w:rFonts w:ascii="宋体" w:hAnsi="宋体" w:cs="宋体" w:eastAsia="宋体"/>
                <w:sz w:val="20"/>
              </w:rPr>
              <w:t>,距生产日期未超过2个月。外包装完整洁净，有检验合格证，食品生产许可证号。</w:t>
            </w:r>
          </w:p>
          <w:p>
            <w:pPr>
              <w:pStyle w:val="null3"/>
              <w:ind w:firstLine="402"/>
              <w:jc w:val="both"/>
            </w:pPr>
            <w:r>
              <w:rPr>
                <w:rFonts w:ascii="宋体" w:hAnsi="宋体" w:cs="宋体" w:eastAsia="宋体"/>
                <w:sz w:val="20"/>
                <w:b/>
              </w:rPr>
              <w:t>配送要求：</w:t>
            </w:r>
          </w:p>
          <w:p>
            <w:pPr>
              <w:pStyle w:val="null3"/>
              <w:ind w:firstLine="400"/>
              <w:jc w:val="both"/>
            </w:pPr>
            <w:r>
              <w:rPr>
                <w:rFonts w:ascii="宋体" w:hAnsi="宋体" w:cs="宋体" w:eastAsia="宋体"/>
                <w:sz w:val="20"/>
              </w:rPr>
              <w:t>1.按要求（数量、质量）以料单为准每天早上7：30分之前配送，如校方提出货物品质不符合要求，则供货方无条件上门更换。</w:t>
            </w:r>
          </w:p>
          <w:p>
            <w:pPr>
              <w:pStyle w:val="null3"/>
              <w:ind w:firstLine="400"/>
              <w:jc w:val="both"/>
            </w:pPr>
            <w:r>
              <w:rPr>
                <w:rFonts w:ascii="宋体" w:hAnsi="宋体" w:cs="宋体" w:eastAsia="宋体"/>
                <w:sz w:val="20"/>
              </w:rPr>
              <w:t>2.如遇学校突发活动需增加配送任务，成交供应商须积极配合校方，校方须至少提前4小时与供应商沟通确认配送数量及品类，成交供应商应无条件按双方约定的时间给校方供货，且不收取任何附加费用，只收取原材料的费用。</w:t>
            </w:r>
          </w:p>
          <w:p>
            <w:pPr>
              <w:pStyle w:val="null3"/>
              <w:jc w:val="both"/>
            </w:pPr>
            <w:r>
              <w:rPr>
                <w:rFonts w:ascii="宋体" w:hAnsi="宋体" w:cs="宋体" w:eastAsia="宋体"/>
                <w:sz w:val="20"/>
              </w:rPr>
              <w:t xml:space="preserve">  </w:t>
            </w:r>
            <w:r>
              <w:rPr>
                <w:rFonts w:ascii="宋体" w:hAnsi="宋体" w:cs="宋体" w:eastAsia="宋体"/>
                <w:sz w:val="20"/>
              </w:rPr>
              <w:t>3.成交供应商配送服务方案，优于学校要求时，以成交供应商服务方案执行。</w:t>
            </w: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合同签订后，按照下单时间及采购需求中的各项要求进行供货及配送，服务至2025年12月31日。</w:t>
      </w:r>
    </w:p>
    <w:p>
      <w:pPr>
        <w:pStyle w:val="null3"/>
        <w:outlineLvl w:val="3"/>
      </w:pPr>
      <w:r>
        <w:rPr>
          <w:sz w:val="24"/>
          <w:b/>
        </w:rPr>
        <w:t>3.4.2交货地点和方式</w:t>
      </w:r>
    </w:p>
    <w:p>
      <w:pPr>
        <w:pStyle w:val="null3"/>
      </w:pPr>
      <w:r>
        <w:rPr/>
        <w:t>采购包1：</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 xml:space="preserve"> 本项目每月结算一次，各品类的报价以当月底双方到市场（胡家庙蔬菜批发市场、欣桥蔬菜批发市场、朱雀蔬菜批发市场、西一路）询价为准，询得零售价为本月结算用（结算价款=（零售价×上浮率+零售价）×数量）。因本项目为电子化交易项目，每期支付比例8.33%为系统依据支付次数计算生成，故该比例不作为每期实际结算依据，每期实际结算金额如未达到或超过合同总金额的8.33%，则以实际双方交付使用量为准（具体依据为经双方签字确认的送货单、收货单等），当月10日结算上个月的费用（乙方提供完整的票据）</w:t>
      </w:r>
      <w:r>
        <w:rPr/>
        <w:t xml:space="preserve"> ，达到付款条件起 </w:t>
      </w:r>
      <w:r>
        <w:rPr/>
        <w:t>5</w:t>
      </w:r>
      <w:r>
        <w:rPr/>
        <w:t xml:space="preserve"> 日内，支付合同总金额的 </w:t>
      </w:r>
      <w:r>
        <w:rPr/>
        <w:t>8.33</w:t>
      </w:r>
      <w:r>
        <w:rPr/>
        <w:t>%。</w:t>
      </w:r>
    </w:p>
    <w:p>
      <w:pPr>
        <w:pStyle w:val="null3"/>
      </w:pPr>
      <w:r>
        <w:rPr/>
        <w:t>采购包1：</w:t>
      </w:r>
      <w:r>
        <w:rPr/>
        <w:t xml:space="preserve"> 付款条件说明： </w:t>
      </w:r>
      <w:r>
        <w:rPr/>
        <w:t>本项目每月结算一次，各品类的报价以当月底双方到市场（胡家庙蔬菜批发市场、欣桥蔬菜批发市场、朱雀蔬菜批发市场、西一路）询价为准，询得零售价为本月结算用（结算价款=（零售价×上浮率+零售价）×数量）。因本项目为电子化交易项目，每期支付比例8.33%为系统依据支付次数计算生成，故该比例不作为每期实际结算依据，每期实际结算金额如未达到或超过合同总金额的8.33%，则以实际双方交付使用量为准（具体依据为经双方签字确认的送货单、收货单等），当月10日结算上个月的费用（乙方提供完整的票据）</w:t>
      </w:r>
      <w:r>
        <w:rPr/>
        <w:t xml:space="preserve"> ，达到付款条件起 </w:t>
      </w:r>
      <w:r>
        <w:rPr/>
        <w:t>5</w:t>
      </w:r>
      <w:r>
        <w:rPr/>
        <w:t xml:space="preserve"> 日内，支付合同总金额的 </w:t>
      </w:r>
      <w:r>
        <w:rPr/>
        <w:t>8.33</w:t>
      </w:r>
      <w:r>
        <w:rPr/>
        <w:t>%。</w:t>
      </w:r>
    </w:p>
    <w:p>
      <w:pPr>
        <w:pStyle w:val="null3"/>
      </w:pPr>
      <w:r>
        <w:rPr/>
        <w:t>采购包1：</w:t>
      </w:r>
      <w:r>
        <w:rPr/>
        <w:t xml:space="preserve"> 付款条件说明： </w:t>
      </w:r>
      <w:r>
        <w:rPr/>
        <w:t>本项目每月结算一次，各品类的报价以当月底双方到市场（胡家庙蔬菜批发市场、欣桥蔬菜批发市场、朱雀蔬菜批发市场、西一路）询价为准，询得零售价为本月结算用（结算价款=（零售价×上浮率+零售价）×数量）。因本项目为电子化交易项目，每期支付比例8.33%为系统依据支付次数计算生成，故该比例不作为每期实际结算依据，每期实际结算金额如未达到或超过合同总金额的8.33%，则以实际双方交付使用量为准（具体依据为经双方签字确认的送货单、收货单等），当月10日结算上个月的费用（乙方提供完整的票据）</w:t>
      </w:r>
      <w:r>
        <w:rPr/>
        <w:t xml:space="preserve"> ，达到付款条件起 </w:t>
      </w:r>
      <w:r>
        <w:rPr/>
        <w:t>5</w:t>
      </w:r>
      <w:r>
        <w:rPr/>
        <w:t xml:space="preserve"> 日内，支付合同总金额的 </w:t>
      </w:r>
      <w:r>
        <w:rPr/>
        <w:t>8.33</w:t>
      </w:r>
      <w:r>
        <w:rPr/>
        <w:t>%。</w:t>
      </w:r>
    </w:p>
    <w:p>
      <w:pPr>
        <w:pStyle w:val="null3"/>
      </w:pPr>
      <w:r>
        <w:rPr/>
        <w:t>采购包1：</w:t>
      </w:r>
      <w:r>
        <w:rPr/>
        <w:t xml:space="preserve"> 付款条件说明： </w:t>
      </w:r>
      <w:r>
        <w:rPr/>
        <w:t xml:space="preserve"> 本项目每月结算一次，各品类的报价以当月底双方到市场（胡家庙蔬菜批发市场、欣桥蔬菜批发市场、朱雀蔬菜批发市场、西一路）询价为准，询得零售价为本月结算用（结算价款=（零售价×上浮率+零售价）×数量）。因本项目为电子化交易项目，每期支付比例8.33%为系统依据支付次数计算生成，故该比例不作为每期实际结算依据，每期实际结算金额如未达到或超过合同总金额的8.33%，则以实际双方交付使用量为准（具体依据为经双方签字确认的送货单、收货单等），当月10日结算上个月的费用（乙方提供完整的票据）</w:t>
      </w:r>
      <w:r>
        <w:rPr/>
        <w:t xml:space="preserve"> ，达到付款条件起 </w:t>
      </w:r>
      <w:r>
        <w:rPr/>
        <w:t>5</w:t>
      </w:r>
      <w:r>
        <w:rPr/>
        <w:t xml:space="preserve"> 日内，支付合同总金额的 </w:t>
      </w:r>
      <w:r>
        <w:rPr/>
        <w:t>8.33</w:t>
      </w:r>
      <w:r>
        <w:rPr/>
        <w:t>%。</w:t>
      </w:r>
    </w:p>
    <w:p>
      <w:pPr>
        <w:pStyle w:val="null3"/>
      </w:pPr>
      <w:r>
        <w:rPr/>
        <w:t>采购包1：</w:t>
      </w:r>
      <w:r>
        <w:rPr/>
        <w:t xml:space="preserve"> 付款条件说明： </w:t>
      </w:r>
      <w:r>
        <w:rPr/>
        <w:t>本项目每月结算一次，各品类的报价以当月底双方到市场（胡家庙蔬菜批发市场、欣桥蔬菜批发市场、朱雀蔬菜批发市场、西一路）询价为准，询得零售价为本月结算用（结算价款=（零售价×上浮率+零售价）×数量）。因本项目为电子化交易项目，每期支付比例8.33%为系统依据支付次数计算生成，故该比例不作为每期实际结算依据，每期实际结算金额如未达到或超过合同总金额的8.33%，则以实际双方交付使用量为准（具体依据为经双方签字确认的送货单、收货单等），当月10日结算上个月的费用（乙方提供完整的票据）</w:t>
      </w:r>
      <w:r>
        <w:rPr/>
        <w:t xml:space="preserve"> ，达到付款条件起 </w:t>
      </w:r>
      <w:r>
        <w:rPr/>
        <w:t>5</w:t>
      </w:r>
      <w:r>
        <w:rPr/>
        <w:t xml:space="preserve"> 日内，支付合同总金额的 </w:t>
      </w:r>
      <w:r>
        <w:rPr/>
        <w:t>8.33</w:t>
      </w:r>
      <w:r>
        <w:rPr/>
        <w:t>%。</w:t>
      </w:r>
    </w:p>
    <w:p>
      <w:pPr>
        <w:pStyle w:val="null3"/>
      </w:pPr>
      <w:r>
        <w:rPr/>
        <w:t>采购包1：</w:t>
      </w:r>
      <w:r>
        <w:rPr/>
        <w:t xml:space="preserve"> 付款条件说明： </w:t>
      </w:r>
      <w:r>
        <w:rPr/>
        <w:t>本项目每月结算一次，各品类的报价以当月底双方到市场（胡家庙蔬菜批发市场、欣桥蔬菜批发市场、朱雀蔬菜批发市场、西一路）询价为准，询得零售价为本月结算用（结算价款=（零售价×上浮率+零售价）×数量）。因本项目为电子化交易项目，每期支付比例8.33%为系统依据支付次数计算生成，故该比例不作为每期实际结算依据，每期实际结算金额如未达到或超过合同总金额的8.33%，则以实际双方交付使用量为准（具体依据为经双方签字确认的送货单、收货单等），当月10日结算上个月的费用（乙方提供完整的票据）</w:t>
      </w:r>
      <w:r>
        <w:rPr/>
        <w:t xml:space="preserve"> ，达到付款条件起 </w:t>
      </w:r>
      <w:r>
        <w:rPr/>
        <w:t>5</w:t>
      </w:r>
      <w:r>
        <w:rPr/>
        <w:t xml:space="preserve"> 日内，支付合同总金额的 </w:t>
      </w:r>
      <w:r>
        <w:rPr/>
        <w:t>8.33</w:t>
      </w:r>
      <w:r>
        <w:rPr/>
        <w:t>%。</w:t>
      </w:r>
    </w:p>
    <w:p>
      <w:pPr>
        <w:pStyle w:val="null3"/>
      </w:pPr>
      <w:r>
        <w:rPr/>
        <w:t>采购包1：</w:t>
      </w:r>
      <w:r>
        <w:rPr/>
        <w:t xml:space="preserve"> 付款条件说明： </w:t>
      </w:r>
      <w:r>
        <w:rPr/>
        <w:t>本项目每月结算一次，各品类的报价以当月底双方到市场（胡家庙蔬菜批发市场、欣桥蔬菜批发市场、朱雀蔬菜批发市场、西一路）询价为准，询得零售价为本月结算用（结算价款=（零售价×上浮率+零售价）×数量）。因本项目为电子化交易项目，每期支付比例8.33%为系统依据支付次数计算生成，故该比例不作为每期实际结算依据，每期实际结算金额如未达到或超过合同总金额的8.33%，则以实际双方交付使用量为准（具体依据为经双方签字确认的送货单、收货单等），当月10日结算上个月的费用（乙方提供完整的票据）</w:t>
      </w:r>
      <w:r>
        <w:rPr/>
        <w:t xml:space="preserve"> ，达到付款条件起 </w:t>
      </w:r>
      <w:r>
        <w:rPr/>
        <w:t>5</w:t>
      </w:r>
      <w:r>
        <w:rPr/>
        <w:t xml:space="preserve"> 日内，支付合同总金额的 </w:t>
      </w:r>
      <w:r>
        <w:rPr/>
        <w:t>8.33</w:t>
      </w:r>
      <w:r>
        <w:rPr/>
        <w:t>%。</w:t>
      </w:r>
    </w:p>
    <w:p>
      <w:pPr>
        <w:pStyle w:val="null3"/>
      </w:pPr>
      <w:r>
        <w:rPr/>
        <w:t>采购包1：</w:t>
      </w:r>
      <w:r>
        <w:rPr/>
        <w:t xml:space="preserve"> 付款条件说明： </w:t>
      </w:r>
      <w:r>
        <w:rPr/>
        <w:t xml:space="preserve"> 本项目每月结算一次，各品类的报价以当月底双方到市场（胡家庙蔬菜批发市场、欣桥蔬菜批发市场、朱雀蔬菜批发市场、西一路）询价为准，询得零售价为本月结算用（结算价款=（零售价×上浮率+零售价）×数量）。因本项目为电子化交易项目，每期支付比例8.33%为系统依据支付次数计算生成，故该比例不作为每期实际结算依据，每期实际结算金额如未达到或超过合同总金额的8.33%，则以实际双方交付使用量为准（具体依据为经双方签字确认的送货单、收货单等），当月10日结算上个月的费用（乙方提供完整的票据）</w:t>
      </w:r>
      <w:r>
        <w:rPr/>
        <w:t xml:space="preserve"> ，达到付款条件起 </w:t>
      </w:r>
      <w:r>
        <w:rPr/>
        <w:t>5</w:t>
      </w:r>
      <w:r>
        <w:rPr/>
        <w:t xml:space="preserve"> 日内，支付合同总金额的 </w:t>
      </w:r>
      <w:r>
        <w:rPr/>
        <w:t>8.33</w:t>
      </w:r>
      <w:r>
        <w:rPr/>
        <w:t>%。</w:t>
      </w:r>
    </w:p>
    <w:p>
      <w:pPr>
        <w:pStyle w:val="null3"/>
      </w:pPr>
      <w:r>
        <w:rPr/>
        <w:t>采购包1：</w:t>
      </w:r>
      <w:r>
        <w:rPr/>
        <w:t xml:space="preserve"> 付款条件说明： </w:t>
      </w:r>
      <w:r>
        <w:rPr/>
        <w:t>本项目每月结算一次，各品类的报价以当月底双方到市场（胡家庙蔬菜批发市场、欣桥蔬菜批发市场、朱雀蔬菜批发市场、西一路）询价为准，询得零售价为本月结算用（结算价款=（零售价×上浮率+零售价）×数量）。因本项目为电子化交易项目，每期支付比例8.33%为系统依据支付次数计算生成，故该比例不作为每期实际结算依据，每期实际结算金额如未达到或超过合同总金额的8.33%，则以实际双方交付使用量为准（具体依据为经双方签字确认的送货单、收货单等），当月10日结算上个月的费用（乙方提供完整的票据）</w:t>
      </w:r>
      <w:r>
        <w:rPr/>
        <w:t xml:space="preserve"> ，达到付款条件起 </w:t>
      </w:r>
      <w:r>
        <w:rPr/>
        <w:t>5</w:t>
      </w:r>
      <w:r>
        <w:rPr/>
        <w:t xml:space="preserve"> 日内，支付合同总金额的 </w:t>
      </w:r>
      <w:r>
        <w:rPr/>
        <w:t>8.33</w:t>
      </w:r>
      <w:r>
        <w:rPr/>
        <w:t>%。</w:t>
      </w:r>
    </w:p>
    <w:p>
      <w:pPr>
        <w:pStyle w:val="null3"/>
      </w:pPr>
      <w:r>
        <w:rPr/>
        <w:t>采购包1：</w:t>
      </w:r>
      <w:r>
        <w:rPr/>
        <w:t xml:space="preserve"> 付款条件说明： </w:t>
      </w:r>
      <w:r>
        <w:rPr/>
        <w:t>本项目每月结算一次，各品类的报价以当月底双方到市场（胡家庙蔬菜批发市场、欣桥蔬菜批发市场、朱雀蔬菜批发市场、西一路）询价为准，询得零售价为本月结算用（结算价款=（零售价×上浮率+零售价）×数量）。因本项目为电子化交易项目，每期支付比例8.33%为系统依据支付次数计算生成，故该比例不作为每期实际结算依据，每期实际结算金额如未达到或超过合同总金额的8.33%，则以实际双方交付使用量为准（具体依据为经双方签字确认的送货单、收货单等），当月10日结算上个月的费用（乙方提供完整的票据）</w:t>
      </w:r>
      <w:r>
        <w:rPr/>
        <w:t xml:space="preserve"> ，达到付款条件起 </w:t>
      </w:r>
      <w:r>
        <w:rPr/>
        <w:t>5</w:t>
      </w:r>
      <w:r>
        <w:rPr/>
        <w:t xml:space="preserve"> 日内，支付合同总金额的 </w:t>
      </w:r>
      <w:r>
        <w:rPr/>
        <w:t>8.33</w:t>
      </w:r>
      <w:r>
        <w:rPr/>
        <w:t>%。</w:t>
      </w:r>
    </w:p>
    <w:p>
      <w:pPr>
        <w:pStyle w:val="null3"/>
      </w:pPr>
      <w:r>
        <w:rPr/>
        <w:t>采购包1：</w:t>
      </w:r>
      <w:r>
        <w:rPr/>
        <w:t xml:space="preserve"> 付款条件说明： </w:t>
      </w:r>
      <w:r>
        <w:rPr/>
        <w:t>本项目每月结算一次，各品类的报价以当月底双方到市场（胡家庙蔬菜批发市场、欣桥蔬菜批发市场、朱雀蔬菜批发市场、西一路）询价为准，询得零售价为本月结算用（结算价款=（零售价×上浮率+零售价）×数量）。因本项目为电子化交易项目，每期支付比例8.33%为系统依据支付次数计算生成，故该比例不作为每期实际结算依据，每期实际结算金额如未达到或超过合同总金额的8.33%，则以实际双方交付使用量为准（具体依据为经双方签字确认的送货单、收货单等），当月10日结算上个月的费用（乙方提供完整的票据）</w:t>
      </w:r>
      <w:r>
        <w:rPr/>
        <w:t xml:space="preserve"> ，达到付款条件起 </w:t>
      </w:r>
      <w:r>
        <w:rPr/>
        <w:t>5</w:t>
      </w:r>
      <w:r>
        <w:rPr/>
        <w:t xml:space="preserve"> 日内，支付合同总金额的 </w:t>
      </w:r>
      <w:r>
        <w:rPr/>
        <w:t>8.33</w:t>
      </w:r>
      <w:r>
        <w:rPr/>
        <w:t>%。</w:t>
      </w:r>
    </w:p>
    <w:p>
      <w:pPr>
        <w:pStyle w:val="null3"/>
      </w:pPr>
      <w:r>
        <w:rPr/>
        <w:t>采购包1：</w:t>
      </w:r>
      <w:r>
        <w:rPr/>
        <w:t xml:space="preserve"> 付款条件说明： </w:t>
      </w:r>
      <w:r>
        <w:rPr/>
        <w:t>本项目每月结算一次，各品类的报价以当月底双方到市场（胡家庙蔬菜批发市场、欣桥蔬菜批发市场、朱雀蔬菜批发市场、西一路）询价为准，询得零售价为本月结算用（结算价款=（零售价×上浮率+零售价）×数量）。因本项目为电子化交易项目，每期支付比例8.33%为系统依据支付次数计算生成，故该比例不作为每期实际结算依据，每期实际结算金额如未达到或超过合同总金额的8.33%，则以实际双方交付使用量为准（具体依据为经双方签字确认的送货单、收货单等），当月10日结算上个月的费用（乙方提供完整的票据）</w:t>
      </w:r>
      <w:r>
        <w:rPr/>
        <w:t xml:space="preserve"> ，达到付款条件起 </w:t>
      </w:r>
      <w:r>
        <w:rPr/>
        <w:t>5</w:t>
      </w:r>
      <w:r>
        <w:rPr/>
        <w:t xml:space="preserve"> 日内，支付合同总金额的 </w:t>
      </w:r>
      <w:r>
        <w:rPr/>
        <w:t>8.37</w:t>
      </w:r>
      <w:r>
        <w:rPr/>
        <w:t>%。</w:t>
      </w:r>
    </w:p>
    <w:p>
      <w:pPr>
        <w:pStyle w:val="null3"/>
        <w:outlineLvl w:val="3"/>
      </w:pPr>
      <w:r>
        <w:rPr>
          <w:sz w:val="24"/>
          <w:b/>
        </w:rPr>
        <w:t>3.4.5验收标准和方法</w:t>
      </w:r>
    </w:p>
    <w:p>
      <w:pPr>
        <w:pStyle w:val="null3"/>
      </w:pPr>
      <w:r>
        <w:rPr/>
        <w:t>采购包1：</w:t>
      </w:r>
    </w:p>
    <w:p>
      <w:pPr>
        <w:pStyle w:val="null3"/>
      </w:pPr>
      <w:r>
        <w:rPr/>
        <w:t>1.供应商必须严格按学院教学计划要求，及时准确足量将用料单所列全部原材料送至学院指定地点，且确保物料新鲜符合要求。 2.供应商交货前对货物作出全面检查并列出交货清单，作为甲方收货验收和使用的依据。 3.货物运抵现场后，采购人依据竞争性谈判文件上的技术规格要求和国家有关质量标准组织初步验收，如采购人提出货物品质不符合要求，则供应商无条件上门更换。4.其他未尽事宜应严格按照《财政部关于进一步加强政府采购需求和履约验收管理的指导意见》(财库(2016) 205号)的要求进行。</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1.所供食材保证技术指标符合要求、质量可靠、进货渠道正常，符合国家《产品质量法》《食品安全法》等相关法律法规的要求。2.生产工艺符合国家要求。3.食材包装及标识符合国家有关规范要求。</w:t>
      </w:r>
    </w:p>
    <w:p>
      <w:pPr>
        <w:pStyle w:val="null3"/>
        <w:outlineLvl w:val="3"/>
      </w:pPr>
      <w:r>
        <w:rPr>
          <w:sz w:val="24"/>
          <w:b/>
        </w:rPr>
        <w:t>3.4.8违约责任及解决争议的方法</w:t>
      </w:r>
    </w:p>
    <w:p>
      <w:pPr>
        <w:pStyle w:val="null3"/>
      </w:pPr>
      <w:r>
        <w:rPr/>
        <w:t>采购包1：</w:t>
      </w:r>
    </w:p>
    <w:p>
      <w:pPr>
        <w:pStyle w:val="null3"/>
      </w:pPr>
      <w:r>
        <w:rPr/>
        <w:t>1.按《中华人民共和国政府采购法》、《中华人民共和国民法典》中的相关条款执行。2.采购人责任：①除乙方配送食材不符合合同约定的规格、型号、质量及质保期要求外，采购人不得拒绝接收或随意退（换）货。②乙方同一配送计划配送的食材一次不合格一个品种扣除履约保证金20元，前两周不计。经过三次验收，仍不能满足招标文件要求或采购人需求的，采购人有权解除本合同，并立即终止乙方的供应资格。③乙方如果出现一月内迟到（20分钟以上）三次者，采购人有权解除本合同，并立即终止乙方的供应资格。迟到一次扣除履约保证金50元，一月迟到三次解除合同。3、乙方责任：①乙方未能按期履行合同或未按合同要求提供食材或提供的食材经两次验收仍不能满足招标文件要求或采购人需求的，采购人有权解除合同，并对乙方的违约行为进行追究，同时按《中华人民共和国政府采购法》和陕西省政府采购供应商管理办法进行相应处罚，因此给采购人造成的一切损失均由乙方承担。②乙方对采购人解除合同不予认可的，应在收到采购人书面解除通知之日起7日内依法提出异议。③乙方提交的食材，在采购人验收前，出现的毁损灭失风险，由乙方承担。</w:t>
      </w:r>
    </w:p>
    <w:p>
      <w:pPr>
        <w:pStyle w:val="null3"/>
        <w:jc w:val="left"/>
        <w:outlineLvl w:val="3"/>
      </w:pPr>
      <w:r>
        <w:rPr>
          <w:sz w:val="24"/>
          <w:b/>
        </w:rPr>
        <w:t>3.5其他要求</w:t>
      </w:r>
    </w:p>
    <w:p>
      <w:pPr>
        <w:pStyle w:val="null3"/>
      </w:pPr>
      <w:r>
        <w:rPr/>
        <w:t>采购包1：</w:t>
      </w:r>
    </w:p>
    <w:p>
      <w:pPr>
        <w:pStyle w:val="null3"/>
      </w:pPr>
      <w:r>
        <w:rPr/>
        <w:t>成交供应商须在结果公告发布之日起5个工作日内，提交响应文件一正一副（双面打印）至西安市雁塔区二环南路西段88号老三届世纪星大厦30层AB座（陕西明正招标有限公司）。</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 （1）供应商应具有独立承担民事责任的能力的企业法人、事业法人、其他组织或自然人，出具合法有效的营业执照等相关证明文件，自然人参与的提供其身份证明（加盖公章）； （2）财务状况报告：提供经审计的2023年度财务报告或谈判前六个月内其本公司银行账户出具的资信证明或政府采购专业担保机构出具的谈判担保函（事业单位可不提供）（加盖公章）； （3）税收缴纳证明：供应商提供截止至谈判时间前六个月任一月份的缴费凭据；依法免税的应提供相关文件证明（加盖公章）； （4）社会保障资金缴纳证明：供应商提供截止至谈判时间前六个月任一月份的缴费凭据或社保机构开具的社会保险参保缴费情况证明；依法不需要缴纳社会保障资金的应提供相关文件证明（加盖公章）；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t>响应函 一般资格要求</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法定代表人身份证明/法定代表人授权书</w:t>
            </w:r>
          </w:p>
        </w:tc>
        <w:tc>
          <w:tcPr>
            <w:tcW w:type="dxa" w:w="3322"/>
          </w:tcPr>
          <w:p>
            <w:pPr>
              <w:pStyle w:val="null3"/>
            </w:pPr>
            <w:r>
              <w:rPr/>
              <w:t>法定代表人直接参加谈判的，须出具法定代表人身份证明及法人身份证；法定代表人授权代表参加谈判的，须出具法定代表人身份证明、法定代表人授权书及法人和授权代表身份证。</w:t>
            </w:r>
          </w:p>
        </w:tc>
        <w:tc>
          <w:tcPr>
            <w:tcW w:type="dxa" w:w="1661"/>
          </w:tcPr>
          <w:p>
            <w:pPr>
              <w:pStyle w:val="null3"/>
            </w:pPr>
            <w:r>
              <w:rPr/>
              <w:t>特殊资格要求</w:t>
            </w:r>
          </w:p>
        </w:tc>
      </w:tr>
      <w:tr>
        <w:tc>
          <w:tcPr>
            <w:tcW w:type="dxa" w:w="831"/>
          </w:tcPr>
          <w:p>
            <w:pPr>
              <w:pStyle w:val="null3"/>
            </w:pPr>
            <w:r>
              <w:rPr/>
              <w:t>2</w:t>
            </w:r>
          </w:p>
        </w:tc>
        <w:tc>
          <w:tcPr>
            <w:tcW w:type="dxa" w:w="2492"/>
          </w:tcPr>
          <w:p>
            <w:pPr>
              <w:pStyle w:val="null3"/>
            </w:pPr>
            <w:r>
              <w:rPr/>
              <w:t>符合《财政部关于在政府采购活动中查询及使用信用记录有关问题的通知》（财库【2016】125号）文件中信用查询的要求</w:t>
            </w:r>
          </w:p>
        </w:tc>
        <w:tc>
          <w:tcPr>
            <w:tcW w:type="dxa" w:w="3322"/>
          </w:tcPr>
          <w:p>
            <w:pPr>
              <w:pStyle w:val="null3"/>
            </w:pPr>
            <w:r>
              <w:rPr/>
              <w:t>不得为“信用中国”网站（www.creditchina.gov.cn）中列入失信被执行人和重大税收违法失信主体的供应商，不得为中国政府采购网（www.ccgp.gov.cn）政府采购严重违法失信行为记录名单中被财政部门禁止参加政府采购活动的供应商，以谈判后的网站查询记录为准；</w:t>
            </w:r>
          </w:p>
        </w:tc>
        <w:tc>
          <w:tcPr>
            <w:tcW w:type="dxa" w:w="1661"/>
          </w:tcPr>
          <w:p>
            <w:pPr>
              <w:pStyle w:val="null3"/>
            </w:pPr>
            <w:r>
              <w:rPr/>
              <w:t>特殊资格要求</w:t>
            </w:r>
          </w:p>
        </w:tc>
      </w:tr>
    </w:tbl>
    <w:p>
      <w:pPr>
        <w:pStyle w:val="null3"/>
      </w:pPr>
      <w:r>
        <w:rPr/>
        <w:t xml:space="preserve"> </w:t>
        <w:br/>
        <w:br w:type="page"/>
      </w:r>
    </w:p>
    <w:p>
      <w:pPr>
        <w:pStyle w:val="null3"/>
        <w:jc w:val="center"/>
        <w:outlineLvl w:val="1"/>
      </w:pPr>
      <w:r>
        <w:rPr>
          <w:sz w:val="36"/>
          <w:b/>
        </w:rPr>
        <w:t>第五章 谈判过程中可实质性变动的内容</w:t>
      </w:r>
    </w:p>
    <w:p>
      <w:pPr>
        <w:pStyle w:val="null3"/>
        <w:ind w:firstLine="480"/>
      </w:pPr>
      <w:r>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t xml:space="preserve"> </w:t>
        <w:br/>
        <w:br w:type="page"/>
      </w:r>
    </w:p>
    <w:p>
      <w:pPr>
        <w:pStyle w:val="null3"/>
        <w:jc w:val="center"/>
        <w:outlineLvl w:val="1"/>
      </w:pPr>
      <w:r>
        <w:rPr>
          <w:sz w:val="36"/>
          <w:b/>
        </w:rPr>
        <w:t>第六章 谈判办法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6.2谈判小组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三、谈判小组按照谈判文件规定的谈判程序、评审方法和标准进行评审，并独立履行下列职责：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二、在符合性审查过程中，如果出现谈判小组成员意见不一致的情况，按照少数服从多数的原则确定，但不得违背政府采购基本原则和谈判文件规定。</w:t>
      </w:r>
    </w:p>
    <w:p>
      <w:pPr>
        <w:pStyle w:val="null3"/>
        <w:ind w:firstLine="480"/>
      </w:pPr>
      <w:r>
        <w:rPr/>
        <w:t>三、谈判小组对所有响应文件进行审查后，确定参加谈判的供应商名单。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谈判响应文件组成</w:t>
            </w:r>
          </w:p>
        </w:tc>
        <w:tc>
          <w:tcPr>
            <w:tcW w:type="dxa" w:w="3322"/>
          </w:tcPr>
          <w:p>
            <w:pPr>
              <w:pStyle w:val="null3"/>
            </w:pPr>
            <w:r>
              <w:rPr/>
              <w:t>未出现实质性内容的缺漏项</w:t>
            </w:r>
          </w:p>
        </w:tc>
        <w:tc>
          <w:tcPr>
            <w:tcW w:type="dxa" w:w="1661"/>
          </w:tcPr>
          <w:p>
            <w:pPr>
              <w:pStyle w:val="null3"/>
            </w:pPr>
            <w:r>
              <w:rPr/>
              <w:t>中小企业声明函 特殊资格要求 报价表 一般资格要求 响应文件封面 采购技术要求响应偏离表 残疾人福利性单位声明函 标的清单 原材料清单 响应函 商务要求响应偏离表 谈判响应方案说明 监狱企业的证明文件</w:t>
            </w:r>
          </w:p>
        </w:tc>
      </w:tr>
      <w:tr>
        <w:tc>
          <w:tcPr>
            <w:tcW w:type="dxa" w:w="831"/>
          </w:tcPr>
          <w:p>
            <w:pPr>
              <w:pStyle w:val="null3"/>
            </w:pPr>
            <w:r>
              <w:rPr/>
              <w:t>3</w:t>
            </w:r>
          </w:p>
        </w:tc>
        <w:tc>
          <w:tcPr>
            <w:tcW w:type="dxa" w:w="2492"/>
          </w:tcPr>
          <w:p>
            <w:pPr>
              <w:pStyle w:val="null3"/>
            </w:pPr>
            <w:r>
              <w:rPr/>
              <w:t>谈判有效期</w:t>
            </w:r>
          </w:p>
        </w:tc>
        <w:tc>
          <w:tcPr>
            <w:tcW w:type="dxa" w:w="3322"/>
          </w:tcPr>
          <w:p>
            <w:pPr>
              <w:pStyle w:val="null3"/>
            </w:pPr>
            <w:r>
              <w:rPr/>
              <w:t>符合谈判文件要求</w:t>
            </w:r>
          </w:p>
        </w:tc>
        <w:tc>
          <w:tcPr>
            <w:tcW w:type="dxa" w:w="1661"/>
          </w:tcPr>
          <w:p>
            <w:pPr>
              <w:pStyle w:val="null3"/>
            </w:pPr>
            <w:r>
              <w:rPr/>
              <w:t>特殊资格要求 响应函</w:t>
            </w:r>
          </w:p>
        </w:tc>
      </w:tr>
      <w:tr>
        <w:tc>
          <w:tcPr>
            <w:tcW w:type="dxa" w:w="831"/>
          </w:tcPr>
          <w:p>
            <w:pPr>
              <w:pStyle w:val="null3"/>
            </w:pPr>
            <w:r>
              <w:rPr/>
              <w:t>4</w:t>
            </w:r>
          </w:p>
        </w:tc>
        <w:tc>
          <w:tcPr>
            <w:tcW w:type="dxa" w:w="2492"/>
          </w:tcPr>
          <w:p>
            <w:pPr>
              <w:pStyle w:val="null3"/>
            </w:pPr>
            <w:r>
              <w:rPr/>
              <w:t>谈判报价</w:t>
            </w:r>
          </w:p>
        </w:tc>
        <w:tc>
          <w:tcPr>
            <w:tcW w:type="dxa" w:w="3322"/>
          </w:tcPr>
          <w:p>
            <w:pPr>
              <w:pStyle w:val="null3"/>
            </w:pPr>
            <w:r>
              <w:rPr/>
              <w:t>同时满足以下条款： （1）谈判报价符合唯一性要求； （2）谈判报价（上浮率）不能超零售价的22%。</w:t>
            </w:r>
          </w:p>
        </w:tc>
        <w:tc>
          <w:tcPr>
            <w:tcW w:type="dxa" w:w="1661"/>
          </w:tcPr>
          <w:p>
            <w:pPr>
              <w:pStyle w:val="null3"/>
            </w:pPr>
            <w:r>
              <w:rPr/>
              <w:t>标的清单 报价表</w:t>
            </w:r>
          </w:p>
        </w:tc>
      </w:tr>
      <w:tr>
        <w:tc>
          <w:tcPr>
            <w:tcW w:type="dxa" w:w="831"/>
          </w:tcPr>
          <w:p>
            <w:pPr>
              <w:pStyle w:val="null3"/>
            </w:pPr>
            <w:r>
              <w:rPr/>
              <w:t>5</w:t>
            </w:r>
          </w:p>
        </w:tc>
        <w:tc>
          <w:tcPr>
            <w:tcW w:type="dxa" w:w="2492"/>
          </w:tcPr>
          <w:p>
            <w:pPr>
              <w:pStyle w:val="null3"/>
            </w:pPr>
            <w:r>
              <w:rPr/>
              <w:t>实质性条款</w:t>
            </w:r>
          </w:p>
        </w:tc>
        <w:tc>
          <w:tcPr>
            <w:tcW w:type="dxa" w:w="3322"/>
          </w:tcPr>
          <w:p>
            <w:pPr>
              <w:pStyle w:val="null3"/>
            </w:pPr>
            <w:r>
              <w:rPr/>
              <w:t>完全响应谈判文件要求的各项技术/服务/商务实质性条款。</w:t>
            </w:r>
          </w:p>
        </w:tc>
        <w:tc>
          <w:tcPr>
            <w:tcW w:type="dxa" w:w="1661"/>
          </w:tcPr>
          <w:p>
            <w:pPr>
              <w:pStyle w:val="null3"/>
            </w:pPr>
            <w:r>
              <w:rPr/>
              <w:t>采购技术要求响应偏离表 原材料清单 商务要求响应偏离表 谈判响应方案说明</w:t>
            </w:r>
          </w:p>
        </w:tc>
      </w:tr>
      <w:tr>
        <w:tc>
          <w:tcPr>
            <w:tcW w:type="dxa" w:w="831"/>
          </w:tcPr>
          <w:p>
            <w:pPr>
              <w:pStyle w:val="null3"/>
            </w:pPr>
            <w:r>
              <w:rPr/>
              <w:t>6</w:t>
            </w:r>
          </w:p>
        </w:tc>
        <w:tc>
          <w:tcPr>
            <w:tcW w:type="dxa" w:w="2492"/>
          </w:tcPr>
          <w:p>
            <w:pPr>
              <w:pStyle w:val="null3"/>
            </w:pPr>
            <w:r>
              <w:rPr/>
              <w:t>谈判响应文件签署、盖章</w:t>
            </w:r>
          </w:p>
        </w:tc>
        <w:tc>
          <w:tcPr>
            <w:tcW w:type="dxa" w:w="3322"/>
          </w:tcPr>
          <w:p>
            <w:pPr>
              <w:pStyle w:val="null3"/>
            </w:pPr>
            <w:r>
              <w:rPr/>
              <w:t>签署、盖章合法、有效</w:t>
            </w:r>
          </w:p>
        </w:tc>
        <w:tc>
          <w:tcPr>
            <w:tcW w:type="dxa" w:w="1661"/>
          </w:tcPr>
          <w:p>
            <w:pPr>
              <w:pStyle w:val="null3"/>
            </w:pPr>
            <w:r>
              <w:rPr/>
              <w:t>中小企业声明函 特殊资格要求 报价表 一般资格要求 响应文件封面 采购技术要求响应偏离表 残疾人福利性单位声明函 标的清单 原材料清单 响应函 商务要求响应偏离表 谈判响应方案说明 监狱企业的证明文件</w:t>
            </w:r>
          </w:p>
        </w:tc>
      </w:tr>
      <w:tr>
        <w:tc>
          <w:tcPr>
            <w:tcW w:type="dxa" w:w="831"/>
          </w:tcPr>
          <w:p>
            <w:pPr>
              <w:pStyle w:val="null3"/>
            </w:pPr>
            <w:r>
              <w:rPr/>
              <w:t>7</w:t>
            </w:r>
          </w:p>
        </w:tc>
        <w:tc>
          <w:tcPr>
            <w:tcW w:type="dxa" w:w="2492"/>
          </w:tcPr>
          <w:p>
            <w:pPr>
              <w:pStyle w:val="null3"/>
            </w:pPr>
            <w:r>
              <w:rPr/>
              <w:t>其他</w:t>
            </w:r>
          </w:p>
        </w:tc>
        <w:tc>
          <w:tcPr>
            <w:tcW w:type="dxa" w:w="3322"/>
          </w:tcPr>
          <w:p>
            <w:pPr>
              <w:pStyle w:val="null3"/>
            </w:pPr>
            <w:r>
              <w:rPr/>
              <w:t>其他未达到谈判文件要求的情况</w:t>
            </w:r>
          </w:p>
        </w:tc>
        <w:tc>
          <w:tcPr>
            <w:tcW w:type="dxa" w:w="1661"/>
          </w:tcPr>
          <w:p>
            <w:pPr>
              <w:pStyle w:val="null3"/>
            </w:pPr>
            <w:r>
              <w:rPr/>
              <w:t>中小企业声明函 特殊资格要求 报价表 一般资格要求 响应文件封面 采购技术要求响应偏离表 残疾人福利性单位声明函 标的清单 原材料清单 响应函 商务要求响应偏离表 谈判响应方案说明 监狱企业的证明文件</w:t>
            </w:r>
          </w:p>
        </w:tc>
      </w:tr>
    </w:tbl>
    <w:p>
      <w:pPr>
        <w:pStyle w:val="null3"/>
        <w:outlineLvl w:val="3"/>
      </w:pPr>
      <w:r>
        <w:rPr>
          <w:sz w:val="24"/>
          <w:b/>
        </w:rPr>
        <w:t>6.3.3谈判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 xml:space="preserve"> 七、谈判小组对供应商在谈判、评审过程中的书面交换材料，未按要求加盖电子印章或签字的，视同未提交书面交换材料。</w:t>
      </w:r>
    </w:p>
    <w:p>
      <w:pPr>
        <w:pStyle w:val="null3"/>
        <w:ind w:firstLine="480"/>
      </w:pPr>
      <w:r>
        <w:rPr/>
        <w:t xml:space="preserve"> 八、谈判小组在最终谈判后，对所有响应文件的有效性、完整性和响应程度进行审查后，确定最后报价的供应商名单。</w:t>
      </w:r>
    </w:p>
    <w:p>
      <w:pPr>
        <w:pStyle w:val="null3"/>
        <w:ind w:firstLine="480"/>
      </w:pPr>
      <w:r>
        <w:rPr/>
        <w:t xml:space="preserve"> 九、谈判过程中，谈判的任何一方不得透露与谈判有关的其他供应商的技术资料、价格和其他信息。</w:t>
      </w:r>
    </w:p>
    <w:p>
      <w:pPr>
        <w:pStyle w:val="null3"/>
        <w:ind w:firstLine="480"/>
      </w:pPr>
      <w:r>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四、供应商最后报价属于明显低价不正当竞争的，谈判小组应按照“供应商须知前附表”第8项规定处理。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jc w:val="left"/>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6.3.5价格扣除</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原材料清单 标的清单 报价表 监狱企业的证明文件</w:t>
            </w:r>
          </w:p>
        </w:tc>
      </w:tr>
    </w:tbl>
    <w:p>
      <w:pPr>
        <w:pStyle w:val="null3"/>
        <w:outlineLvl w:val="3"/>
      </w:pPr>
      <w:r>
        <w:rPr>
          <w:sz w:val="24"/>
          <w:b/>
        </w:rPr>
        <w:t>6.3.6解释、澄清、说明的有关问题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sz w:val="24"/>
          <w:b/>
        </w:rPr>
        <w:t>6.3.7复核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sz w:val="24"/>
          <w:b/>
        </w:rPr>
        <w:t>6.3.8推荐成交候选供应商</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t xml:space="preserve"> 响应文件满足谈判文件全部实质性要求且最终报价最低的供应商为排名第一的成交候选供应商。</w:t>
      </w:r>
    </w:p>
    <w:p>
      <w:pPr>
        <w:pStyle w:val="null3"/>
        <w:ind w:firstLine="480"/>
        <w:jc w:val="left"/>
      </w:pPr>
      <w:r>
        <w:rPr/>
        <w:t xml:space="preserve"> 经评审的最终报价是指对供应商最后报价完成价格修正和落实政府采购政策进行的价格扣除后的报价。</w:t>
      </w:r>
    </w:p>
    <w:p>
      <w:pPr>
        <w:pStyle w:val="null3"/>
        <w:outlineLvl w:val="3"/>
      </w:pPr>
      <w:r>
        <w:rPr>
          <w:sz w:val="24"/>
          <w:b/>
        </w:rPr>
        <w:t>6.3.9编写谈判报告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sz w:val="24"/>
          <w:b/>
        </w:rPr>
        <w:t>6.3.10谈判争议处理规则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sz w:val="28"/>
          <w:b/>
        </w:rPr>
        <w:t>6.4终止采购活动情形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sz w:val="28"/>
          <w:b/>
        </w:rPr>
        <w:t>6.5确定成交供应商</w:t>
      </w: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详见附件：一般资格要求</w:t>
      </w:r>
    </w:p>
    <w:p>
      <w:pPr>
        <w:pStyle w:val="null3"/>
        <w:ind w:firstLine="960"/>
      </w:pPr>
      <w:r>
        <w:rPr/>
        <w:t>详见附件：特殊资格要求</w:t>
      </w:r>
    </w:p>
    <w:p>
      <w:pPr>
        <w:pStyle w:val="null3"/>
        <w:ind w:firstLine="960"/>
      </w:pPr>
      <w:r>
        <w:rPr/>
        <w:t>详见附件：原材料清单</w:t>
      </w:r>
    </w:p>
    <w:p>
      <w:pPr>
        <w:pStyle w:val="null3"/>
        <w:ind w:firstLine="960"/>
      </w:pPr>
      <w:r>
        <w:rPr/>
        <w:t>详见附件：商务要求响应偏离表</w:t>
      </w:r>
    </w:p>
    <w:p>
      <w:pPr>
        <w:pStyle w:val="null3"/>
        <w:ind w:firstLine="960"/>
      </w:pPr>
      <w:r>
        <w:rPr/>
        <w:t>详见附件：采购技术要求响应偏离表</w:t>
      </w:r>
    </w:p>
    <w:p>
      <w:pPr>
        <w:pStyle w:val="null3"/>
        <w:ind w:firstLine="960"/>
      </w:pPr>
      <w:r>
        <w:rPr/>
        <w:t>详见附件：谈判响应方案说明</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详见附件：合同条款及格式.docx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