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版本号：HRC-ZBDL-2025-0003620250113001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社区分馆运营项目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HRC-ZBDL-2025-00036</w:t>
      </w:r>
      <w:r>
        <w:br/>
      </w:r>
      <w:r>
        <w:br/>
      </w:r>
      <w:r>
        <w:br/>
      </w:r>
    </w:p>
    <w:p>
      <w:pPr>
        <w:pStyle w:val="null3"/>
        <w:jc w:val="center"/>
        <w:outlineLvl w:val="2"/>
      </w:pPr>
      <w:r>
        <w:rPr>
          <w:rFonts w:ascii="仿宋_GB2312" w:hAnsi="仿宋_GB2312" w:cs="仿宋_GB2312" w:eastAsia="仿宋_GB2312"/>
          <w:sz w:val="28"/>
          <w:b/>
        </w:rPr>
        <w:t>西安图书馆</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西安图书馆</w:t>
      </w:r>
      <w:r>
        <w:rPr>
          <w:rFonts w:ascii="仿宋_GB2312" w:hAnsi="仿宋_GB2312" w:cs="仿宋_GB2312" w:eastAsia="仿宋_GB2312"/>
        </w:rPr>
        <w:t>委托，拟对</w:t>
      </w:r>
      <w:r>
        <w:rPr>
          <w:rFonts w:ascii="仿宋_GB2312" w:hAnsi="仿宋_GB2312" w:cs="仿宋_GB2312" w:eastAsia="仿宋_GB2312"/>
        </w:rPr>
        <w:t>社区分馆运营项目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社区分馆运营项目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社区分馆运营项目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采购包1（社区分馆运营项目）：属于专门面向中小企业采购。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3、社会保障资金缴纳情况：提供磋商截止日前一年内已缴存的至少一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4、税收缴纳证明：提供磋商截止日前一年内已缴纳的至少一个月的纳税证明或完税证明，依法免税的单位应提供相关证明材料；供应商需在项目电子化交易系统中按要求上传相应证明文件并进行电子签章。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7、法定代表人身份证明或法定代表人授权书：法定代表人授权书（附法定代表人、被授权人身份证复印件）（法定代表人直接参加磋商，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8、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9、企业关联关系：单位负责人为同一人或者存在控股、管理关系的不同单位，不得同时参加本项目磋商；供应商需在项目电子化交易系统中按要求上传相应证明文件并进行电子签章。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10、不接受联合体：本项目不接受联合体；供应商需在项目电子化交易系统中按要求上传相应证明文件并进行电子签章。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029-86517652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代理服务费收费标准：代理服务费由成交供应商在办理成交通知书手续之前向采购代理机构缴纳。采购代理服务费：参照国家计委[2002]1980号文件规定的服务类标准以成交金额为基准价按标准收取。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西安图书馆</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西安图书馆</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西安图书馆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地址：陕西省西安市曲江新区雁翔路3269号旺座曲江E座 29 层2901号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社区分馆运营项目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社区分馆运营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标的名称：社区分馆运营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服务期限：</w:t>
            </w:r>
            <w:r>
              <w:rPr>
                <w:rFonts w:ascii="仿宋_GB2312" w:hAnsi="仿宋_GB2312" w:cs="仿宋_GB2312" w:eastAsia="仿宋_GB2312"/>
                <w:sz w:val="24"/>
              </w:rPr>
              <w:t>2025</w:t>
            </w:r>
            <w:r>
              <w:rPr>
                <w:rFonts w:ascii="仿宋_GB2312" w:hAnsi="仿宋_GB2312" w:cs="仿宋_GB2312" w:eastAsia="仿宋_GB2312"/>
                <w:sz w:val="24"/>
              </w:rPr>
              <w:t>年度</w:t>
            </w:r>
          </w:p>
        </w:tc>
      </w:tr>
      <w:tr>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rPr>
              <w:t>服务质量：合格。</w:t>
            </w:r>
          </w:p>
        </w:tc>
      </w:tr>
      <w:tr>
        <w:tc>
          <w:tcPr>
            <w:tcW w:type="dxa" w:w="2769"/>
          </w:tcPr>
          <w:p/>
        </w:tc>
        <w:tc>
          <w:tcPr>
            <w:tcW w:type="dxa" w:w="2769"/>
          </w:tcPr>
          <w:p>
            <w:pPr>
              <w:pStyle w:val="null3"/>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rPr>
              <w:t>社区自助图书馆</w:t>
            </w:r>
            <w:r>
              <w:rPr>
                <w:rFonts w:ascii="仿宋_GB2312" w:hAnsi="仿宋_GB2312" w:cs="仿宋_GB2312" w:eastAsia="仿宋_GB2312"/>
                <w:sz w:val="24"/>
                <w:b/>
              </w:rPr>
              <w:t>分布</w:t>
            </w:r>
            <w:r>
              <w:rPr>
                <w:rFonts w:ascii="仿宋_GB2312" w:hAnsi="仿宋_GB2312" w:cs="仿宋_GB2312" w:eastAsia="仿宋_GB2312"/>
                <w:sz w:val="24"/>
                <w:b/>
              </w:rPr>
              <w:t>信息</w:t>
            </w:r>
          </w:p>
          <w:tbl>
            <w:tblPr>
              <w:tblInd w:type="dxa" w:w="135"/>
              <w:tblBorders>
                <w:top w:val="none" w:color="000000" w:sz="4"/>
                <w:left w:val="none" w:color="000000" w:sz="4"/>
                <w:bottom w:val="none" w:color="000000" w:sz="4"/>
                <w:right w:val="none" w:color="000000" w:sz="4"/>
                <w:insideH w:val="none"/>
                <w:insideV w:val="none"/>
              </w:tblBorders>
            </w:tblPr>
            <w:tblGrid>
              <w:gridCol w:w="203"/>
              <w:gridCol w:w="332"/>
              <w:gridCol w:w="878"/>
              <w:gridCol w:w="855"/>
              <w:gridCol w:w="207"/>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分馆编号</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标牌名称</w:t>
                  </w:r>
                </w:p>
              </w:tc>
              <w:tc>
                <w:tcPr>
                  <w:tcW w:type="dxa" w:w="8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地址</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NO.032</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西安图书馆白桦林居分馆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凤城九路</w:t>
                  </w:r>
                  <w:r>
                    <w:rPr>
                      <w:rFonts w:ascii="仿宋_GB2312" w:hAnsi="仿宋_GB2312" w:cs="仿宋_GB2312" w:eastAsia="仿宋_GB2312"/>
                      <w:sz w:val="24"/>
                    </w:rPr>
                    <w:t>与明光路十字</w:t>
                  </w:r>
                  <w:r>
                    <w:rPr>
                      <w:rFonts w:ascii="仿宋_GB2312" w:hAnsi="仿宋_GB2312" w:cs="仿宋_GB2312" w:eastAsia="仿宋_GB2312"/>
                      <w:sz w:val="24"/>
                    </w:rPr>
                    <w:t>东南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NO.033</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西安图书馆文景西区分馆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凤城九路与明光路十字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NO.034</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西安图书馆文景东区分馆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未央区苑城路</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NO.035</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西安图书馆高山流水分馆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未央区</w:t>
                  </w:r>
                  <w:r>
                    <w:rPr>
                      <w:rFonts w:ascii="仿宋_GB2312" w:hAnsi="仿宋_GB2312" w:cs="仿宋_GB2312" w:eastAsia="仿宋_GB2312"/>
                      <w:sz w:val="24"/>
                    </w:rPr>
                    <w:t>渭滨路</w:t>
                  </w:r>
                  <w:r>
                    <w:rPr>
                      <w:rFonts w:ascii="仿宋_GB2312" w:hAnsi="仿宋_GB2312" w:cs="仿宋_GB2312" w:eastAsia="仿宋_GB2312"/>
                      <w:sz w:val="24"/>
                    </w:rPr>
                    <w:t>南段</w:t>
                  </w:r>
                  <w:r>
                    <w:rPr>
                      <w:rFonts w:ascii="仿宋_GB2312" w:hAnsi="仿宋_GB2312" w:cs="仿宋_GB2312" w:eastAsia="仿宋_GB2312"/>
                      <w:sz w:val="24"/>
                    </w:rPr>
                    <w:t>320</w:t>
                  </w:r>
                  <w:r>
                    <w:rPr>
                      <w:rFonts w:ascii="仿宋_GB2312" w:hAnsi="仿宋_GB2312" w:cs="仿宋_GB2312" w:eastAsia="仿宋_GB2312"/>
                      <w:sz w:val="24"/>
                    </w:rPr>
                    <w:t>号</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NO.036</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西安图书馆浐灞半岛分馆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金茂一路浐灞半岛</w:t>
                  </w:r>
                  <w:r>
                    <w:rPr>
                      <w:rFonts w:ascii="仿宋_GB2312" w:hAnsi="仿宋_GB2312" w:cs="仿宋_GB2312" w:eastAsia="仿宋_GB2312"/>
                      <w:sz w:val="24"/>
                    </w:rPr>
                    <w:t>A13</w:t>
                  </w:r>
                  <w:r>
                    <w:rPr>
                      <w:rFonts w:ascii="仿宋_GB2312" w:hAnsi="仿宋_GB2312" w:cs="仿宋_GB2312" w:eastAsia="仿宋_GB2312"/>
                      <w:sz w:val="24"/>
                    </w:rPr>
                    <w:t>区</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NO.037</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西安图书馆大唐分馆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雁塔区雁塔西路</w:t>
                  </w:r>
                  <w:r>
                    <w:rPr>
                      <w:rFonts w:ascii="仿宋_GB2312" w:hAnsi="仿宋_GB2312" w:cs="仿宋_GB2312" w:eastAsia="仿宋_GB2312"/>
                      <w:sz w:val="24"/>
                    </w:rPr>
                    <w:t>12</w:t>
                  </w:r>
                  <w:r>
                    <w:rPr>
                      <w:rFonts w:ascii="仿宋_GB2312" w:hAnsi="仿宋_GB2312" w:cs="仿宋_GB2312" w:eastAsia="仿宋_GB2312"/>
                      <w:sz w:val="24"/>
                    </w:rPr>
                    <w:t>号</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NO.038</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西安图书馆长安家园分馆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长安区西京路</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NO.039</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西安图书馆翠竹园分馆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雁塔区曲江池南路</w:t>
                  </w:r>
                  <w:r>
                    <w:rPr>
                      <w:rFonts w:ascii="仿宋_GB2312" w:hAnsi="仿宋_GB2312" w:cs="仿宋_GB2312" w:eastAsia="仿宋_GB2312"/>
                      <w:sz w:val="24"/>
                    </w:rPr>
                    <w:t>276</w:t>
                  </w:r>
                  <w:r>
                    <w:rPr>
                      <w:rFonts w:ascii="仿宋_GB2312" w:hAnsi="仿宋_GB2312" w:cs="仿宋_GB2312" w:eastAsia="仿宋_GB2312"/>
                      <w:sz w:val="24"/>
                    </w:rPr>
                    <w:t>号</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NO.040</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西安图书馆亮丽家园分馆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秦园西路</w:t>
                  </w:r>
                  <w:r>
                    <w:rPr>
                      <w:rFonts w:ascii="仿宋_GB2312" w:hAnsi="仿宋_GB2312" w:cs="仿宋_GB2312" w:eastAsia="仿宋_GB2312"/>
                      <w:sz w:val="24"/>
                    </w:rPr>
                    <w:t>239</w:t>
                  </w:r>
                  <w:r>
                    <w:rPr>
                      <w:rFonts w:ascii="仿宋_GB2312" w:hAnsi="仿宋_GB2312" w:cs="仿宋_GB2312" w:eastAsia="仿宋_GB2312"/>
                      <w:sz w:val="24"/>
                    </w:rPr>
                    <w:t>号</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NO.041</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西安图书馆木塔南苑分馆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木塔南街永阳一巷</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NO.042</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西安图书馆海关分馆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唐延路</w:t>
                  </w:r>
                  <w:r>
                    <w:rPr>
                      <w:rFonts w:ascii="仿宋_GB2312" w:hAnsi="仿宋_GB2312" w:cs="仿宋_GB2312" w:eastAsia="仿宋_GB2312"/>
                      <w:sz w:val="24"/>
                    </w:rPr>
                    <w:t>21</w:t>
                  </w:r>
                  <w:r>
                    <w:rPr>
                      <w:rFonts w:ascii="仿宋_GB2312" w:hAnsi="仿宋_GB2312" w:cs="仿宋_GB2312" w:eastAsia="仿宋_GB2312"/>
                      <w:sz w:val="24"/>
                    </w:rPr>
                    <w:t>号</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NO.043</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西安图书馆丰盛园分馆</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莲湖区枣园西路</w:t>
                  </w:r>
                  <w:r>
                    <w:rPr>
                      <w:rFonts w:ascii="仿宋_GB2312" w:hAnsi="仿宋_GB2312" w:cs="仿宋_GB2312" w:eastAsia="仿宋_GB2312"/>
                      <w:sz w:val="24"/>
                    </w:rPr>
                    <w:t>128</w:t>
                  </w:r>
                  <w:r>
                    <w:rPr>
                      <w:rFonts w:ascii="仿宋_GB2312" w:hAnsi="仿宋_GB2312" w:cs="仿宋_GB2312" w:eastAsia="仿宋_GB2312"/>
                      <w:sz w:val="24"/>
                    </w:rPr>
                    <w:t>号</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39"/>
              <w:gridCol w:w="358"/>
              <w:gridCol w:w="1646"/>
              <w:gridCol w:w="179"/>
              <w:gridCol w:w="163"/>
            </w:tblGrid>
            <w:tr>
              <w:tc>
                <w:tcPr>
                  <w:tcW w:type="dxa" w:w="13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序号</w:t>
                  </w:r>
                </w:p>
              </w:tc>
              <w:tc>
                <w:tcPr>
                  <w:tcW w:type="dxa" w:w="3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服务管理项目</w:t>
                  </w:r>
                </w:p>
              </w:tc>
              <w:tc>
                <w:tcPr>
                  <w:tcW w:type="dxa" w:w="16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服务要求</w:t>
                  </w:r>
                </w:p>
              </w:tc>
              <w:tc>
                <w:tcPr>
                  <w:tcW w:type="dxa" w:w="1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单位</w:t>
                  </w:r>
                </w:p>
              </w:tc>
              <w:tc>
                <w:tcPr>
                  <w:tcW w:type="dxa" w:w="16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color w:val="000000"/>
                    </w:rPr>
                    <w:t>数量</w:t>
                  </w:r>
                </w:p>
              </w:tc>
            </w:tr>
            <w:tr>
              <w:tc>
                <w:tcPr>
                  <w:tcW w:type="dxa" w:w="13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3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开放形式、</w:t>
                  </w:r>
                </w:p>
                <w:p>
                  <w:pPr>
                    <w:pStyle w:val="null3"/>
                    <w:jc w:val="center"/>
                  </w:pPr>
                  <w:r>
                    <w:rPr>
                      <w:rFonts w:ascii="仿宋_GB2312" w:hAnsi="仿宋_GB2312" w:cs="仿宋_GB2312" w:eastAsia="仿宋_GB2312"/>
                      <w:sz w:val="24"/>
                      <w:color w:val="000000"/>
                    </w:rPr>
                    <w:t>时间</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根据社区分馆周边人员、环境及辖区管理部门要求等实施免费开放。周开放时间不低于</w:t>
                  </w:r>
                  <w:r>
                    <w:rPr>
                      <w:rFonts w:ascii="仿宋_GB2312" w:hAnsi="仿宋_GB2312" w:cs="仿宋_GB2312" w:eastAsia="仿宋_GB2312"/>
                      <w:sz w:val="24"/>
                      <w:color w:val="000000"/>
                    </w:rPr>
                    <w:t>80小时。</w:t>
                  </w:r>
                </w:p>
              </w:tc>
              <w:tc>
                <w:tcPr>
                  <w:tcW w:type="dxa" w:w="179"/>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年度</w:t>
                  </w:r>
                </w:p>
              </w:tc>
              <w:tc>
                <w:tcPr>
                  <w:tcW w:type="dxa" w:w="163"/>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1年</w:t>
                  </w: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2</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互联网保障及安全运行</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1、在无外部因素（除区域性停电、停网）的情况下，保障社区分馆的业务操作系统网络畅通。</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2、保障社区分馆的网络畅通，协调维护网络设施的正常使用。</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3、保障图书馆业务数据传输稳定、无波动、无延迟、无中断。</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3</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电力保障及</w:t>
                  </w:r>
                </w:p>
                <w:p>
                  <w:pPr>
                    <w:pStyle w:val="null3"/>
                    <w:jc w:val="center"/>
                  </w:pPr>
                  <w:r>
                    <w:rPr>
                      <w:rFonts w:ascii="仿宋_GB2312" w:hAnsi="仿宋_GB2312" w:cs="仿宋_GB2312" w:eastAsia="仿宋_GB2312"/>
                      <w:sz w:val="24"/>
                      <w:color w:val="000000"/>
                    </w:rPr>
                    <w:t>安全运行</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1、定期预缴电费，保障自助图书馆内各系统设备有充足的电力供应。</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2、在无外部因素（除区域性停电）的情况下，保障用电系统正常运行。</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3、建立用电安全保障机制，定期对馆舍内部电路、电路保护设备进行安全检查，及时排除用电安全隐患，建立用电系统检查与维护日志，保障自助图书馆用电系统正常运行。</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4</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图书馆</w:t>
                  </w:r>
                </w:p>
                <w:p>
                  <w:pPr>
                    <w:pStyle w:val="null3"/>
                    <w:jc w:val="center"/>
                  </w:pPr>
                  <w:r>
                    <w:rPr>
                      <w:rFonts w:ascii="仿宋_GB2312" w:hAnsi="仿宋_GB2312" w:cs="仿宋_GB2312" w:eastAsia="仿宋_GB2312"/>
                      <w:sz w:val="24"/>
                      <w:color w:val="000000"/>
                    </w:rPr>
                    <w:t>业务</w:t>
                  </w:r>
                </w:p>
                <w:p>
                  <w:pPr>
                    <w:pStyle w:val="null3"/>
                    <w:jc w:val="center"/>
                  </w:pPr>
                  <w:r>
                    <w:rPr>
                      <w:rFonts w:ascii="仿宋_GB2312" w:hAnsi="仿宋_GB2312" w:cs="仿宋_GB2312" w:eastAsia="仿宋_GB2312"/>
                      <w:sz w:val="24"/>
                      <w:color w:val="000000"/>
                    </w:rPr>
                    <w:t>运行</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1、及时完成图书上架、下架、排架、整架等，对工作人员不定期进行专业培训。</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2、完成市图书馆与社区分馆图书的更换等,每个分馆每月图书更新率应当达到20%以上。</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3、根据读者个人阅读喜好、通过大数据挑选其所需图书调配至相应的分馆</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4、对破损图书及时进行保质修复或报送总馆处理；</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5</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公共安全及</w:t>
                  </w:r>
                </w:p>
                <w:p>
                  <w:pPr>
                    <w:pStyle w:val="null3"/>
                    <w:jc w:val="center"/>
                  </w:pPr>
                  <w:r>
                    <w:rPr>
                      <w:rFonts w:ascii="仿宋_GB2312" w:hAnsi="仿宋_GB2312" w:cs="仿宋_GB2312" w:eastAsia="仿宋_GB2312"/>
                      <w:sz w:val="24"/>
                      <w:color w:val="000000"/>
                    </w:rPr>
                    <w:t>保障</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1、安全及秩序管理：建立分馆安全保障机制，加强后台远程实时监控，及时妥善处理突发事件，保障分馆财产设备安全，维持馆内正常借阅秩序。</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2、文明开放，强化管理，保证读者进出馆舍秩序井然，无占座、插队、吵闹喧哗现象。</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3、加强联系群众，做好群防群治。在分馆内外硬件及房体遭到自然或人为破坏时，可立即报备市图书馆和当地公安机关，并在现场张贴闭馆通知和设置围挡以确保安全，积极协助公安机关调查，协助辖区管理部门追究肇事者责任。</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4、消防设施设备摆放位置醒目，设施配备齐全、完好无损，可随时起用，组织开展消防法规及消防知识的宣传教育，明确各分馆消防安全责任人；保证消防疏散通道畅通；无火灾安全隐患。</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6</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公共服务设施日常管理维护</w:t>
                  </w:r>
                </w:p>
              </w:tc>
              <w:tc>
                <w:tcPr>
                  <w:tcW w:type="dxa" w:w="16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1、保证各类照明灯具，包括馆舍外部灯箱、亮化灯、内部照明灯、应急灯正常运行，外观无破损，无安全隐患</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2、馆舍内外各类提示语、标牌、宣传标识完整，内容合规，无破损、褪色现象。</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3、房体外观完好、整洁，无乱贴、乱涂、乱画现象。</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4、书架、阅览桌椅等各类设施设备正常使用且外观无破损现象。</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5、及时对馆舍内外公共服务设施进行维修、清洗、保障灯具、标识标牌、锁具、空调、消防设备及供电系统、弱电网络系统等各项公共服务设施设备正常使用运行。</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环境卫生管理</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1、配备日常所需的保洁设备及消毒用品。</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2、室内垃圾日产日清，每日进行卫生消毒灭杀。</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3、馆舍外部房体及内部保持清洁，书架、阅览桌椅、各种设备整洁无灰尘、无乱贴、乱画现象，室内无纸屑、烟头等废弃物。</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4、做好环卫、禁烟宣传工作，提高卫生清洁意识。</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5、建全公共卫生安全保障机制，建立卫生保洁、消毒制度及灭</w:t>
                  </w:r>
                  <w:r>
                    <w:rPr>
                      <w:rFonts w:ascii="仿宋_GB2312" w:hAnsi="仿宋_GB2312" w:cs="仿宋_GB2312" w:eastAsia="仿宋_GB2312"/>
                      <w:sz w:val="24"/>
                      <w:color w:val="FF0000"/>
                    </w:rPr>
                    <w:t>“</w:t>
                  </w:r>
                  <w:r>
                    <w:rPr>
                      <w:rFonts w:ascii="仿宋_GB2312" w:hAnsi="仿宋_GB2312" w:cs="仿宋_GB2312" w:eastAsia="仿宋_GB2312"/>
                      <w:sz w:val="24"/>
                      <w:color w:val="000000"/>
                    </w:rPr>
                    <w:t>四害</w:t>
                  </w:r>
                  <w:r>
                    <w:rPr>
                      <w:rFonts w:ascii="仿宋_GB2312" w:hAnsi="仿宋_GB2312" w:cs="仿宋_GB2312" w:eastAsia="仿宋_GB2312"/>
                      <w:sz w:val="24"/>
                      <w:color w:val="FF0000"/>
                    </w:rPr>
                    <w:t>”</w:t>
                  </w:r>
                  <w:r>
                    <w:rPr>
                      <w:rFonts w:ascii="仿宋_GB2312" w:hAnsi="仿宋_GB2312" w:cs="仿宋_GB2312" w:eastAsia="仿宋_GB2312"/>
                      <w:sz w:val="24"/>
                      <w:color w:val="000000"/>
                    </w:rPr>
                    <w:t>工作日志。</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8</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智能管理系统设施设备维护管理</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1、定期开展包括卫生检查、图书整理、设备隐患检查、治安巡查在内的自我巡查整改工作，并做好日常巡检和处理隐患的工作日志。</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2、每天查看馆舍内外的设施、RFID 智能设备的安全及各系统设备运行情况。如分馆内公共服务设施设备或智能化管理控制系统设施设备出现故障，立刻指派技术人员或联系设备供应商进行维修，并跟踪推进维修进度，一般故障确保在 2 小时内解除，确保馆内 RFID 设备的正常运行；若出现重大故障、事故须闭馆维修时应立即报备市图书馆并现场张贴闭馆通知和设置围挡确保安全。</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3、突发事件处理。遇到突发事情需及时电话对接处理，必要时</w:t>
                  </w:r>
                  <w:r>
                    <w:rPr>
                      <w:rFonts w:ascii="仿宋_GB2312" w:hAnsi="仿宋_GB2312" w:cs="仿宋_GB2312" w:eastAsia="仿宋_GB2312"/>
                      <w:sz w:val="24"/>
                    </w:rPr>
                    <w:t xml:space="preserve"> </w:t>
                  </w:r>
                  <w:r>
                    <w:rPr>
                      <w:rFonts w:ascii="仿宋_GB2312" w:hAnsi="仿宋_GB2312" w:cs="仿宋_GB2312" w:eastAsia="仿宋_GB2312"/>
                      <w:sz w:val="24"/>
                    </w:rPr>
                    <w:t>1.5</w:t>
                  </w:r>
                  <w:r>
                    <w:rPr>
                      <w:rFonts w:ascii="仿宋_GB2312" w:hAnsi="仿宋_GB2312" w:cs="仿宋_GB2312" w:eastAsia="仿宋_GB2312"/>
                      <w:sz w:val="24"/>
                      <w:color w:val="000000"/>
                    </w:rPr>
                    <w:t>小时内到达现场进行处理，并及时给予读者答复。</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4、及时预存各项费用。确保馆内不断电、手机不停机、SOS 能够正常使用、网络正常运转。</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 xml:space="preserve">5、定期维护馆内大数据监控中心的数据端口，保证数据端口的正常对接并确保馆内智能设备收集数据的准确性。  </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9</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管理维护</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1、组建日常维护管理团队。负责分馆环境卫生、业务管理、读者管理、阅读推广活动等常态化服务管理，掌握智能调节分馆开馆、闭馆、通断电等技术。</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2、组建设备管理维护巡检团队。对各分馆设备运行情况进行巡检，及时处理设备故障，保障自助图书馆智能设备及软硬件系统正常运行。</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3、组建后台控制及综合指挥调度团队。对自助图书馆进行后台管理控制，包括视频监控系统、语音广播呼叫系统、大数据监控系统等；监测自助图书馆运行状态，及时发现问题并进行调度处理；综合协调处理其他自助图书馆运行过程中的其他工作和问题。</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10</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档案及日志管理</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1、建立日常管理及设备设施运行维护档案，保证各项工作日志齐全、准确。</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2、定期统计、及时上报各类业务数据。</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11</w:t>
                  </w:r>
                </w:p>
              </w:tc>
              <w:tc>
                <w:tcPr>
                  <w:tcW w:type="dxa" w:w="3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视频监控影像资料</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运营期间提供监控记录用于危机凭证处理：</w:t>
                  </w:r>
                  <w:r>
                    <w:br/>
                  </w:r>
                  <w:r>
                    <w:rPr>
                      <w:rFonts w:ascii="仿宋_GB2312" w:hAnsi="仿宋_GB2312" w:cs="仿宋_GB2312" w:eastAsia="仿宋_GB2312"/>
                      <w:sz w:val="24"/>
                    </w:rPr>
                    <w:t>1、提供不低于30个日历日、12个社区分馆视频监控影音资料；</w:t>
                  </w:r>
                  <w:r>
                    <w:br/>
                  </w:r>
                  <w:r>
                    <w:rPr>
                      <w:rFonts w:ascii="仿宋_GB2312" w:hAnsi="仿宋_GB2312" w:cs="仿宋_GB2312" w:eastAsia="仿宋_GB2312"/>
                      <w:sz w:val="24"/>
                    </w:rPr>
                    <w:t>2、每处社区分馆不低于4路监控线路的监控视频留存；</w:t>
                  </w:r>
                </w:p>
                <w:p>
                  <w:pPr>
                    <w:pStyle w:val="null3"/>
                  </w:pPr>
                  <w:r>
                    <w:rPr>
                      <w:rFonts w:ascii="仿宋_GB2312" w:hAnsi="仿宋_GB2312" w:cs="仿宋_GB2312" w:eastAsia="仿宋_GB2312"/>
                      <w:sz w:val="24"/>
                    </w:rPr>
                    <w:t>3、监控记录要求进行本地或者云存储，并能随时回放、调取；</w:t>
                  </w:r>
                </w:p>
                <w:p>
                  <w:pPr>
                    <w:pStyle w:val="null3"/>
                  </w:pPr>
                  <w:r>
                    <w:rPr>
                      <w:rFonts w:ascii="仿宋_GB2312" w:hAnsi="仿宋_GB2312" w:cs="仿宋_GB2312" w:eastAsia="仿宋_GB2312"/>
                      <w:sz w:val="24"/>
                      <w:color w:val="000000"/>
                    </w:rPr>
                    <w:t>4、要求不低于64路网络高清硬盘录像机、视频存储</w:t>
                  </w:r>
                  <w:r>
                    <w:rPr>
                      <w:rFonts w:ascii="仿宋_GB2312" w:hAnsi="仿宋_GB2312" w:cs="仿宋_GB2312" w:eastAsia="仿宋_GB2312"/>
                      <w:sz w:val="24"/>
                      <w:color w:val="FF0000"/>
                    </w:rPr>
                    <w:t>，</w:t>
                  </w:r>
                  <w:r>
                    <w:rPr>
                      <w:rFonts w:ascii="仿宋_GB2312" w:hAnsi="仿宋_GB2312" w:cs="仿宋_GB2312" w:eastAsia="仿宋_GB2312"/>
                      <w:sz w:val="24"/>
                      <w:color w:val="000000"/>
                    </w:rPr>
                    <w:t>硬盘不低于</w:t>
                  </w:r>
                  <w:r>
                    <w:rPr>
                      <w:rFonts w:ascii="仿宋_GB2312" w:hAnsi="仿宋_GB2312" w:cs="仿宋_GB2312" w:eastAsia="仿宋_GB2312"/>
                      <w:sz w:val="24"/>
                      <w:color w:val="000000"/>
                    </w:rPr>
                    <w:t>20T</w:t>
                  </w:r>
                  <w:r>
                    <w:rPr>
                      <w:rFonts w:ascii="仿宋_GB2312" w:hAnsi="仿宋_GB2312" w:cs="仿宋_GB2312" w:eastAsia="仿宋_GB2312"/>
                      <w:sz w:val="24"/>
                      <w:color w:val="FF0000"/>
                    </w:rPr>
                    <w:t>，</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4块46寸高清拼接大屏用于展示；</w:t>
                  </w:r>
                </w:p>
              </w:tc>
              <w:tc>
                <w:tcPr>
                  <w:tcW w:type="dxa" w:w="179"/>
                  <w:vMerge/>
                  <w:tcBorders>
                    <w:top w:val="none" w:color="000000" w:sz="4"/>
                    <w:left w:val="non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r>
            <w:tr>
              <w:tc>
                <w:tcPr>
                  <w:tcW w:type="dxa" w:w="13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w:t>
                  </w:r>
                </w:p>
              </w:tc>
              <w:tc>
                <w:tcPr>
                  <w:tcW w:type="dxa" w:w="3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阅读听书墙更新</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4"/>
                    </w:rPr>
                    <w:t>阅读听书墙每季更换听书内容，总计不少于</w:t>
                  </w:r>
                  <w:r>
                    <w:rPr>
                      <w:rFonts w:ascii="仿宋_GB2312" w:hAnsi="仿宋_GB2312" w:cs="仿宋_GB2312" w:eastAsia="仿宋_GB2312"/>
                      <w:sz w:val="24"/>
                    </w:rPr>
                    <w:t>60</w:t>
                  </w:r>
                  <w:r>
                    <w:rPr>
                      <w:rFonts w:ascii="仿宋_GB2312" w:hAnsi="仿宋_GB2312" w:cs="仿宋_GB2312" w:eastAsia="仿宋_GB2312"/>
                      <w:sz w:val="24"/>
                    </w:rPr>
                    <w:t>册；</w:t>
                  </w:r>
                </w:p>
                <w:p>
                  <w:pPr>
                    <w:pStyle w:val="null3"/>
                    <w:jc w:val="both"/>
                  </w:pPr>
                  <w:r>
                    <w:rPr>
                      <w:rFonts w:ascii="仿宋_GB2312" w:hAnsi="仿宋_GB2312" w:cs="仿宋_GB2312" w:eastAsia="仿宋_GB2312"/>
                      <w:sz w:val="24"/>
                    </w:rPr>
                    <w:t>一、听书操作方式：扫描二维码即可在微信端打开听书内容页进行听书；</w:t>
                  </w:r>
                </w:p>
                <w:p>
                  <w:pPr>
                    <w:pStyle w:val="null3"/>
                    <w:jc w:val="both"/>
                  </w:pPr>
                  <w:r>
                    <w:rPr>
                      <w:rFonts w:ascii="仿宋_GB2312" w:hAnsi="仿宋_GB2312" w:cs="仿宋_GB2312" w:eastAsia="仿宋_GB2312"/>
                      <w:sz w:val="24"/>
                    </w:rPr>
                    <w:t>二、听书内容要求：</w:t>
                  </w:r>
                </w:p>
                <w:p>
                  <w:pPr>
                    <w:pStyle w:val="null3"/>
                    <w:ind w:firstLine="480"/>
                    <w:jc w:val="left"/>
                  </w:pPr>
                  <w:r>
                    <w:rPr>
                      <w:rFonts w:ascii="仿宋_GB2312" w:hAnsi="仿宋_GB2312" w:cs="仿宋_GB2312" w:eastAsia="仿宋_GB2312"/>
                      <w:sz w:val="24"/>
                    </w:rPr>
                    <w:t xml:space="preserve">1. </w:t>
                  </w:r>
                  <w:r>
                    <w:rPr>
                      <w:rFonts w:ascii="仿宋_GB2312" w:hAnsi="仿宋_GB2312" w:cs="仿宋_GB2312" w:eastAsia="仿宋_GB2312"/>
                      <w:sz w:val="24"/>
                    </w:rPr>
                    <w:t>提供不少于</w:t>
                  </w:r>
                  <w:r>
                    <w:rPr>
                      <w:rFonts w:ascii="仿宋_GB2312" w:hAnsi="仿宋_GB2312" w:cs="仿宋_GB2312" w:eastAsia="仿宋_GB2312"/>
                      <w:sz w:val="24"/>
                    </w:rPr>
                    <w:t>20000本正版有声书籍（提供证明材料），内容主要涉及党政、财经、文学、人文、历史、成功、有声小说、精品课、相声评书、曲艺戏曲、儿童、健康、生活等门类，</w:t>
                  </w:r>
                  <w:r>
                    <w:rPr>
                      <w:rFonts w:ascii="仿宋_GB2312" w:hAnsi="仿宋_GB2312" w:cs="仿宋_GB2312" w:eastAsia="仿宋_GB2312"/>
                      <w:sz w:val="24"/>
                      <w:color w:val="000000"/>
                    </w:rPr>
                    <w:t>且听书资源持续更新上线</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提供听书图书要求是浙江大学出版社</w:t>
                  </w:r>
                  <w:r>
                    <w:rPr>
                      <w:rFonts w:ascii="仿宋_GB2312" w:hAnsi="仿宋_GB2312" w:cs="仿宋_GB2312" w:eastAsia="仿宋_GB2312"/>
                      <w:sz w:val="24"/>
                    </w:rPr>
                    <w:t>有限责任公司、</w:t>
                  </w:r>
                  <w:r>
                    <w:rPr>
                      <w:rFonts w:ascii="仿宋_GB2312" w:hAnsi="仿宋_GB2312" w:cs="仿宋_GB2312" w:eastAsia="仿宋_GB2312"/>
                      <w:sz w:val="24"/>
                    </w:rPr>
                    <w:t>华中科技大学出版社</w:t>
                  </w:r>
                  <w:r>
                    <w:rPr>
                      <w:rFonts w:ascii="仿宋_GB2312" w:hAnsi="仿宋_GB2312" w:cs="仿宋_GB2312" w:eastAsia="仿宋_GB2312"/>
                      <w:sz w:val="24"/>
                    </w:rPr>
                    <w:t>有限责任公司、北京闻章天成图书有限公司、北京南文博雅文化传媒有限公司、北京华夏盛轩图书有限公司、</w:t>
                  </w:r>
                  <w:r>
                    <w:rPr>
                      <w:rFonts w:ascii="仿宋_GB2312" w:hAnsi="仿宋_GB2312" w:cs="仿宋_GB2312" w:eastAsia="仿宋_GB2312"/>
                      <w:sz w:val="24"/>
                    </w:rPr>
                    <w:t>等众多权威出版机构，提供以上合作出版社版权协议</w:t>
                  </w:r>
                  <w:r>
                    <w:rPr>
                      <w:rFonts w:ascii="仿宋_GB2312" w:hAnsi="仿宋_GB2312" w:cs="仿宋_GB2312" w:eastAsia="仿宋_GB2312"/>
                      <w:sz w:val="24"/>
                    </w:rPr>
                    <w:t>合作承诺函。</w:t>
                  </w:r>
                </w:p>
                <w:p>
                  <w:pPr>
                    <w:pStyle w:val="null3"/>
                    <w:ind w:firstLine="480"/>
                    <w:jc w:val="left"/>
                  </w:pPr>
                  <w:r>
                    <w:rPr>
                      <w:rFonts w:ascii="仿宋_GB2312" w:hAnsi="仿宋_GB2312" w:cs="仿宋_GB2312" w:eastAsia="仿宋_GB2312"/>
                      <w:sz w:val="24"/>
                    </w:rPr>
                    <w:t>3、资源分类至少包含如下：</w:t>
                  </w:r>
                </w:p>
                <w:p>
                  <w:pPr>
                    <w:pStyle w:val="null3"/>
                    <w:ind w:firstLine="480"/>
                    <w:jc w:val="left"/>
                  </w:pPr>
                  <w:r>
                    <w:rPr>
                      <w:rFonts w:ascii="仿宋_GB2312" w:hAnsi="仿宋_GB2312" w:cs="仿宋_GB2312" w:eastAsia="仿宋_GB2312"/>
                      <w:sz w:val="24"/>
                    </w:rPr>
                    <w:t>党政类：新思想、党政学习等；</w:t>
                  </w:r>
                </w:p>
                <w:p>
                  <w:pPr>
                    <w:pStyle w:val="null3"/>
                    <w:ind w:firstLine="480"/>
                    <w:jc w:val="left"/>
                  </w:pPr>
                  <w:r>
                    <w:rPr>
                      <w:rFonts w:ascii="仿宋_GB2312" w:hAnsi="仿宋_GB2312" w:cs="仿宋_GB2312" w:eastAsia="仿宋_GB2312"/>
                      <w:sz w:val="24"/>
                    </w:rPr>
                    <w:t>财经类：商业智慧、股市、投资理财、创业、管理营销等；</w:t>
                  </w:r>
                </w:p>
                <w:p>
                  <w:pPr>
                    <w:pStyle w:val="null3"/>
                    <w:ind w:firstLine="480"/>
                    <w:jc w:val="left"/>
                  </w:pPr>
                  <w:r>
                    <w:rPr>
                      <w:rFonts w:ascii="仿宋_GB2312" w:hAnsi="仿宋_GB2312" w:cs="仿宋_GB2312" w:eastAsia="仿宋_GB2312"/>
                      <w:sz w:val="24"/>
                    </w:rPr>
                    <w:t>文学类：科幻小说、探险小说、推理小说、军旅文学、古典文学、影视文学、青春文学、散文诗歌、外国文学、通俗文学、名家名著等；</w:t>
                  </w:r>
                </w:p>
                <w:p>
                  <w:pPr>
                    <w:pStyle w:val="null3"/>
                    <w:ind w:firstLine="480"/>
                    <w:jc w:val="left"/>
                  </w:pPr>
                  <w:r>
                    <w:rPr>
                      <w:rFonts w:ascii="仿宋_GB2312" w:hAnsi="仿宋_GB2312" w:cs="仿宋_GB2312" w:eastAsia="仿宋_GB2312"/>
                      <w:sz w:val="24"/>
                    </w:rPr>
                    <w:t>人文类：农林渔牧、心理百科、文艺文化、时政热点、纪实传奇、科学科普等；</w:t>
                  </w:r>
                </w:p>
                <w:p>
                  <w:pPr>
                    <w:pStyle w:val="null3"/>
                    <w:ind w:firstLine="480"/>
                    <w:jc w:val="left"/>
                  </w:pPr>
                  <w:r>
                    <w:rPr>
                      <w:rFonts w:ascii="仿宋_GB2312" w:hAnsi="仿宋_GB2312" w:cs="仿宋_GB2312" w:eastAsia="仿宋_GB2312"/>
                      <w:sz w:val="24"/>
                    </w:rPr>
                    <w:t>历史类：世界史、红色足迹、历史小说、中国古代史、中国近代史等；</w:t>
                  </w:r>
                </w:p>
                <w:p>
                  <w:pPr>
                    <w:pStyle w:val="null3"/>
                    <w:ind w:firstLine="480"/>
                    <w:jc w:val="left"/>
                  </w:pPr>
                  <w:r>
                    <w:rPr>
                      <w:rFonts w:ascii="仿宋_GB2312" w:hAnsi="仿宋_GB2312" w:cs="仿宋_GB2312" w:eastAsia="仿宋_GB2312"/>
                      <w:sz w:val="24"/>
                    </w:rPr>
                    <w:t>成功类：心灵素养、职场进阶、就业指导、演讲口才、专业考试等；</w:t>
                  </w:r>
                </w:p>
                <w:p>
                  <w:pPr>
                    <w:pStyle w:val="null3"/>
                    <w:ind w:firstLine="480"/>
                    <w:jc w:val="left"/>
                  </w:pPr>
                  <w:r>
                    <w:rPr>
                      <w:rFonts w:ascii="仿宋_GB2312" w:hAnsi="仿宋_GB2312" w:cs="仿宋_GB2312" w:eastAsia="仿宋_GB2312"/>
                      <w:sz w:val="24"/>
                    </w:rPr>
                    <w:t>有声小说类：热血军事、穿越架空、悬疑推理、青春校园、科幻世界等；</w:t>
                  </w:r>
                </w:p>
                <w:p>
                  <w:pPr>
                    <w:pStyle w:val="null3"/>
                    <w:ind w:firstLine="480"/>
                    <w:jc w:val="left"/>
                  </w:pPr>
                  <w:r>
                    <w:rPr>
                      <w:rFonts w:ascii="仿宋_GB2312" w:hAnsi="仿宋_GB2312" w:cs="仿宋_GB2312" w:eastAsia="仿宋_GB2312"/>
                      <w:sz w:val="24"/>
                    </w:rPr>
                    <w:t>精品课：商业财经、哲学思想、时尚生活、文化艺术、名著精读等；</w:t>
                  </w:r>
                </w:p>
              </w:tc>
              <w:tc>
                <w:tcPr>
                  <w:tcW w:type="dxa" w:w="1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12套</w:t>
                  </w:r>
                </w:p>
              </w:tc>
              <w:tc>
                <w:tcPr>
                  <w:tcW w:type="dxa" w:w="1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13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13</w:t>
                  </w:r>
                </w:p>
              </w:tc>
              <w:tc>
                <w:tcPr>
                  <w:tcW w:type="dxa" w:w="35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读者服务</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left"/>
                  </w:pPr>
                  <w:r>
                    <w:rPr>
                      <w:rFonts w:ascii="仿宋_GB2312" w:hAnsi="仿宋_GB2312" w:cs="仿宋_GB2312" w:eastAsia="仿宋_GB2312"/>
                      <w:sz w:val="24"/>
                      <w:color w:val="000000"/>
                    </w:rPr>
                    <w:t>1、读者服务。分馆正常开放期间认真接听读者电话咨询并及时对接各执行部门，尽快处理解决读者问题。</w:t>
                  </w:r>
                </w:p>
              </w:tc>
              <w:tc>
                <w:tcPr>
                  <w:tcW w:type="dxa" w:w="1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2、及时收集整理读者意见并回复读者留言，加强与读者交流，提升分馆美誉度。</w:t>
                  </w:r>
                </w:p>
              </w:tc>
              <w:tc>
                <w:tcPr>
                  <w:tcW w:type="dxa" w:w="1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3、活动策划：根据周边读者群等信息策划积极开展文化活动，以活动为载体，拓宽分馆宣传渠道。</w:t>
                  </w:r>
                </w:p>
              </w:tc>
              <w:tc>
                <w:tcPr>
                  <w:tcW w:type="dxa" w:w="1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4、配合市图书馆将西安图书馆微信公众号打造成为读者互动平台，分享交流平台，通过线上线下的互动，多形式服务读者，推动全民阅读活动的开展；</w:t>
                  </w:r>
                </w:p>
              </w:tc>
              <w:tc>
                <w:tcPr>
                  <w:tcW w:type="dxa" w:w="1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5、制定统一的管理服务标准。根据西安图书馆要求，制定专业化、标准化的服务细则，提供统一的标准化管理服务，确保各项服务功能设施设备和阅读服务让市民满意。</w:t>
                  </w:r>
                </w:p>
              </w:tc>
              <w:tc>
                <w:tcPr>
                  <w:tcW w:type="dxa" w:w="1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6、在社区分馆馆舍内显著位置向读者公示服务范围、服务内容、开放时间、服务公约、服务承诺以及读者须知、办证方法、借阅规则等信息。因故必须闭馆时，须及时向读者公告。</w:t>
                  </w:r>
                </w:p>
              </w:tc>
              <w:tc>
                <w:tcPr>
                  <w:tcW w:type="dxa" w:w="1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39"/>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color w:val="000000"/>
                    </w:rPr>
                    <w:t>7、做好各分馆志愿者服务管理与维护。建立长期有效的志愿者服务工作机制，负责分馆志愿者队伍的管理，扩大宣传，吸引更多的公益机构和社会人员加入维护分馆正常运行的志愿者队伍。</w:t>
                  </w:r>
                </w:p>
              </w:tc>
              <w:tc>
                <w:tcPr>
                  <w:tcW w:type="dxa" w:w="1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3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14</w:t>
                  </w:r>
                </w:p>
              </w:tc>
              <w:tc>
                <w:tcPr>
                  <w:tcW w:type="dxa" w:w="3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阅读推广</w:t>
                  </w:r>
                </w:p>
              </w:tc>
              <w:tc>
                <w:tcPr>
                  <w:tcW w:type="dxa" w:w="16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left"/>
                  </w:pPr>
                  <w:r>
                    <w:rPr>
                      <w:rFonts w:ascii="仿宋_GB2312" w:hAnsi="仿宋_GB2312" w:cs="仿宋_GB2312" w:eastAsia="仿宋_GB2312"/>
                      <w:sz w:val="24"/>
                      <w:color w:val="000000"/>
                    </w:rPr>
                    <w:t>配合市图书馆开展阅读推广工作，根据社区分馆的读者需求开展阅读宣传活动，全年活动不低于</w:t>
                  </w:r>
                  <w:r>
                    <w:rPr>
                      <w:rFonts w:ascii="仿宋_GB2312" w:hAnsi="仿宋_GB2312" w:cs="仿宋_GB2312" w:eastAsia="仿宋_GB2312"/>
                      <w:sz w:val="24"/>
                      <w:color w:val="000000"/>
                    </w:rPr>
                    <w:t>60场次(国家法定节假日保证活动开展)。</w:t>
                  </w:r>
                </w:p>
              </w:tc>
              <w:tc>
                <w:tcPr>
                  <w:tcW w:type="dxa" w:w="1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纸质响应文件正本壹份、副本贰份、电子版壹份（U盘一套标明供应商名称，随正本密封）。纸质响应文件正副本分别胶装，标明供应商名称密封递交。若系统电子投标文件与纸质投标文件不一致的，以系统电子投标文件为准。 线下纸质文件递交截止时间：同在线递交电子响应文件截止时间一致；线下纸质文件递交地点：陕西省西安市曲江新区雁翔路3269号旺座曲江E座30层第二会议室</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2025年6月底之前，支付合同总金额的50%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2025年12月底之前，支付合同总金额的50%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磋商截止日前一年内已缴存的至少一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非联合体声明.docx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非联合体声明.docx 残疾人福利性单位声明函 服务方案 标的清单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商务应答表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实施方案：内容齐全、准确、合理，（验收体系的全面性、完整性、验收方法的针对性、科学性和可操作性），并针对本项目特点做出合理计划，能保障系统的顺利运行得10. 1-15分；内容较为齐全、较为准确、比较合理，针对本项目特点做出的计划较为合理，系统能正常运行得5.1-10分，内容不齐全、模糊、对本项目特点做出的计划混乱，很难保障系统的运行得0-5分。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系统功能</w:t>
            </w:r>
          </w:p>
        </w:tc>
        <w:tc>
          <w:tcPr>
            <w:tcW w:type="dxa" w:w="2492"/>
          </w:tcPr>
          <w:p>
            <w:pPr>
              <w:pStyle w:val="null3"/>
            </w:pPr>
            <w:r>
              <w:rPr>
                <w:rFonts w:ascii="仿宋_GB2312" w:hAnsi="仿宋_GB2312" w:cs="仿宋_GB2312" w:eastAsia="仿宋_GB2312"/>
              </w:rPr>
              <w:t>系统功能：运营设计流程、设计功能描述详细，层次清楚、结构合理、工作性强、功能直观。联动性、可靠性、合理性好，设计方案达到实用、先进、稳定、安全、节能和扩展性的要求得8.1-11分；运营设计流程、设计功能描述较为详细，层次较为清楚，结构较为合理，设计方案系统功能一般得4.1-8分；运营设计流程、设计功能描述不详尽，层次模糊、结构不合理各部分功能很难满足采购需求得0-4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人员配置方案：所有相关服务能提供本企业相关专业人员简历及从事相关需求工作每提供一人得1分，最高得5分，不提供不得分。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阅读推广及社会效应提升</w:t>
            </w:r>
          </w:p>
        </w:tc>
        <w:tc>
          <w:tcPr>
            <w:tcW w:type="dxa" w:w="2492"/>
          </w:tcPr>
          <w:p>
            <w:pPr>
              <w:pStyle w:val="null3"/>
            </w:pPr>
            <w:r>
              <w:rPr>
                <w:rFonts w:ascii="仿宋_GB2312" w:hAnsi="仿宋_GB2312" w:cs="仿宋_GB2312" w:eastAsia="仿宋_GB2312"/>
              </w:rPr>
              <w:t>阅读推广及社会效应提升：能提供阅读推广优质服务方案，根据提供的方案带来社会效应大的得10.1-15分；根据提供的方案带来社会效应一般的得7.1-10分；根据提供的方案带来社会效应小的的0-7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根据已经建成的社区24小时自助图书馆提出合理建议，建议合理、全面、详细得7.1-10分，较为合理、比较全面得3.1-7分，建议不详细、不合理得0-3分。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根据供应商针对本项目的安全管理制度（用电安全、网络安全、消防安全等）进行赋分。 管理制度详细、严谨赋10.1-15分； 管理制度较为详细、比较严谨赋5.1-10分； 管理制度粗略、不严谨赋0-5分； 无管理制度不赋分。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应急预案处理措施：根据各供应商的应急预案是否全面、完整、可行、有可实施性。 应急保障措施合法可行、全面、有效、合理，可实施性强赋7.1-10分；应急保障措施有效、合理，具有一定可实施性赋4-7分；应急保障措施简单不规范赋0-3分；不提供不得分。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供应商提供2021年1月1日至今类似业绩，每个计3分，最高计9分。（以磋商响应文件中的合同复印件加盖公章为准）。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满足磋商文件要求且最终报价价格最低的报价为评审基准价,其价格分为满分,其他供应商的价格分统一按照下列公式计算:报价得分=（评审基准价／最终报价）×10。 备注：本项目专门面向中小企业，故不再进行价格分扣除。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