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食堂劳务服务项目</w:t>
      </w:r>
    </w:p>
    <w:p>
      <w:pPr>
        <w:pStyle w:val="null3"/>
        <w:jc w:val="center"/>
        <w:outlineLvl w:val="2"/>
      </w:pPr>
      <w:r>
        <w:rPr>
          <w:sz w:val="28"/>
          <w:b/>
        </w:rPr>
        <w:t>采购项目编号：</w:t>
      </w:r>
      <w:r>
        <w:rPr>
          <w:sz w:val="28"/>
          <w:b/>
        </w:rPr>
        <w:t>HZJZS2024-0143</w:t>
      </w:r>
      <w:r>
        <w:br/>
      </w:r>
      <w:r>
        <w:br/>
      </w:r>
      <w:r>
        <w:br/>
      </w:r>
    </w:p>
    <w:p>
      <w:pPr>
        <w:pStyle w:val="null3"/>
        <w:jc w:val="center"/>
        <w:outlineLvl w:val="2"/>
      </w:pPr>
      <w:r>
        <w:rPr>
          <w:sz w:val="28"/>
          <w:b/>
        </w:rPr>
        <w:t>西安市公安局强制医疗管理处</w:t>
      </w:r>
    </w:p>
    <w:p>
      <w:pPr>
        <w:pStyle w:val="null3"/>
        <w:jc w:val="center"/>
        <w:outlineLvl w:val="2"/>
      </w:pPr>
      <w:r>
        <w:rPr>
          <w:sz w:val="28"/>
          <w:b/>
        </w:rPr>
        <w:t>华智建造价咨询有限公司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华智建造价咨询有限公司</w:t>
      </w:r>
      <w:r>
        <w:rPr/>
        <w:t>（以下简称“代理机构”）受</w:t>
      </w:r>
      <w:r>
        <w:rPr/>
        <w:t>西安市公安局强制医疗管理处</w:t>
      </w:r>
      <w:r>
        <w:rPr/>
        <w:t>委托，拟对</w:t>
      </w:r>
      <w:r>
        <w:rPr/>
        <w:t>食堂劳务服务项目</w:t>
      </w:r>
      <w:r>
        <w:rPr/>
        <w:t>采用竞争性磋商采购方式进行采购，兹邀请供应商参加本项目的竞争性磋商。</w:t>
      </w:r>
    </w:p>
    <w:p>
      <w:pPr>
        <w:pStyle w:val="null3"/>
        <w:outlineLvl w:val="2"/>
      </w:pPr>
      <w:r>
        <w:rPr>
          <w:sz w:val="28"/>
          <w:b/>
        </w:rPr>
        <w:t>一、项目编号：</w:t>
      </w:r>
      <w:r>
        <w:rPr>
          <w:sz w:val="28"/>
          <w:b/>
        </w:rPr>
        <w:t>HZJZS2024-0143</w:t>
      </w:r>
    </w:p>
    <w:p>
      <w:pPr>
        <w:pStyle w:val="null3"/>
        <w:outlineLvl w:val="2"/>
      </w:pPr>
      <w:r>
        <w:rPr>
          <w:sz w:val="28"/>
          <w:b/>
        </w:rPr>
        <w:t>二、项目名称：</w:t>
      </w:r>
      <w:r>
        <w:rPr>
          <w:sz w:val="28"/>
          <w:b/>
        </w:rPr>
        <w:t>食堂劳务服务项目</w:t>
      </w:r>
    </w:p>
    <w:p>
      <w:pPr>
        <w:pStyle w:val="null3"/>
        <w:outlineLvl w:val="2"/>
      </w:pPr>
      <w:r>
        <w:rPr>
          <w:sz w:val="28"/>
          <w:b/>
        </w:rPr>
        <w:t>三、磋商项目简介</w:t>
      </w:r>
    </w:p>
    <w:p>
      <w:pPr>
        <w:pStyle w:val="null3"/>
        <w:ind w:firstLine="480"/>
      </w:pPr>
      <w:r>
        <w:rPr/>
        <w:t>西安市公安局强制医疗管理处（安康医院）食堂劳务服务项目，详见采购需求附件。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采购包1（食堂劳务服务项目）：属于专门面向中小企业采购。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1、法定代表人授权书/法定代表人身份证明：法定代表人参加投标时，提供法定代表人身份证明和本人身份证；授权代表参加投标时，提供法定代表人授权书和被授权人身份证；非法人单位参照执行</w:t>
      </w:r>
    </w:p>
    <w:p>
      <w:pPr>
        <w:pStyle w:val="null3"/>
      </w:pPr>
      <w:r>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3、资格证书：供应商须具有合格有效的《食品经营许可证》</w:t>
      </w:r>
    </w:p>
    <w:p>
      <w:pPr>
        <w:pStyle w:val="null3"/>
      </w:pPr>
      <w:r>
        <w:rPr/>
        <w:t>4、联合体：本项目不接受联合体磋商，不允许分包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西安市公安局强制医疗管理处</w:t>
      </w:r>
    </w:p>
    <w:p>
      <w:pPr>
        <w:pStyle w:val="null3"/>
      </w:pPr>
      <w:r>
        <w:rPr/>
        <w:t xml:space="preserve"> 地址： </w:t>
      </w:r>
      <w:r>
        <w:rPr/>
        <w:t>西安市长安区杜曲新村</w:t>
      </w:r>
    </w:p>
    <w:p>
      <w:pPr>
        <w:pStyle w:val="null3"/>
      </w:pPr>
      <w:r>
        <w:rPr/>
        <w:t xml:space="preserve"> 邮编： </w:t>
      </w:r>
      <w:r>
        <w:rPr/>
        <w:t>710104</w:t>
      </w:r>
    </w:p>
    <w:p>
      <w:pPr>
        <w:pStyle w:val="null3"/>
      </w:pPr>
      <w:r>
        <w:rPr/>
        <w:t xml:space="preserve"> 联系人： </w:t>
      </w:r>
      <w:r>
        <w:rPr/>
        <w:t>刘老师</w:t>
      </w:r>
    </w:p>
    <w:p>
      <w:pPr>
        <w:pStyle w:val="null3"/>
      </w:pPr>
      <w:r>
        <w:rPr/>
        <w:t xml:space="preserve"> 联系电话： </w:t>
      </w:r>
      <w:r>
        <w:rPr/>
        <w:t>029-86773598</w:t>
      </w:r>
    </w:p>
    <w:p>
      <w:pPr>
        <w:pStyle w:val="null3"/>
        <w:outlineLvl w:val="3"/>
      </w:pPr>
      <w:r>
        <w:rPr>
          <w:sz w:val="24"/>
          <w:b/>
        </w:rPr>
        <w:t>代理机构：</w:t>
      </w:r>
      <w:r>
        <w:rPr>
          <w:sz w:val="24"/>
          <w:b/>
        </w:rPr>
        <w:t>华智建造价咨询有限公司</w:t>
      </w:r>
    </w:p>
    <w:p>
      <w:pPr>
        <w:pStyle w:val="null3"/>
      </w:pPr>
      <w:r>
        <w:rPr/>
        <w:t xml:space="preserve"> 地址： </w:t>
      </w:r>
      <w:r>
        <w:rPr/>
        <w:t>陕西省西安市莲湖区丰庆路48号1幢305室</w:t>
      </w:r>
    </w:p>
    <w:p>
      <w:pPr>
        <w:pStyle w:val="null3"/>
      </w:pPr>
      <w:r>
        <w:rPr/>
        <w:t xml:space="preserve"> 邮编： </w:t>
      </w:r>
      <w:r>
        <w:rPr/>
        <w:t>710000</w:t>
      </w:r>
    </w:p>
    <w:p>
      <w:pPr>
        <w:pStyle w:val="null3"/>
      </w:pPr>
      <w:r>
        <w:rPr/>
        <w:t xml:space="preserve"> 联系人： </w:t>
      </w:r>
      <w:r>
        <w:rPr/>
        <w:t>杨工</w:t>
      </w:r>
    </w:p>
    <w:p>
      <w:pPr>
        <w:pStyle w:val="null3"/>
      </w:pPr>
      <w:r>
        <w:rPr/>
        <w:t xml:space="preserve"> 联系电话： </w:t>
      </w:r>
      <w:r>
        <w:rPr/>
        <w:t>029-85798008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代理服务费收费标准：根据《招标代理服务收费管理暂行办法》计价格[2002]1980号文&amp;发改价格[2011]534 号国家规定的招标代理服务费标准计取(中标价作为计价基数),由中标人在领取中标通知书前向采购代理机构一次性支付。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西安市公安局强制医疗管理处</w:t>
      </w:r>
      <w:r>
        <w:rPr/>
        <w:t>和</w:t>
      </w:r>
      <w:r>
        <w:rPr/>
        <w:t>华智建造价咨询有限公司</w:t>
      </w:r>
      <w:r>
        <w:rPr/>
        <w:t>享有。对磋商文件中供应商参加本次政府采购活动应当具备的条件，磋商项目技术、服务、商务及其他要求，评审细则及标准由</w:t>
      </w:r>
      <w:r>
        <w:rPr/>
        <w:t>西安市公安局强制医疗管理处</w:t>
      </w:r>
      <w:r>
        <w:rPr/>
        <w:t>负责解释。除上述磋商文件内容，其他内容由</w:t>
      </w:r>
      <w:r>
        <w:rPr/>
        <w:t>华智建造价咨询有限公司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西安市公安局强制医疗管理处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华智建造价咨询有限公司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华智建造价咨询有限公司</w:t>
      </w:r>
      <w:r>
        <w:rPr/>
        <w:t xml:space="preserve"> 负责答复；供应商对除采购需求外的采购文件的询问、质疑由</w:t>
      </w:r>
      <w:r>
        <w:rPr/>
        <w:t>华智建造价咨询有限公司</w:t>
      </w:r>
      <w:r>
        <w:rPr/>
        <w:t xml:space="preserve"> 负责答复；供应商对采购过程、采购结果的询问、质疑由 </w:t>
      </w:r>
      <w:r>
        <w:rPr/>
        <w:t>华智建造价咨询有限公司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联系人：杨工</w:t>
      </w:r>
    </w:p>
    <w:p>
      <w:pPr>
        <w:pStyle w:val="null3"/>
      </w:pPr>
      <w:r>
        <w:rPr/>
        <w:t>联系电话：029-85798008</w:t>
      </w:r>
    </w:p>
    <w:p>
      <w:pPr>
        <w:pStyle w:val="null3"/>
      </w:pPr>
      <w:r>
        <w:rPr/>
        <w:t>地址：陕西省西安市莲湖区丰庆路48号1幢305室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公安局强制医疗管理处食堂包含：职工食堂及病患食堂共两个食堂，就餐人数约600人，服务商接受委托后不得再转包或分包给第三方。服务商主要负责餐食加工(一日三餐及夜班餐)食材存储管理、伙房人员管理、伙房及餐厅、储物间、洗涤间及伙房周边等卫生保洁消毒以及送餐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1,008,000.00</w:t>
      </w:r>
    </w:p>
    <w:p>
      <w:pPr>
        <w:pStyle w:val="null3"/>
      </w:pPr>
      <w:r>
        <w:rPr/>
        <w:t>采购包最高限价（元）: 1,008,000.00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1008000</w:t>
            </w:r>
          </w:p>
        </w:tc>
        <w:tc>
          <w:tcPr>
            <w:tcW w:type="dxa" w:w="831"/>
          </w:tcPr>
          <w:p>
            <w:pPr>
              <w:pStyle w:val="null3"/>
              <w:jc w:val="right"/>
            </w:pPr>
            <w:r>
              <w:rPr/>
              <w:t>1.00</w:t>
            </w:r>
          </w:p>
        </w:tc>
        <w:tc>
          <w:tcPr>
            <w:tcW w:type="dxa" w:w="831"/>
          </w:tcPr>
          <w:p>
            <w:pPr>
              <w:pStyle w:val="null3"/>
              <w:jc w:val="right"/>
            </w:pPr>
            <w:r>
              <w:rPr/>
              <w:t>1,008,000.00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标的名称：1008000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b/>
              </w:rPr>
              <w:t>服务内容</w:t>
            </w:r>
            <w:r>
              <w:rPr>
                <w:rFonts w:ascii="宋体" w:hAnsi="宋体" w:cs="宋体" w:eastAsia="宋体"/>
                <w:b/>
              </w:rPr>
              <w:t>：</w:t>
            </w:r>
          </w:p>
          <w:p>
            <w:pPr>
              <w:pStyle w:val="null3"/>
              <w:jc w:val="both"/>
            </w:pPr>
            <w:r>
              <w:rPr>
                <w:rFonts w:ascii="宋体" w:hAnsi="宋体" w:cs="宋体" w:eastAsia="宋体"/>
                <w:sz w:val="18"/>
              </w:rPr>
              <w:t>西安市公安局强制医疗管理处食堂包含：职工食堂及病患食堂共两个食堂，就餐人数约</w:t>
            </w:r>
            <w:r>
              <w:rPr>
                <w:rFonts w:ascii="宋体" w:hAnsi="宋体" w:cs="宋体" w:eastAsia="宋体"/>
                <w:sz w:val="18"/>
              </w:rPr>
              <w:t>600人，服务商接受委托后不得再转包或分包给第三方。服务商主要负责餐食加工(一日三餐及夜班餐)食材存储管理、伙房人员管理、伙房及餐厅、储物间、洗涤间及伙房周边等卫生保洁消毒以及送餐等。</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b/>
              </w:rPr>
              <w:t>服务期限、地点</w:t>
            </w:r>
            <w:r>
              <w:rPr>
                <w:rFonts w:ascii="宋体" w:hAnsi="宋体" w:cs="宋体" w:eastAsia="宋体"/>
                <w:b/>
              </w:rPr>
              <w:t>：</w:t>
            </w:r>
          </w:p>
          <w:p>
            <w:pPr>
              <w:pStyle w:val="null3"/>
              <w:jc w:val="left"/>
            </w:pPr>
            <w:r>
              <w:rPr>
                <w:rFonts w:ascii="宋体" w:hAnsi="宋体" w:cs="宋体" w:eastAsia="宋体"/>
                <w:sz w:val="18"/>
              </w:rPr>
              <w:t>服务期限：合同签订后</w:t>
            </w:r>
            <w:r>
              <w:rPr>
                <w:rFonts w:ascii="宋体" w:hAnsi="宋体" w:cs="宋体" w:eastAsia="宋体"/>
                <w:sz w:val="18"/>
              </w:rPr>
              <w:t>12个月；</w:t>
            </w:r>
          </w:p>
          <w:p>
            <w:pPr>
              <w:pStyle w:val="null3"/>
              <w:jc w:val="both"/>
            </w:pPr>
            <w:r>
              <w:rPr>
                <w:rFonts w:ascii="宋体" w:hAnsi="宋体" w:cs="宋体" w:eastAsia="宋体"/>
                <w:sz w:val="18"/>
              </w:rPr>
              <w:t>服务地点：</w:t>
            </w:r>
            <w:r>
              <w:rPr>
                <w:rFonts w:ascii="宋体" w:hAnsi="宋体" w:cs="宋体" w:eastAsia="宋体"/>
                <w:sz w:val="18"/>
              </w:rPr>
              <w:t>采购人指定地点</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b/>
              </w:rPr>
              <w:t>服务要求：</w:t>
            </w:r>
          </w:p>
          <w:p>
            <w:pPr>
              <w:pStyle w:val="null3"/>
              <w:jc w:val="left"/>
            </w:pPr>
            <w:r>
              <w:rPr>
                <w:rFonts w:ascii="宋体" w:hAnsi="宋体" w:cs="宋体" w:eastAsia="宋体"/>
              </w:rPr>
              <w:t>1、供餐要求：</w:t>
            </w:r>
          </w:p>
          <w:p>
            <w:pPr>
              <w:pStyle w:val="null3"/>
              <w:jc w:val="left"/>
            </w:pPr>
            <w:r>
              <w:rPr>
                <w:rFonts w:ascii="宋体" w:hAnsi="宋体" w:cs="宋体" w:eastAsia="宋体"/>
              </w:rPr>
              <w:t>全年</w:t>
            </w:r>
            <w:r>
              <w:rPr>
                <w:rFonts w:ascii="宋体" w:hAnsi="宋体" w:cs="宋体" w:eastAsia="宋体"/>
              </w:rPr>
              <w:t>365天运营，24小时供餐保障。</w:t>
            </w:r>
          </w:p>
          <w:p>
            <w:pPr>
              <w:pStyle w:val="null3"/>
              <w:jc w:val="left"/>
            </w:pPr>
            <w:r>
              <w:rPr>
                <w:rFonts w:ascii="宋体" w:hAnsi="宋体" w:cs="宋体" w:eastAsia="宋体"/>
              </w:rPr>
              <w:t>2、供餐内容：</w:t>
            </w:r>
          </w:p>
          <w:p>
            <w:pPr>
              <w:pStyle w:val="null3"/>
              <w:jc w:val="left"/>
            </w:pPr>
            <w:r>
              <w:rPr>
                <w:rFonts w:ascii="宋体" w:hAnsi="宋体" w:cs="宋体" w:eastAsia="宋体"/>
              </w:rPr>
              <w:t>早餐：菜品</w:t>
            </w:r>
            <w:r>
              <w:rPr>
                <w:rFonts w:ascii="宋体" w:hAnsi="宋体" w:cs="宋体" w:eastAsia="宋体"/>
              </w:rPr>
              <w:t>6种，其中热菜2种(一道半荤菜)、手拌菜3种、小菜1种；稀饭2种；五谷豆浆／牛奶1种；主食2种、小吃1种（炸、蒸、烙类小吃）；鸡蛋1种（蒸、五香、煎）。</w:t>
            </w:r>
          </w:p>
          <w:p>
            <w:pPr>
              <w:pStyle w:val="null3"/>
              <w:jc w:val="left"/>
            </w:pPr>
            <w:r>
              <w:rPr>
                <w:rFonts w:ascii="宋体" w:hAnsi="宋体" w:cs="宋体" w:eastAsia="宋体"/>
              </w:rPr>
              <w:t>午餐：菜品不少于</w:t>
            </w:r>
            <w:r>
              <w:rPr>
                <w:rFonts w:ascii="宋体" w:hAnsi="宋体" w:cs="宋体" w:eastAsia="宋体"/>
              </w:rPr>
              <w:t>6种（3荤3素），其中主荤菜1种、半荤菜2种、素菜3种；汤品1种；主食2种、面食1种；小吃杂粮1种；水果1种；奶制品1种。</w:t>
            </w:r>
          </w:p>
          <w:p>
            <w:pPr>
              <w:pStyle w:val="null3"/>
              <w:jc w:val="left"/>
            </w:pPr>
            <w:r>
              <w:rPr>
                <w:rFonts w:ascii="宋体" w:hAnsi="宋体" w:cs="宋体" w:eastAsia="宋体"/>
              </w:rPr>
              <w:t>晚餐：热菜</w:t>
            </w:r>
            <w:r>
              <w:rPr>
                <w:rFonts w:ascii="宋体" w:hAnsi="宋体" w:cs="宋体" w:eastAsia="宋体"/>
              </w:rPr>
              <w:t>3种（1荤2素）；主食2种；稀饭1种、小吃1种、饼类1种。</w:t>
            </w:r>
          </w:p>
          <w:p>
            <w:pPr>
              <w:pStyle w:val="null3"/>
              <w:jc w:val="left"/>
            </w:pPr>
            <w:r>
              <w:rPr>
                <w:rFonts w:ascii="宋体" w:hAnsi="宋体" w:cs="宋体" w:eastAsia="宋体"/>
              </w:rPr>
              <w:t>夜餐：主食</w:t>
            </w:r>
            <w:r>
              <w:rPr>
                <w:rFonts w:ascii="宋体" w:hAnsi="宋体" w:cs="宋体" w:eastAsia="宋体"/>
              </w:rPr>
              <w:t>1种、汤一种</w:t>
            </w:r>
          </w:p>
          <w:p>
            <w:pPr>
              <w:pStyle w:val="null3"/>
              <w:jc w:val="left"/>
            </w:pPr>
            <w:r>
              <w:rPr>
                <w:rFonts w:ascii="宋体" w:hAnsi="宋体" w:cs="宋体" w:eastAsia="宋体"/>
              </w:rPr>
              <w:t>3、质量要求：</w:t>
            </w:r>
          </w:p>
          <w:p>
            <w:pPr>
              <w:pStyle w:val="null3"/>
              <w:jc w:val="left"/>
            </w:pPr>
            <w:r>
              <w:rPr>
                <w:rFonts w:ascii="宋体" w:hAnsi="宋体" w:cs="宋体" w:eastAsia="宋体"/>
              </w:rPr>
              <w:t>（</w:t>
            </w:r>
            <w:r>
              <w:rPr>
                <w:rFonts w:ascii="宋体" w:hAnsi="宋体" w:cs="宋体" w:eastAsia="宋体"/>
              </w:rPr>
              <w:t>1）操作环境要求：干净、干燥、无污染、无杂物、无残渣、无异味、无油垢、无蝇虫、无老鼠。厨房垃圾要做到日产日清，垃圾桶加盖、内外袋无外溢。</w:t>
            </w:r>
          </w:p>
          <w:p>
            <w:pPr>
              <w:pStyle w:val="null3"/>
              <w:jc w:val="left"/>
            </w:pPr>
            <w:r>
              <w:rPr>
                <w:rFonts w:ascii="宋体" w:hAnsi="宋体" w:cs="宋体" w:eastAsia="宋体"/>
              </w:rPr>
              <w:t>（</w:t>
            </w:r>
            <w:r>
              <w:rPr>
                <w:rFonts w:ascii="宋体" w:hAnsi="宋体" w:cs="宋体" w:eastAsia="宋体"/>
              </w:rPr>
              <w:t>2）服务商必须严格按照《食品卫生法》和《安全生产法》开展餐饮服务工作。</w:t>
            </w:r>
          </w:p>
          <w:p>
            <w:pPr>
              <w:pStyle w:val="null3"/>
              <w:jc w:val="left"/>
            </w:pPr>
            <w:r>
              <w:rPr>
                <w:rFonts w:ascii="宋体" w:hAnsi="宋体" w:cs="宋体" w:eastAsia="宋体"/>
              </w:rPr>
              <w:t>（</w:t>
            </w:r>
            <w:r>
              <w:rPr>
                <w:rFonts w:ascii="宋体" w:hAnsi="宋体" w:cs="宋体" w:eastAsia="宋体"/>
              </w:rPr>
              <w:t>3）由于服务商原因所造成误餐、断供、食品安全（食物不洁或霉变引发的细菌性食物中毒和食源性疾病等所发生的治疗费用）等问题，由服务商承担全部责任，并进行相应处罚。</w:t>
            </w:r>
          </w:p>
          <w:p>
            <w:pPr>
              <w:pStyle w:val="null3"/>
              <w:jc w:val="both"/>
            </w:pPr>
            <w:r>
              <w:rPr>
                <w:rFonts w:ascii="宋体" w:hAnsi="宋体" w:cs="宋体" w:eastAsia="宋体"/>
              </w:rPr>
              <w:t>（4）服务商所制作的全部餐品，必须提供48小时留样备查。</w:t>
            </w:r>
          </w:p>
        </w:tc>
      </w:tr>
    </w:tbl>
    <w:p>
      <w:pPr>
        <w:pStyle w:val="null3"/>
        <w:outlineLvl w:val="2"/>
      </w:pPr>
      <w:r>
        <w:rPr>
          <w:sz w:val="28"/>
          <w:b/>
        </w:rPr>
        <w:t>3.2.3人员配置要求</w:t>
      </w:r>
    </w:p>
    <w:p>
      <w:pPr>
        <w:pStyle w:val="null3"/>
      </w:pPr>
      <w:r>
        <w:rPr/>
        <w:t>采购包1：</w:t>
      </w:r>
    </w:p>
    <w:p>
      <w:pPr>
        <w:pStyle w:val="null3"/>
      </w:pPr>
      <w:r>
        <w:rPr/>
        <w:t>1、食堂员工数量、专业技术要求： （1）食堂总编制：不少于14人（含乙方管理人员）。厨师长（2人）具有相关资格证书。员工在岗率不能低于95%/日。人员流动率不能超过15%/年。以食堂为单位配备人数、明确岗位分配。 （2）拟派厨师至少6名，坚决不允许竞标时借用他人资质或证书，一旦确认中标，组建运行团队时必须保持稳定、持续在岗工作。 2、员工身体健康要求。食堂所有员工上岗前必须通过当地卫生部门指定医院或防疫站的体检，领取饮食行业健康证。无健康合格证者，不准在食堂工作。人员必须身体健康，无各种遗传性疾病。 3、员工品德要求。要有敬业精神；要有良好的职业道德，诚实；讲信用，相貌端正，身体健康，无伤残或重大疾病，有健康的身体条件。 4、服务商所配备员工年龄必须遵守国家劳动法规定的年龄要求。不得配备超龄或不足年龄的员工。 5、食堂所有员工由服务商自行招聘，食堂员工的工资、工装和福利、保险均由服务商承担。</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（1）供餐合同模式：人员劳务外包； （2）运营所需的设备、场地、能源由采购人提供； （3）运营过程中的消耗品如一次性手套、口罩、清洁剂等消耗品由采购人提供； （4）所有加工用食材由采购人提供； （5）服务商负责员工工服、工帽等的配发及更换； （6）服务商负责员工培训、健康证件办理等； （7）服务商负责员工人身安全，包括在工作岗位上的人身财产安全； （8）服务期间，如有投诉情况，服务商应及时上报解决方案 （9）服务商须上报完备的突发事件和安全事故处理预案。 （10）服务商不得擅自拆改厨房和设备间房屋。 （11）服务商要节约水、电的使用，杜绝长明灯。要做好防火、防盗、消防和安全用电、用气等安全工作，确保就餐人员和自身的安全，如出现食物中毒和各种安全事故，责任和经济赔偿均由服务商自行承担。工作期间员工一切管理、安全责任及损失自负，采购人概不负责。 （12）服务商如因工作量增加需加配人员等问题，采购人不再承担任何费用。</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合同签订后12个月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（一）由甲方组织验收 （二）验收依据：1、竞争性磋商文件、响应文件、澄清表（函）； 2、本合同及附件文本；3、国家相应的标准、规范。（三）双方拟定的其他条款。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 xml:space="preserve"> 合同签订后，采购人按月支付合同价款 </w:t>
      </w:r>
      <w:r>
        <w:rPr/>
        <w:t xml:space="preserve"> ，达到付款条件起 </w:t>
      </w:r>
      <w:r>
        <w:rPr/>
        <w:t>7</w:t>
      </w:r>
      <w:r>
        <w:rPr/>
        <w:t xml:space="preserve"> 日内，支付合同总金额的 </w:t>
      </w:r>
      <w:r>
        <w:rPr/>
        <w:t>8.70</w:t>
      </w:r>
      <w:r>
        <w:rPr/>
        <w:t>%。</w:t>
      </w:r>
    </w:p>
    <w:p>
      <w:pPr>
        <w:pStyle w:val="null3"/>
        <w:outlineLvl w:val="3"/>
      </w:pPr>
      <w:r>
        <w:rPr>
          <w:sz w:val="24"/>
          <w:b/>
        </w:rPr>
        <w:t>3.3.6违约责任及解决争议的方法</w:t>
      </w:r>
    </w:p>
    <w:p>
      <w:pPr>
        <w:pStyle w:val="null3"/>
      </w:pPr>
      <w:r>
        <w:rPr/>
        <w:t>采购包1：</w:t>
      </w:r>
    </w:p>
    <w:p>
      <w:pPr>
        <w:pStyle w:val="null3"/>
      </w:pPr>
      <w:r>
        <w:rPr/>
        <w:t>1、本协议执行期间，甲乙双方应履行承诺，任何一方未履行合同造成对方损失时，违约方应承担违约责任。 2、乙方未能认真履行甲方提出的改进意见，甲方可在履约保证金中扣除部分保证金。如在一个月连续三次书面警告乙方改进无效，甲方有权终止本合同，由此造成的损失由乙方承担。 3、乙方未按时提交甲方所需的相关资料，甲方可在履约保证金中扣除部分保证金。 4、因乙方原因造成断供或发生食物中毒事故应全额赔偿损失，造成严重后果的，应追究乙方的法律责任，乙方承担由此产生的一切损失，甲方可单方终止合同，并扣除全部履约保证金。 5、乙方有意终止合作而没有提前一个月通知对方，需赔偿对方最后一个月餐费的10%。 6、对甲方提出更换的劳务人员，乙方必须在甲方制定期限内更换，否则以违约论处。 7、因不可抗力原因发生造成的双方损失由双方各自承担自己的损失。</w:t>
      </w:r>
    </w:p>
    <w:p>
      <w:pPr>
        <w:pStyle w:val="null3"/>
        <w:outlineLvl w:val="2"/>
      </w:pPr>
      <w:r>
        <w:rPr>
          <w:sz w:val="28"/>
          <w:b/>
        </w:rPr>
        <w:t>3.4其他要求</w:t>
      </w:r>
    </w:p>
    <w:p>
      <w:pPr>
        <w:pStyle w:val="null3"/>
      </w:pPr>
      <w:r>
        <w:rPr/>
        <w:t>1、磋商报价：本项目磋商报价为总价包干。磋商报价是供应商为完成本项目要求的全部服务内容最终价格的体现，包括人工费、食材费、服务费、服装费、管理费、社保费、招标代理服务费、税金等其他一切相关费用。供应商所报的价格应考虑到可能发生的所有与完成本项目相关服务及履行合同义务有关的一切费用。 2、供应商所报的价格应考虑到可能发生的所有与完成本项目相关服务及履行合同义务有关的一切费用，任何有选择的报价将不予接受，按无效磋商处理。 3、本项目所属行业为：餐饮业。根据《工业和信息化部、国家统计局、国家发展和改革委员会、财政部关于印发中小企业划型标准规定的通知》《工信部联企业(2011)300 号)规定的划分标准,从业人员300人以下或资产总额10000万元以下的为中小微型企业。其中，从业人员100人及以上，且资产总额2000万元及以上的为中型企业；从业人员10人及以上，且资产总额100万元及以上的为小型企业；从业人员10人以下或资产总额100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必须是具有独立承担民事责任能力的法人、其他组织或自然人，并出具合法有效的营业执照或事业单位法人证书等国家规定的相关证明，自然人参与的提供其身份证明； （2）提供2023年度的财务审计报告或开标前6个月内供应商基本存款账户开户银行出具的资信证明及开户许可证（基本存款账户信息） （3）具备履行合同所必需的设备和专业技术能力的证明材料(由供应商根据项目需求提供说明材料或者承诺)； （4）提供磋商截止日前一年内已缴纳的至少一个月的纳税证明或完税证明，依法免税的单位应提供相关证明材料； （5）提供磋商截止日前一年内已缴纳的至少一个月的社会保障资金缴存单据或社保机构开具的社会保险参保缴费情况证明，依法不需要缴纳社会保障资金的单位应提供相关证明材料； （6）提供参加政府采购活动前三年内，在经营活动中没有重大违法记录书面声明；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供应商需在项目电子化交易系统中按要求上传相应证明文件并进行电子签章。提供2023年度的财务审计报告或开标前6个月内供应商基本存款账户开户银行出具的资信证明及开户许可证（基本存款账户信息）</w:t>
            </w:r>
          </w:p>
        </w:tc>
        <w:tc>
          <w:tcPr>
            <w:tcW w:type="dxa" w:w="1661"/>
          </w:tcPr>
          <w:p>
            <w:pPr>
              <w:pStyle w:val="null3"/>
            </w:pPr>
            <w:r>
              <w:rPr/>
              <w:t>资格证明文件 中小企业声明函 残疾人福利性单位声明函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资格证书</w:t>
            </w:r>
          </w:p>
        </w:tc>
        <w:tc>
          <w:tcPr>
            <w:tcW w:type="dxa" w:w="3322"/>
          </w:tcPr>
          <w:p>
            <w:pPr>
              <w:pStyle w:val="null3"/>
            </w:pPr>
            <w:r>
              <w:rPr/>
              <w:t>供应商须具有合格有效的《食品经营许可证》</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报价一览表及分项报价表 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报价一览表及分项报价表 中小企业声明函 残疾人福利性单位声明函 服务方案 标的清单 报价表 响应函 监狱企业的证明文件</w:t>
            </w:r>
          </w:p>
        </w:tc>
      </w:tr>
      <w:tr>
        <w:tc>
          <w:tcPr>
            <w:tcW w:type="dxa" w:w="831"/>
          </w:tcPr>
          <w:p>
            <w:pPr>
              <w:pStyle w:val="null3"/>
            </w:pPr>
            <w:r>
              <w:rPr/>
              <w:t>3</w:t>
            </w:r>
          </w:p>
        </w:tc>
        <w:tc>
          <w:tcPr>
            <w:tcW w:type="dxa" w:w="2492"/>
          </w:tcPr>
          <w:p>
            <w:pPr>
              <w:pStyle w:val="null3"/>
            </w:pPr>
            <w:r>
              <w:rPr/>
              <w:t>是否专门面向中小企业采购</w:t>
            </w:r>
          </w:p>
        </w:tc>
        <w:tc>
          <w:tcPr>
            <w:tcW w:type="dxa" w:w="3322"/>
          </w:tcPr>
          <w:p>
            <w:pPr>
              <w:pStyle w:val="null3"/>
            </w:pPr>
            <w:r>
              <w:rPr/>
              <w:t>本项目专门面向中小企业采购</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资格证明文件 报价一览表及分项报价表 中小企业声明函 残疾人福利性单位声明函 服务方案 标的清单 报价表 响应函 监狱企业的证明文件</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w:t>
            </w:r>
          </w:p>
        </w:tc>
        <w:tc>
          <w:tcPr>
            <w:tcW w:type="dxa" w:w="1661"/>
          </w:tcPr>
          <w:p>
            <w:pPr>
              <w:pStyle w:val="null3"/>
            </w:pPr>
            <w:r>
              <w:rPr/>
              <w:t>报价一览表及分项报价表 标的清单 报价表</w:t>
            </w:r>
          </w:p>
        </w:tc>
      </w:tr>
      <w:tr>
        <w:tc>
          <w:tcPr>
            <w:tcW w:type="dxa" w:w="831"/>
          </w:tcPr>
          <w:p>
            <w:pPr>
              <w:pStyle w:val="null3"/>
            </w:pPr>
            <w:r>
              <w:rPr/>
              <w:t>6</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资格证明文件 报价一览表及分项报价表 中小企业声明函 残疾人福利性单位声明函 服务方案 标的清单 报价表 响应函 监狱企业的证明文件</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资格证明文件 报价一览表及分项报价表 中小企业声明函 残疾人福利性单位声明函 服务方案 标的清单 报价表 响应函 监狱企业的证明文件</w:t>
            </w:r>
          </w:p>
        </w:tc>
      </w:tr>
      <w:tr>
        <w:tc>
          <w:tcPr>
            <w:tcW w:type="dxa" w:w="831"/>
          </w:tcPr>
          <w:p>
            <w:pPr>
              <w:pStyle w:val="null3"/>
            </w:pPr>
            <w:r>
              <w:rPr/>
              <w:t>8</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响应文件封面 资格证明文件 报价一览表及分项报价表 中小企业声明函 残疾人福利性单位声明函 服务方案 标的清单 报价表 响应函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资格证明文件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食堂管理方案</w:t>
            </w:r>
          </w:p>
        </w:tc>
        <w:tc>
          <w:tcPr>
            <w:tcW w:type="dxa" w:w="2492"/>
          </w:tcPr>
          <w:p>
            <w:pPr>
              <w:pStyle w:val="null3"/>
            </w:pPr>
            <w:r>
              <w:rPr/>
              <w:t>食堂管理方案考虑全面，不漏项，专业性、系统性强，操作可行得7.1-10分； 食堂管理方案考虑较为全面，基本不漏项，专业性、系统性较强，操作可行性较强得4.1-7分； 食堂管理方案考虑不全，有明显漏项，专业性、系统性不强，操作可行性差得0.1-4分。未提供不计分。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人员配备设置合理，管理及专业人员配备齐全、分工明确、职责清晰得7.1-10分； 人员配备设置较合理，管理及专业人员配备齐全、分工及岗位职责较清晰得4.1-7分； 人员配备设置基本合理，管理及专业人员分工及岗位职责不清晰得0.1-4分。未提供不计分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厨房设备使用管理、餐具消毒等方案</w:t>
            </w:r>
          </w:p>
        </w:tc>
        <w:tc>
          <w:tcPr>
            <w:tcW w:type="dxa" w:w="2492"/>
          </w:tcPr>
          <w:p>
            <w:pPr>
              <w:pStyle w:val="null3"/>
            </w:pPr>
            <w:r>
              <w:rPr/>
              <w:t>方案具体、完整、可操作性强得6.1-8分。 方案较具体、完整、可操作性一般得4.1-6分 方案基本具体、完整、可操作性差得0.1-4分。未提供不计分。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食堂内部及周边卫生、保洁服务方案</w:t>
            </w:r>
          </w:p>
        </w:tc>
        <w:tc>
          <w:tcPr>
            <w:tcW w:type="dxa" w:w="2492"/>
          </w:tcPr>
          <w:p>
            <w:pPr>
              <w:pStyle w:val="null3"/>
            </w:pPr>
            <w:r>
              <w:rPr/>
              <w:t>方案具体、完整、可操作性强得6.1-8分。 方案较具体、完整、可操作性一般得4.1-6分 方案基本具体、完整、可操作性差得0.1-4分。未提供不计分。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人员培训</w:t>
            </w:r>
          </w:p>
        </w:tc>
        <w:tc>
          <w:tcPr>
            <w:tcW w:type="dxa" w:w="2492"/>
          </w:tcPr>
          <w:p>
            <w:pPr>
              <w:pStyle w:val="null3"/>
            </w:pPr>
            <w:r>
              <w:rPr/>
              <w:t>对各类人员的岗前培训计划、方式、目标及言行规范、仪容仪表、公众形象等全项内容全面得6.1-8分； 对各类人员的岗前培训计划、方式、目标及言行规范、仪容仪表、公众形象等全项内容较全面得4.1-6分； 对各类人员的岗前培训计划、方式、目标及言行规范、仪容仪表、公众形象等全项内容差得0.1-4分。未提供不计分。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食品制作、加工服务方案</w:t>
            </w:r>
          </w:p>
        </w:tc>
        <w:tc>
          <w:tcPr>
            <w:tcW w:type="dxa" w:w="2492"/>
          </w:tcPr>
          <w:p>
            <w:pPr>
              <w:pStyle w:val="null3"/>
            </w:pPr>
            <w:r>
              <w:rPr/>
              <w:t>食品制作、加工服务方案： 方案具体、完整、可操作性强得3-6分； 方案具体、较完整、可操作性较强得0-3分。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食品安全保障措施</w:t>
            </w:r>
          </w:p>
        </w:tc>
        <w:tc>
          <w:tcPr>
            <w:tcW w:type="dxa" w:w="2492"/>
          </w:tcPr>
          <w:p>
            <w:pPr>
              <w:pStyle w:val="null3"/>
            </w:pPr>
            <w:r>
              <w:rPr/>
              <w:t>食品安全保障措施全面、可行、细致全面得7.1-10分；食品安全保障措施较全面、较可行、较细致全面得4.1-7分；食品安全保障措施全面性、可行性、细致全面度一般得0.1-4分。未提供不计分。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针对突发事件（包括防火、防盗、防事故及停水、停电等其他突发事件）的应急预案，详细，实用，切实可行得3.1-6分； 突发事件应急预案，详细，实用，可行性差得0.1-3分。未提供不计分。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对比各供应商服务承诺，承诺事项具体、可行、可操作性强得7-10分；承诺事项较具体、可行、可操作性较强得4-7分；承诺事项不具体或较差得0-4分。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合理化建议详细、具体、可行得2.1-4分； 合理化建议较具体、基本可行得0.1-2分。未提供不计分。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具有2021年1月1日至今类似业绩，提供一个计2.5分，本项最多得10分。未提供不得分。 注：业绩证明资料以合同或中标（成交）通知书为准。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价格分统一采用低价优先法计算，即满足磋商文件要求且最终报价最低的磋商报价为磋商基准价，其价格分为满分。其他供应商的价格分统一按照下列公式计算： 磋商报价得分=(磋商基准价／磋商报价)×10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 磋商供应商不能证明其报价合理性的，磋商小组应当将其作为无效投标处理。 2、本项目专门面向中小企业，不享受优惠政策。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报价一览表及分项报价表</w:t>
            </w:r>
          </w:p>
          <w:p>
            <w:pPr>
              <w:pStyle w:val="null3"/>
            </w:pPr>
            <w:r>
              <w:rPr/>
              <w:t>残疾人福利性单位声明函</w:t>
            </w:r>
          </w:p>
          <w:p>
            <w:pPr>
              <w:pStyle w:val="null3"/>
            </w:pPr>
            <w:r>
              <w:rPr/>
              <w:t>监狱企业的证明文件</w:t>
            </w:r>
          </w:p>
          <w:p>
            <w:pPr>
              <w:pStyle w:val="null3"/>
            </w:pPr>
            <w:r>
              <w:rPr/>
              <w:t>中小企业声明函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详见附件：报价一览表及分项报价表</w:t>
      </w:r>
    </w:p>
    <w:p>
      <w:pPr>
        <w:pStyle w:val="null3"/>
        <w:ind w:firstLine="960"/>
      </w:pPr>
      <w:r>
        <w:rPr/>
        <w:t>详见附件：资格证明文件</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