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ED217">
      <w:pPr>
        <w:pStyle w:val="3"/>
        <w:spacing w:before="0" w:after="360" w:line="360" w:lineRule="auto"/>
        <w:jc w:val="center"/>
        <w:rPr>
          <w:rFonts w:hint="eastAsia" w:ascii="宋体" w:hAnsi="宋体"/>
          <w:b w:val="0"/>
          <w:bCs/>
          <w:color w:val="000000"/>
          <w:sz w:val="36"/>
          <w:szCs w:val="36"/>
        </w:rPr>
      </w:pPr>
      <w:bookmarkStart w:id="0" w:name="_Toc217446086"/>
      <w:bookmarkStart w:id="1" w:name="_Toc217446087"/>
      <w:r>
        <w:rPr>
          <w:rFonts w:hint="eastAsia" w:ascii="宋体" w:hAnsi="宋体"/>
          <w:b w:val="0"/>
          <w:bCs/>
          <w:color w:val="000000"/>
          <w:sz w:val="36"/>
          <w:szCs w:val="36"/>
        </w:rPr>
        <w:t>分项报价明细表</w:t>
      </w:r>
    </w:p>
    <w:tbl>
      <w:tblPr>
        <w:tblStyle w:val="7"/>
        <w:tblW w:w="1373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54"/>
        <w:gridCol w:w="707"/>
        <w:gridCol w:w="909"/>
        <w:gridCol w:w="1138"/>
        <w:gridCol w:w="1138"/>
        <w:gridCol w:w="1138"/>
        <w:gridCol w:w="2037"/>
        <w:gridCol w:w="1628"/>
        <w:gridCol w:w="1420"/>
        <w:gridCol w:w="1448"/>
        <w:gridCol w:w="1420"/>
      </w:tblGrid>
      <w:tr w14:paraId="6991E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0" w:hRule="atLeast"/>
        </w:trPr>
        <w:tc>
          <w:tcPr>
            <w:tcW w:w="754" w:type="dxa"/>
            <w:vMerge w:val="restart"/>
            <w:shd w:val="clear" w:color="auto" w:fill="auto"/>
            <w:vAlign w:val="center"/>
          </w:tcPr>
          <w:p w14:paraId="54E4DB04">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编号</w:t>
            </w:r>
          </w:p>
        </w:tc>
        <w:tc>
          <w:tcPr>
            <w:tcW w:w="707" w:type="dxa"/>
            <w:vMerge w:val="restart"/>
            <w:shd w:val="clear" w:color="auto" w:fill="auto"/>
            <w:vAlign w:val="center"/>
          </w:tcPr>
          <w:p w14:paraId="70E4312E">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名称</w:t>
            </w:r>
          </w:p>
        </w:tc>
        <w:tc>
          <w:tcPr>
            <w:tcW w:w="909" w:type="dxa"/>
            <w:vMerge w:val="restart"/>
            <w:shd w:val="clear" w:color="auto" w:fill="auto"/>
            <w:vAlign w:val="center"/>
          </w:tcPr>
          <w:p w14:paraId="7D3DCA8B">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形制</w:t>
            </w:r>
          </w:p>
        </w:tc>
        <w:tc>
          <w:tcPr>
            <w:tcW w:w="5451" w:type="dxa"/>
            <w:gridSpan w:val="4"/>
            <w:shd w:val="clear" w:color="auto" w:fill="auto"/>
            <w:vAlign w:val="center"/>
          </w:tcPr>
          <w:p w14:paraId="3A1AC432">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墓室</w:t>
            </w:r>
          </w:p>
        </w:tc>
        <w:tc>
          <w:tcPr>
            <w:tcW w:w="1628" w:type="dxa"/>
            <w:vMerge w:val="restart"/>
            <w:shd w:val="clear" w:color="auto" w:fill="auto"/>
            <w:vAlign w:val="center"/>
          </w:tcPr>
          <w:p w14:paraId="5163089F">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Style w:val="9"/>
                <w:rFonts w:hint="eastAsia" w:asciiTheme="minorEastAsia" w:hAnsiTheme="minorEastAsia" w:eastAsiaTheme="minorEastAsia" w:cstheme="minorEastAsia"/>
                <w:sz w:val="21"/>
                <w:szCs w:val="21"/>
                <w:lang w:val="en-US" w:eastAsia="zh-CN" w:bidi="ar"/>
              </w:rPr>
              <w:t>总面积（平方米）</w:t>
            </w:r>
          </w:p>
        </w:tc>
        <w:tc>
          <w:tcPr>
            <w:tcW w:w="1420" w:type="dxa"/>
            <w:vMerge w:val="restart"/>
            <w:shd w:val="clear" w:color="auto" w:fill="auto"/>
            <w:vAlign w:val="center"/>
          </w:tcPr>
          <w:p w14:paraId="561D9BC1">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系数</w:t>
            </w:r>
          </w:p>
        </w:tc>
        <w:tc>
          <w:tcPr>
            <w:tcW w:w="1448" w:type="dxa"/>
            <w:vMerge w:val="restart"/>
            <w:shd w:val="clear" w:color="auto" w:fill="auto"/>
            <w:vAlign w:val="center"/>
          </w:tcPr>
          <w:p w14:paraId="014CEDBE">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1"/>
                <w:szCs w:val="21"/>
                <w:u w:val="none"/>
                <w:lang w:val="en-US" w:eastAsia="zh-CN" w:bidi="ar"/>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发掘费</w:t>
            </w:r>
          </w:p>
          <w:p w14:paraId="59D9DA01">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1"/>
                <w:szCs w:val="21"/>
                <w:u w:val="none"/>
                <w:lang w:val="en-US" w:eastAsia="zh-CN" w:bidi="ar"/>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（元）</w:t>
            </w:r>
          </w:p>
        </w:tc>
        <w:tc>
          <w:tcPr>
            <w:tcW w:w="1420" w:type="dxa"/>
            <w:vMerge w:val="restart"/>
            <w:shd w:val="clear" w:color="auto" w:fill="auto"/>
            <w:vAlign w:val="center"/>
          </w:tcPr>
          <w:p w14:paraId="7AD631E0">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1"/>
                <w:szCs w:val="21"/>
                <w:u w:val="none"/>
                <w:lang w:val="en-US" w:eastAsia="zh-CN" w:bidi="ar"/>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备注</w:t>
            </w:r>
          </w:p>
        </w:tc>
      </w:tr>
      <w:tr w14:paraId="48CBE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0" w:hRule="atLeast"/>
        </w:trPr>
        <w:tc>
          <w:tcPr>
            <w:tcW w:w="754" w:type="dxa"/>
            <w:vMerge w:val="continue"/>
            <w:shd w:val="clear" w:color="auto" w:fill="auto"/>
            <w:vAlign w:val="center"/>
          </w:tcPr>
          <w:p w14:paraId="64CFC859">
            <w:pPr>
              <w:jc w:val="center"/>
              <w:rPr>
                <w:rFonts w:hint="eastAsia" w:asciiTheme="minorEastAsia" w:hAnsiTheme="minorEastAsia" w:eastAsiaTheme="minorEastAsia" w:cstheme="minorEastAsia"/>
                <w:b/>
                <w:bCs/>
                <w:i w:val="0"/>
                <w:iCs w:val="0"/>
                <w:color w:val="000000"/>
                <w:sz w:val="21"/>
                <w:szCs w:val="21"/>
                <w:u w:val="none"/>
              </w:rPr>
            </w:pPr>
          </w:p>
        </w:tc>
        <w:tc>
          <w:tcPr>
            <w:tcW w:w="707" w:type="dxa"/>
            <w:vMerge w:val="continue"/>
            <w:shd w:val="clear" w:color="auto" w:fill="auto"/>
            <w:vAlign w:val="center"/>
          </w:tcPr>
          <w:p w14:paraId="53AB04C8">
            <w:pPr>
              <w:jc w:val="center"/>
              <w:rPr>
                <w:rFonts w:hint="eastAsia" w:asciiTheme="minorEastAsia" w:hAnsiTheme="minorEastAsia" w:eastAsiaTheme="minorEastAsia" w:cstheme="minorEastAsia"/>
                <w:b/>
                <w:bCs/>
                <w:i w:val="0"/>
                <w:iCs w:val="0"/>
                <w:color w:val="000000"/>
                <w:sz w:val="21"/>
                <w:szCs w:val="21"/>
                <w:u w:val="none"/>
              </w:rPr>
            </w:pPr>
          </w:p>
        </w:tc>
        <w:tc>
          <w:tcPr>
            <w:tcW w:w="909" w:type="dxa"/>
            <w:vMerge w:val="continue"/>
            <w:shd w:val="clear" w:color="auto" w:fill="auto"/>
            <w:vAlign w:val="center"/>
          </w:tcPr>
          <w:p w14:paraId="05D65465">
            <w:pPr>
              <w:jc w:val="center"/>
              <w:rPr>
                <w:rFonts w:hint="eastAsia" w:asciiTheme="minorEastAsia" w:hAnsiTheme="minorEastAsia" w:eastAsiaTheme="minorEastAsia" w:cstheme="minorEastAsia"/>
                <w:b/>
                <w:bCs/>
                <w:i w:val="0"/>
                <w:iCs w:val="0"/>
                <w:color w:val="000000"/>
                <w:sz w:val="21"/>
                <w:szCs w:val="21"/>
                <w:u w:val="none"/>
              </w:rPr>
            </w:pPr>
          </w:p>
        </w:tc>
        <w:tc>
          <w:tcPr>
            <w:tcW w:w="1138" w:type="dxa"/>
            <w:shd w:val="clear" w:color="auto" w:fill="auto"/>
            <w:vAlign w:val="center"/>
          </w:tcPr>
          <w:p w14:paraId="6292ED18">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长（米）</w:t>
            </w:r>
          </w:p>
        </w:tc>
        <w:tc>
          <w:tcPr>
            <w:tcW w:w="1138" w:type="dxa"/>
            <w:shd w:val="clear" w:color="auto" w:fill="auto"/>
            <w:vAlign w:val="center"/>
          </w:tcPr>
          <w:p w14:paraId="2B86BCFC">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宽（米）</w:t>
            </w:r>
          </w:p>
        </w:tc>
        <w:tc>
          <w:tcPr>
            <w:tcW w:w="1138" w:type="dxa"/>
            <w:shd w:val="clear" w:color="auto" w:fill="auto"/>
            <w:vAlign w:val="center"/>
          </w:tcPr>
          <w:p w14:paraId="01C3BB2A">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深（米）</w:t>
            </w:r>
          </w:p>
        </w:tc>
        <w:tc>
          <w:tcPr>
            <w:tcW w:w="2037" w:type="dxa"/>
            <w:shd w:val="clear" w:color="auto" w:fill="auto"/>
            <w:vAlign w:val="center"/>
          </w:tcPr>
          <w:p w14:paraId="3418E9CE">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Style w:val="9"/>
                <w:rFonts w:hint="eastAsia" w:asciiTheme="minorEastAsia" w:hAnsiTheme="minorEastAsia" w:eastAsiaTheme="minorEastAsia" w:cstheme="minorEastAsia"/>
                <w:sz w:val="21"/>
                <w:szCs w:val="21"/>
                <w:lang w:val="en-US" w:eastAsia="zh-CN" w:bidi="ar"/>
              </w:rPr>
              <w:t>面积（平方米）</w:t>
            </w:r>
          </w:p>
        </w:tc>
        <w:tc>
          <w:tcPr>
            <w:tcW w:w="1628" w:type="dxa"/>
            <w:vMerge w:val="continue"/>
            <w:shd w:val="clear" w:color="auto" w:fill="auto"/>
            <w:vAlign w:val="center"/>
          </w:tcPr>
          <w:p w14:paraId="04375DB9">
            <w:pPr>
              <w:jc w:val="center"/>
              <w:rPr>
                <w:rFonts w:hint="eastAsia" w:asciiTheme="minorEastAsia" w:hAnsiTheme="minorEastAsia" w:eastAsiaTheme="minorEastAsia" w:cstheme="minorEastAsia"/>
                <w:b/>
                <w:bCs/>
                <w:i w:val="0"/>
                <w:iCs w:val="0"/>
                <w:color w:val="000000"/>
                <w:sz w:val="21"/>
                <w:szCs w:val="21"/>
                <w:u w:val="none"/>
              </w:rPr>
            </w:pPr>
          </w:p>
        </w:tc>
        <w:tc>
          <w:tcPr>
            <w:tcW w:w="1420" w:type="dxa"/>
            <w:vMerge w:val="continue"/>
            <w:shd w:val="clear" w:color="auto" w:fill="auto"/>
            <w:vAlign w:val="center"/>
          </w:tcPr>
          <w:p w14:paraId="0168644B">
            <w:pPr>
              <w:jc w:val="center"/>
              <w:rPr>
                <w:rFonts w:hint="eastAsia" w:asciiTheme="minorEastAsia" w:hAnsiTheme="minorEastAsia" w:eastAsiaTheme="minorEastAsia" w:cstheme="minorEastAsia"/>
                <w:b/>
                <w:bCs/>
                <w:i w:val="0"/>
                <w:iCs w:val="0"/>
                <w:color w:val="000000"/>
                <w:sz w:val="21"/>
                <w:szCs w:val="21"/>
                <w:u w:val="none"/>
              </w:rPr>
            </w:pPr>
          </w:p>
        </w:tc>
        <w:tc>
          <w:tcPr>
            <w:tcW w:w="1448" w:type="dxa"/>
            <w:vMerge w:val="continue"/>
            <w:shd w:val="clear" w:color="auto" w:fill="auto"/>
            <w:vAlign w:val="center"/>
          </w:tcPr>
          <w:p w14:paraId="1C48CB07">
            <w:pPr>
              <w:jc w:val="center"/>
              <w:rPr>
                <w:rFonts w:hint="eastAsia" w:asciiTheme="minorEastAsia" w:hAnsiTheme="minorEastAsia" w:eastAsiaTheme="minorEastAsia" w:cstheme="minorEastAsia"/>
                <w:b/>
                <w:bCs/>
                <w:i w:val="0"/>
                <w:iCs w:val="0"/>
                <w:color w:val="000000"/>
                <w:sz w:val="21"/>
                <w:szCs w:val="21"/>
                <w:u w:val="none"/>
              </w:rPr>
            </w:pPr>
          </w:p>
        </w:tc>
        <w:tc>
          <w:tcPr>
            <w:tcW w:w="1420" w:type="dxa"/>
            <w:vMerge w:val="continue"/>
            <w:shd w:val="clear" w:color="auto" w:fill="auto"/>
            <w:vAlign w:val="center"/>
          </w:tcPr>
          <w:p w14:paraId="70D3D9CD">
            <w:pPr>
              <w:jc w:val="center"/>
              <w:rPr>
                <w:rFonts w:hint="eastAsia" w:asciiTheme="minorEastAsia" w:hAnsiTheme="minorEastAsia" w:eastAsiaTheme="minorEastAsia" w:cstheme="minorEastAsia"/>
                <w:b/>
                <w:bCs/>
                <w:i w:val="0"/>
                <w:iCs w:val="0"/>
                <w:color w:val="000000"/>
                <w:sz w:val="21"/>
                <w:szCs w:val="21"/>
                <w:u w:val="none"/>
              </w:rPr>
            </w:pPr>
          </w:p>
        </w:tc>
      </w:tr>
      <w:tr w14:paraId="7512E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0" w:hRule="atLeast"/>
        </w:trPr>
        <w:tc>
          <w:tcPr>
            <w:tcW w:w="754" w:type="dxa"/>
            <w:shd w:val="clear" w:color="auto" w:fill="auto"/>
            <w:vAlign w:val="center"/>
          </w:tcPr>
          <w:p w14:paraId="3DF39E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T</w:t>
            </w:r>
          </w:p>
        </w:tc>
        <w:tc>
          <w:tcPr>
            <w:tcW w:w="707" w:type="dxa"/>
            <w:shd w:val="clear" w:color="auto" w:fill="auto"/>
            <w:vAlign w:val="center"/>
          </w:tcPr>
          <w:p w14:paraId="1AF5C3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探方</w:t>
            </w:r>
          </w:p>
        </w:tc>
        <w:tc>
          <w:tcPr>
            <w:tcW w:w="909" w:type="dxa"/>
            <w:shd w:val="clear" w:color="auto" w:fill="auto"/>
            <w:vAlign w:val="center"/>
          </w:tcPr>
          <w:p w14:paraId="16579B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正方形</w:t>
            </w:r>
          </w:p>
        </w:tc>
        <w:tc>
          <w:tcPr>
            <w:tcW w:w="1138" w:type="dxa"/>
            <w:shd w:val="clear" w:color="auto" w:fill="auto"/>
            <w:vAlign w:val="center"/>
          </w:tcPr>
          <w:p w14:paraId="41125BA1">
            <w:pPr>
              <w:jc w:val="center"/>
              <w:rPr>
                <w:rFonts w:hint="eastAsia" w:asciiTheme="minorEastAsia" w:hAnsiTheme="minorEastAsia" w:eastAsiaTheme="minorEastAsia" w:cstheme="minorEastAsia"/>
                <w:i w:val="0"/>
                <w:iCs w:val="0"/>
                <w:color w:val="000000"/>
                <w:sz w:val="21"/>
                <w:szCs w:val="21"/>
                <w:u w:val="none"/>
              </w:rPr>
            </w:pPr>
          </w:p>
        </w:tc>
        <w:tc>
          <w:tcPr>
            <w:tcW w:w="1138" w:type="dxa"/>
            <w:shd w:val="clear" w:color="auto" w:fill="auto"/>
            <w:vAlign w:val="center"/>
          </w:tcPr>
          <w:p w14:paraId="1E1ACB8C">
            <w:pPr>
              <w:jc w:val="center"/>
              <w:rPr>
                <w:rFonts w:hint="eastAsia" w:asciiTheme="minorEastAsia" w:hAnsiTheme="minorEastAsia" w:eastAsiaTheme="minorEastAsia" w:cstheme="minorEastAsia"/>
                <w:i w:val="0"/>
                <w:iCs w:val="0"/>
                <w:color w:val="000000"/>
                <w:sz w:val="21"/>
                <w:szCs w:val="21"/>
                <w:u w:val="none"/>
              </w:rPr>
            </w:pPr>
          </w:p>
        </w:tc>
        <w:tc>
          <w:tcPr>
            <w:tcW w:w="1138" w:type="dxa"/>
            <w:shd w:val="clear" w:color="auto" w:fill="auto"/>
            <w:vAlign w:val="center"/>
          </w:tcPr>
          <w:p w14:paraId="65EB2C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 xml:space="preserve">2.00 </w:t>
            </w:r>
          </w:p>
        </w:tc>
        <w:tc>
          <w:tcPr>
            <w:tcW w:w="2037" w:type="dxa"/>
            <w:shd w:val="clear" w:color="auto" w:fill="auto"/>
            <w:vAlign w:val="center"/>
          </w:tcPr>
          <w:p w14:paraId="08DFD0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 xml:space="preserve">3000.00 </w:t>
            </w:r>
          </w:p>
        </w:tc>
        <w:tc>
          <w:tcPr>
            <w:tcW w:w="1628" w:type="dxa"/>
            <w:shd w:val="clear" w:color="auto" w:fill="auto"/>
            <w:vAlign w:val="center"/>
          </w:tcPr>
          <w:p w14:paraId="342D43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 xml:space="preserve">3000.00 </w:t>
            </w:r>
          </w:p>
        </w:tc>
        <w:tc>
          <w:tcPr>
            <w:tcW w:w="1420" w:type="dxa"/>
            <w:shd w:val="clear" w:color="auto" w:fill="auto"/>
            <w:vAlign w:val="center"/>
          </w:tcPr>
          <w:p w14:paraId="3301CC4E">
            <w:pPr>
              <w:jc w:val="center"/>
              <w:rPr>
                <w:rFonts w:hint="eastAsia" w:asciiTheme="minorEastAsia" w:hAnsiTheme="minorEastAsia" w:eastAsiaTheme="minorEastAsia" w:cstheme="minorEastAsia"/>
                <w:i w:val="0"/>
                <w:iCs w:val="0"/>
                <w:color w:val="000000"/>
                <w:sz w:val="21"/>
                <w:szCs w:val="21"/>
                <w:u w:val="none"/>
              </w:rPr>
            </w:pPr>
          </w:p>
        </w:tc>
        <w:tc>
          <w:tcPr>
            <w:tcW w:w="1448" w:type="dxa"/>
            <w:shd w:val="clear" w:color="auto" w:fill="auto"/>
            <w:vAlign w:val="center"/>
          </w:tcPr>
          <w:p w14:paraId="3B528A14">
            <w:pPr>
              <w:jc w:val="center"/>
              <w:rPr>
                <w:rFonts w:hint="eastAsia" w:asciiTheme="minorEastAsia" w:hAnsiTheme="minorEastAsia" w:eastAsiaTheme="minorEastAsia" w:cstheme="minorEastAsia"/>
                <w:i w:val="0"/>
                <w:iCs w:val="0"/>
                <w:color w:val="000000"/>
                <w:sz w:val="21"/>
                <w:szCs w:val="21"/>
                <w:u w:val="none"/>
              </w:rPr>
            </w:pPr>
          </w:p>
        </w:tc>
        <w:tc>
          <w:tcPr>
            <w:tcW w:w="1420" w:type="dxa"/>
            <w:shd w:val="clear" w:color="auto" w:fill="auto"/>
            <w:vAlign w:val="center"/>
          </w:tcPr>
          <w:p w14:paraId="1ACDFAD4">
            <w:pPr>
              <w:jc w:val="center"/>
              <w:rPr>
                <w:rFonts w:hint="eastAsia" w:asciiTheme="minorEastAsia" w:hAnsiTheme="minorEastAsia" w:eastAsiaTheme="minorEastAsia" w:cstheme="minorEastAsia"/>
                <w:i w:val="0"/>
                <w:iCs w:val="0"/>
                <w:color w:val="000000"/>
                <w:sz w:val="21"/>
                <w:szCs w:val="21"/>
                <w:u w:val="none"/>
              </w:rPr>
            </w:pPr>
          </w:p>
        </w:tc>
      </w:tr>
      <w:tr w14:paraId="7E04B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54" w:type="dxa"/>
            <w:shd w:val="clear" w:color="auto" w:fill="auto"/>
            <w:vAlign w:val="center"/>
          </w:tcPr>
          <w:p w14:paraId="1657DE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合计</w:t>
            </w:r>
          </w:p>
        </w:tc>
        <w:tc>
          <w:tcPr>
            <w:tcW w:w="707" w:type="dxa"/>
            <w:shd w:val="clear" w:color="auto" w:fill="auto"/>
            <w:vAlign w:val="center"/>
          </w:tcPr>
          <w:p w14:paraId="0F14E9C5">
            <w:pPr>
              <w:jc w:val="center"/>
              <w:rPr>
                <w:rFonts w:hint="eastAsia" w:asciiTheme="minorEastAsia" w:hAnsiTheme="minorEastAsia" w:eastAsiaTheme="minorEastAsia" w:cstheme="minorEastAsia"/>
                <w:i w:val="0"/>
                <w:iCs w:val="0"/>
                <w:color w:val="000000"/>
                <w:sz w:val="21"/>
                <w:szCs w:val="21"/>
                <w:u w:val="none"/>
              </w:rPr>
            </w:pPr>
          </w:p>
        </w:tc>
        <w:tc>
          <w:tcPr>
            <w:tcW w:w="909" w:type="dxa"/>
            <w:shd w:val="clear" w:color="auto" w:fill="auto"/>
            <w:vAlign w:val="center"/>
          </w:tcPr>
          <w:p w14:paraId="0C5119FD">
            <w:pPr>
              <w:jc w:val="center"/>
              <w:rPr>
                <w:rFonts w:hint="eastAsia" w:asciiTheme="minorEastAsia" w:hAnsiTheme="minorEastAsia" w:eastAsiaTheme="minorEastAsia" w:cstheme="minorEastAsia"/>
                <w:i w:val="0"/>
                <w:iCs w:val="0"/>
                <w:color w:val="000000"/>
                <w:sz w:val="21"/>
                <w:szCs w:val="21"/>
                <w:u w:val="none"/>
              </w:rPr>
            </w:pPr>
          </w:p>
        </w:tc>
        <w:tc>
          <w:tcPr>
            <w:tcW w:w="1138" w:type="dxa"/>
            <w:shd w:val="clear" w:color="auto" w:fill="auto"/>
            <w:vAlign w:val="center"/>
          </w:tcPr>
          <w:p w14:paraId="6F4DC34E">
            <w:pPr>
              <w:jc w:val="center"/>
              <w:rPr>
                <w:rFonts w:hint="eastAsia" w:asciiTheme="minorEastAsia" w:hAnsiTheme="minorEastAsia" w:eastAsiaTheme="minorEastAsia" w:cstheme="minorEastAsia"/>
                <w:i w:val="0"/>
                <w:iCs w:val="0"/>
                <w:color w:val="000000"/>
                <w:sz w:val="21"/>
                <w:szCs w:val="21"/>
                <w:u w:val="none"/>
              </w:rPr>
            </w:pPr>
          </w:p>
        </w:tc>
        <w:tc>
          <w:tcPr>
            <w:tcW w:w="1138" w:type="dxa"/>
            <w:shd w:val="clear" w:color="auto" w:fill="auto"/>
            <w:vAlign w:val="center"/>
          </w:tcPr>
          <w:p w14:paraId="2AE7A5E5">
            <w:pPr>
              <w:jc w:val="center"/>
              <w:rPr>
                <w:rFonts w:hint="eastAsia" w:asciiTheme="minorEastAsia" w:hAnsiTheme="minorEastAsia" w:eastAsiaTheme="minorEastAsia" w:cstheme="minorEastAsia"/>
                <w:i w:val="0"/>
                <w:iCs w:val="0"/>
                <w:color w:val="000000"/>
                <w:sz w:val="21"/>
                <w:szCs w:val="21"/>
                <w:u w:val="none"/>
              </w:rPr>
            </w:pPr>
          </w:p>
        </w:tc>
        <w:tc>
          <w:tcPr>
            <w:tcW w:w="1138" w:type="dxa"/>
            <w:shd w:val="clear" w:color="auto" w:fill="auto"/>
            <w:vAlign w:val="center"/>
          </w:tcPr>
          <w:p w14:paraId="03B13E97">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 xml:space="preserve">2.00 </w:t>
            </w:r>
          </w:p>
        </w:tc>
        <w:tc>
          <w:tcPr>
            <w:tcW w:w="2037" w:type="dxa"/>
            <w:shd w:val="clear" w:color="auto" w:fill="auto"/>
            <w:vAlign w:val="center"/>
          </w:tcPr>
          <w:p w14:paraId="5B7A9ACB">
            <w:pPr>
              <w:jc w:val="center"/>
              <w:rPr>
                <w:rFonts w:hint="eastAsia" w:asciiTheme="minorEastAsia" w:hAnsiTheme="minorEastAsia" w:eastAsiaTheme="minorEastAsia" w:cstheme="minorEastAsia"/>
                <w:i w:val="0"/>
                <w:iCs w:val="0"/>
                <w:color w:val="000000"/>
                <w:sz w:val="21"/>
                <w:szCs w:val="21"/>
                <w:u w:val="none"/>
              </w:rPr>
            </w:pPr>
          </w:p>
        </w:tc>
        <w:tc>
          <w:tcPr>
            <w:tcW w:w="1628" w:type="dxa"/>
            <w:shd w:val="clear" w:color="auto" w:fill="auto"/>
            <w:vAlign w:val="center"/>
          </w:tcPr>
          <w:p w14:paraId="0DB7F221">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 xml:space="preserve">3000.00 </w:t>
            </w:r>
          </w:p>
        </w:tc>
        <w:tc>
          <w:tcPr>
            <w:tcW w:w="1420" w:type="dxa"/>
            <w:shd w:val="clear" w:color="auto" w:fill="auto"/>
            <w:vAlign w:val="center"/>
          </w:tcPr>
          <w:p w14:paraId="6BF99940">
            <w:pPr>
              <w:jc w:val="center"/>
              <w:rPr>
                <w:rFonts w:hint="eastAsia" w:asciiTheme="minorEastAsia" w:hAnsiTheme="minorEastAsia" w:eastAsiaTheme="minorEastAsia" w:cstheme="minorEastAsia"/>
                <w:i w:val="0"/>
                <w:iCs w:val="0"/>
                <w:color w:val="000000"/>
                <w:sz w:val="21"/>
                <w:szCs w:val="21"/>
                <w:u w:val="none"/>
              </w:rPr>
            </w:pPr>
          </w:p>
        </w:tc>
        <w:tc>
          <w:tcPr>
            <w:tcW w:w="1448" w:type="dxa"/>
            <w:shd w:val="clear" w:color="auto" w:fill="auto"/>
            <w:vAlign w:val="center"/>
          </w:tcPr>
          <w:p w14:paraId="4D2EAFEB">
            <w:pPr>
              <w:jc w:val="center"/>
              <w:rPr>
                <w:rFonts w:hint="eastAsia" w:asciiTheme="minorEastAsia" w:hAnsiTheme="minorEastAsia" w:eastAsiaTheme="minorEastAsia" w:cstheme="minorEastAsia"/>
                <w:i w:val="0"/>
                <w:iCs w:val="0"/>
                <w:color w:val="000000"/>
                <w:sz w:val="21"/>
                <w:szCs w:val="21"/>
                <w:u w:val="none"/>
              </w:rPr>
            </w:pPr>
          </w:p>
        </w:tc>
        <w:tc>
          <w:tcPr>
            <w:tcW w:w="1420" w:type="dxa"/>
            <w:shd w:val="clear" w:color="auto" w:fill="auto"/>
            <w:vAlign w:val="center"/>
          </w:tcPr>
          <w:p w14:paraId="5C7C9941">
            <w:pPr>
              <w:jc w:val="center"/>
              <w:rPr>
                <w:rFonts w:hint="eastAsia" w:asciiTheme="minorEastAsia" w:hAnsiTheme="minorEastAsia" w:eastAsiaTheme="minorEastAsia" w:cstheme="minorEastAsia"/>
                <w:i w:val="0"/>
                <w:iCs w:val="0"/>
                <w:color w:val="000000"/>
                <w:sz w:val="21"/>
                <w:szCs w:val="21"/>
                <w:u w:val="none"/>
              </w:rPr>
            </w:pPr>
          </w:p>
        </w:tc>
      </w:tr>
      <w:tr w14:paraId="3C29E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8" w:hRule="atLeast"/>
        </w:trPr>
        <w:tc>
          <w:tcPr>
            <w:tcW w:w="13737" w:type="dxa"/>
            <w:gridSpan w:val="11"/>
            <w:shd w:val="clear" w:color="auto" w:fill="auto"/>
            <w:vAlign w:val="center"/>
          </w:tcPr>
          <w:p w14:paraId="71F9535F">
            <w:pPr>
              <w:jc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sz w:val="21"/>
                <w:szCs w:val="22"/>
                <w:lang w:val="en-US" w:eastAsia="zh-CN"/>
              </w:rPr>
              <w:t>发掘费合计：（大写）                                      （小写）¥</w:t>
            </w:r>
          </w:p>
        </w:tc>
      </w:tr>
    </w:tbl>
    <w:p w14:paraId="0E593252">
      <w:pPr>
        <w:adjustRightInd w:val="0"/>
        <w:snapToGrid w:val="0"/>
        <w:spacing w:before="120" w:beforeLines="50"/>
        <w:ind w:left="-88" w:leftChars="-42" w:firstLine="210" w:firstLineChars="100"/>
        <w:rPr>
          <w:rFonts w:hint="eastAsia" w:ascii="宋体" w:hAnsi="宋体"/>
          <w:szCs w:val="21"/>
        </w:rPr>
      </w:pPr>
      <w:r>
        <w:rPr>
          <w:rFonts w:hint="eastAsia" w:ascii="宋体" w:hAnsi="宋体"/>
          <w:szCs w:val="21"/>
        </w:rPr>
        <w:t>注：1、该预算根据国家文物局（90）文物字第248号、《关于调整房屋建筑和市政基础设施工程工程量清单计价综合人工单价的通知陕建发〔2015〕319号》标准的定额预算。</w:t>
      </w:r>
    </w:p>
    <w:p w14:paraId="519249C7">
      <w:pPr>
        <w:adjustRightInd w:val="0"/>
        <w:snapToGrid w:val="0"/>
        <w:spacing w:before="120" w:beforeLines="50"/>
        <w:ind w:left="-88" w:leftChars="-42" w:firstLine="630" w:firstLineChars="300"/>
        <w:rPr>
          <w:rFonts w:hint="eastAsia" w:ascii="宋体" w:hAnsi="宋体"/>
          <w:szCs w:val="21"/>
        </w:rPr>
      </w:pPr>
      <w:r>
        <w:rPr>
          <w:rFonts w:hint="eastAsia" w:ascii="宋体" w:hAnsi="宋体"/>
          <w:szCs w:val="21"/>
        </w:rPr>
        <w:t>2、我院签订考古发掘费。安全保卫费、支护加固费、民工劳务费三项由建设单位自行委托。</w:t>
      </w:r>
    </w:p>
    <w:p w14:paraId="46DF1381">
      <w:pPr>
        <w:adjustRightInd w:val="0"/>
        <w:snapToGrid w:val="0"/>
        <w:spacing w:before="120" w:beforeLines="50"/>
        <w:ind w:left="-88" w:leftChars="-42" w:firstLine="630" w:firstLineChars="300"/>
        <w:rPr>
          <w:rFonts w:hint="eastAsia" w:ascii="宋体" w:hAnsi="宋体"/>
          <w:szCs w:val="21"/>
        </w:rPr>
      </w:pPr>
      <w:r>
        <w:rPr>
          <w:rFonts w:hint="eastAsia" w:ascii="宋体" w:hAnsi="宋体"/>
          <w:szCs w:val="21"/>
        </w:rPr>
        <w:t>3、根据国家文物局（90）文物字第248号，第二十六条 列支安全加固费，定额标准不得超过发掘费总额的5％。</w:t>
      </w:r>
    </w:p>
    <w:p w14:paraId="46F209A6">
      <w:pPr>
        <w:adjustRightInd w:val="0"/>
        <w:snapToGrid w:val="0"/>
        <w:spacing w:before="120" w:beforeLines="50" w:line="360" w:lineRule="auto"/>
        <w:ind w:left="-88" w:leftChars="-42" w:firstLine="210" w:firstLineChars="100"/>
        <w:rPr>
          <w:rFonts w:hint="eastAsia" w:ascii="宋体" w:hAnsi="宋体"/>
          <w:szCs w:val="21"/>
        </w:rPr>
      </w:pPr>
      <w:r>
        <w:rPr>
          <w:rFonts w:hint="eastAsia" w:ascii="宋体" w:hAnsi="宋体"/>
          <w:szCs w:val="21"/>
        </w:rPr>
        <w:t>说明：1.供应商必须按本</w:t>
      </w:r>
      <w:r>
        <w:rPr>
          <w:rFonts w:hint="eastAsia" w:ascii="宋体" w:hAnsi="宋体"/>
          <w:bCs/>
          <w:szCs w:val="21"/>
        </w:rPr>
        <w:t>表的格式</w:t>
      </w:r>
      <w:r>
        <w:rPr>
          <w:rFonts w:hint="eastAsia" w:ascii="宋体" w:hAnsi="宋体"/>
          <w:szCs w:val="21"/>
        </w:rPr>
        <w:t>详细报出</w:t>
      </w:r>
      <w:r>
        <w:rPr>
          <w:rFonts w:hint="eastAsia" w:ascii="宋体" w:hAnsi="宋体"/>
          <w:szCs w:val="21"/>
          <w:lang w:val="en-US" w:eastAsia="zh-CN"/>
        </w:rPr>
        <w:t>含税</w:t>
      </w:r>
      <w:r>
        <w:rPr>
          <w:rFonts w:hint="eastAsia" w:ascii="宋体" w:hAnsi="宋体"/>
          <w:szCs w:val="21"/>
        </w:rPr>
        <w:t>总</w:t>
      </w:r>
      <w:r>
        <w:rPr>
          <w:rFonts w:hint="eastAsia" w:ascii="宋体" w:hAnsi="宋体"/>
          <w:szCs w:val="21"/>
          <w:lang w:val="en-US" w:eastAsia="zh-CN"/>
        </w:rPr>
        <w:t>报</w:t>
      </w:r>
      <w:r>
        <w:rPr>
          <w:rFonts w:hint="eastAsia" w:ascii="宋体" w:hAnsi="宋体"/>
          <w:szCs w:val="21"/>
        </w:rPr>
        <w:t>价的各个组成部分的报价，否则作</w:t>
      </w:r>
      <w:r>
        <w:rPr>
          <w:rFonts w:hint="eastAsia" w:ascii="宋体" w:hAnsi="宋体"/>
          <w:b/>
          <w:szCs w:val="21"/>
        </w:rPr>
        <w:t>无效响应文件</w:t>
      </w:r>
      <w:r>
        <w:rPr>
          <w:rFonts w:hint="eastAsia" w:ascii="宋体" w:hAnsi="宋体"/>
          <w:szCs w:val="21"/>
        </w:rPr>
        <w:t>处理；报价精确到小数点后两位；</w:t>
      </w:r>
    </w:p>
    <w:p w14:paraId="236442CD">
      <w:pPr>
        <w:numPr>
          <w:ilvl w:val="0"/>
          <w:numId w:val="0"/>
        </w:numPr>
        <w:adjustRightInd w:val="0"/>
        <w:snapToGrid w:val="0"/>
        <w:spacing w:line="360" w:lineRule="auto"/>
        <w:ind w:left="-88" w:leftChars="-42" w:firstLine="840" w:firstLineChars="400"/>
        <w:rPr>
          <w:rFonts w:hint="eastAsia" w:ascii="宋体" w:hAnsi="宋体"/>
          <w:color w:val="000000"/>
          <w:szCs w:val="21"/>
          <w:lang w:eastAsia="zh-CN"/>
        </w:rPr>
      </w:pPr>
      <w:r>
        <w:rPr>
          <w:rFonts w:hint="eastAsia" w:ascii="宋体" w:hAnsi="宋体" w:eastAsia="宋体" w:cs="Times New Roman"/>
          <w:color w:val="000000"/>
          <w:kern w:val="2"/>
          <w:sz w:val="21"/>
          <w:szCs w:val="21"/>
          <w:lang w:val="en-US" w:eastAsia="zh-CN" w:bidi="ar-SA"/>
        </w:rPr>
        <w:t>2.</w:t>
      </w:r>
      <w:r>
        <w:rPr>
          <w:rFonts w:hint="eastAsia" w:ascii="宋体" w:hAnsi="宋体"/>
          <w:szCs w:val="21"/>
        </w:rPr>
        <w:t>本</w:t>
      </w:r>
      <w:r>
        <w:rPr>
          <w:rFonts w:hint="eastAsia" w:ascii="宋体" w:hAnsi="宋体"/>
          <w:bCs/>
          <w:szCs w:val="21"/>
        </w:rPr>
        <w:t>表各分项</w:t>
      </w:r>
      <w:r>
        <w:rPr>
          <w:rFonts w:hint="eastAsia" w:ascii="宋体" w:hAnsi="宋体"/>
          <w:bCs/>
          <w:szCs w:val="21"/>
          <w:lang w:val="en-US" w:eastAsia="zh-CN"/>
        </w:rPr>
        <w:t>发掘费</w:t>
      </w:r>
      <w:r>
        <w:rPr>
          <w:rFonts w:hint="eastAsia" w:ascii="宋体" w:hAnsi="宋体"/>
          <w:bCs/>
          <w:szCs w:val="21"/>
        </w:rPr>
        <w:t>合计应当与“</w:t>
      </w:r>
      <w:r>
        <w:rPr>
          <w:rFonts w:hint="eastAsia" w:ascii="宋体" w:hAnsi="宋体"/>
          <w:bCs/>
          <w:szCs w:val="21"/>
          <w:lang w:val="en-US" w:eastAsia="zh-CN"/>
        </w:rPr>
        <w:t>报价表</w:t>
      </w:r>
      <w:r>
        <w:rPr>
          <w:rFonts w:hint="eastAsia" w:ascii="宋体" w:hAnsi="宋体"/>
          <w:bCs/>
          <w:szCs w:val="21"/>
        </w:rPr>
        <w:t>”总价相等</w:t>
      </w:r>
      <w:r>
        <w:rPr>
          <w:rFonts w:hint="eastAsia" w:ascii="宋体" w:hAnsi="宋体"/>
          <w:color w:val="000000"/>
          <w:szCs w:val="21"/>
          <w:lang w:eastAsia="zh-CN"/>
        </w:rPr>
        <w:t>。</w:t>
      </w:r>
    </w:p>
    <w:p w14:paraId="77615C45">
      <w:pPr>
        <w:numPr>
          <w:ilvl w:val="0"/>
          <w:numId w:val="0"/>
        </w:numPr>
        <w:adjustRightInd w:val="0"/>
        <w:snapToGrid w:val="0"/>
        <w:spacing w:line="360" w:lineRule="auto"/>
        <w:ind w:firstLine="420" w:firstLineChars="200"/>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（盖单位章）</w:t>
      </w:r>
    </w:p>
    <w:p w14:paraId="33152151">
      <w:pPr>
        <w:adjustRightInd w:val="0"/>
        <w:spacing w:before="120" w:beforeLines="50" w:line="360" w:lineRule="auto"/>
        <w:ind w:firstLine="420" w:firstLineChars="200"/>
        <w:jc w:val="left"/>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val="en-US" w:eastAsia="zh-CN"/>
        </w:rPr>
        <w:t>签字或盖章</w:t>
      </w:r>
      <w:bookmarkStart w:id="2" w:name="_GoBack"/>
      <w:bookmarkEnd w:id="2"/>
      <w:r>
        <w:rPr>
          <w:rFonts w:hint="eastAsia" w:ascii="宋体" w:hAnsi="宋体"/>
          <w:color w:val="000000"/>
          <w:szCs w:val="21"/>
        </w:rPr>
        <w:t>）</w:t>
      </w:r>
    </w:p>
    <w:p w14:paraId="233CCC89">
      <w:pPr>
        <w:adjustRightInd w:val="0"/>
        <w:spacing w:before="120" w:beforeLines="50" w:line="360" w:lineRule="auto"/>
        <w:ind w:firstLine="420" w:firstLineChars="200"/>
        <w:jc w:val="left"/>
      </w:pPr>
      <w:r>
        <w:rPr>
          <w:rFonts w:hint="eastAsia" w:ascii="宋体" w:hAnsi="宋体"/>
          <w:color w:val="000000"/>
          <w:szCs w:val="21"/>
        </w:rPr>
        <w:t>日  期：</w:t>
      </w:r>
      <w:bookmarkEnd w:id="0"/>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1F030A9"/>
    <w:rsid w:val="135D5FE4"/>
    <w:rsid w:val="219757FB"/>
    <w:rsid w:val="369D1D37"/>
    <w:rsid w:val="5CC01D0D"/>
    <w:rsid w:val="5CE46DB3"/>
    <w:rsid w:val="6978741F"/>
    <w:rsid w:val="706A238E"/>
    <w:rsid w:val="74737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uiPriority w:val="0"/>
    <w:pPr>
      <w:ind w:firstLine="420"/>
    </w:pPr>
    <w:rPr>
      <w:szCs w:val="20"/>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customStyle="1" w:styleId="9">
    <w:name w:val="font21"/>
    <w:basedOn w:val="8"/>
    <w:qFormat/>
    <w:uiPriority w:val="0"/>
    <w:rPr>
      <w:rFonts w:hint="eastAsia" w:ascii="宋体" w:hAnsi="宋体" w:eastAsia="宋体" w:cs="宋体"/>
      <w:b/>
      <w:bCs/>
      <w:color w:val="000000"/>
      <w:sz w:val="16"/>
      <w:szCs w:val="16"/>
      <w:u w:val="none"/>
    </w:rPr>
  </w:style>
  <w:style w:type="character" w:customStyle="1" w:styleId="10">
    <w:name w:val="font51"/>
    <w:basedOn w:val="8"/>
    <w:qFormat/>
    <w:uiPriority w:val="0"/>
    <w:rPr>
      <w:rFonts w:hint="eastAsia" w:ascii="宋体" w:hAnsi="宋体" w:eastAsia="宋体" w:cs="宋体"/>
      <w:b/>
      <w:bCs/>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362</Words>
  <Characters>399</Characters>
  <Lines>0</Lines>
  <Paragraphs>0</Paragraphs>
  <TotalTime>5</TotalTime>
  <ScaleCrop>false</ScaleCrop>
  <LinksUpToDate>false</LinksUpToDate>
  <CharactersWithSpaces>485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2024-09-02T07:17:52Z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179661197AC44B13A40D837E68189358_12</vt:lpwstr>
  </property>
</Properties>
</file>