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仿宋" w:hAnsi="仿宋" w:eastAsia="仿宋" w:cs="仿宋"/>
        </w:rPr>
      </w:pPr>
      <w:r>
        <w:rPr>
          <w:rFonts w:hint="eastAsia" w:ascii="仿宋" w:hAnsi="仿宋" w:eastAsia="仿宋" w:cs="仿宋"/>
        </w:rPr>
        <w:t>采购需求</w:t>
      </w:r>
      <w:bookmarkStart w:id="0" w:name="_GoBack"/>
      <w:bookmarkEnd w:id="0"/>
    </w:p>
    <w:p>
      <w:pPr>
        <w:numPr>
          <w:ilvl w:val="0"/>
          <w:numId w:val="0"/>
        </w:numPr>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1、采购需求：</w:t>
      </w:r>
    </w:p>
    <w:p>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t xml:space="preserve">     </w:t>
      </w:r>
    </w:p>
    <w:tbl>
      <w:tblPr>
        <w:tblStyle w:val="8"/>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96"/>
        <w:gridCol w:w="875"/>
        <w:gridCol w:w="6773"/>
        <w:gridCol w:w="578"/>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产品名称</w:t>
            </w:r>
          </w:p>
        </w:tc>
        <w:tc>
          <w:tcPr>
            <w:tcW w:w="6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产品参数</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瘦终端</w:t>
            </w:r>
          </w:p>
        </w:tc>
        <w:tc>
          <w:tcPr>
            <w:tcW w:w="6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硬件参数：</w:t>
            </w:r>
            <w:r>
              <w:rPr>
                <w:rFonts w:hint="eastAsia" w:ascii="宋体" w:hAnsi="宋体" w:eastAsia="宋体" w:cs="宋体"/>
                <w:i w:val="0"/>
                <w:color w:val="000000"/>
                <w:kern w:val="0"/>
                <w:sz w:val="22"/>
                <w:szCs w:val="22"/>
                <w:u w:val="none"/>
                <w:lang w:val="en-US" w:eastAsia="zh-CN" w:bidi="ar"/>
              </w:rPr>
              <w:t>CPU主频≥ 1.5GHz，接口≥2百兆电口，接口类型≥1*HDMI高清，USB≥5*USB2.0。</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软件参数：</w:t>
            </w:r>
          </w:p>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产品需支持云终端分组管理、支持配置云终端定时开关机计划、支持开启“云终端加电自启”功能、支持配置是否自动下载并安装更新、支持批量移动/删除/关闭云终端、支持配置是否允许自动登录和保存密码。</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云桌面接入授权</w:t>
            </w:r>
          </w:p>
        </w:tc>
        <w:tc>
          <w:tcPr>
            <w:tcW w:w="6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接入授权≥50套</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软件参数：</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1.可按需选择多个虚拟机或全部虚拟机备份至外置存储。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2.可通过快照还原按钮自助进行系统盘快照还原操作，需要支持安卓瘦终端、PC客户端。</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3.支持视频重定向技术，视频文件不在服务器解码，直接重定向到终端本地解码，提升播放体验。</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4.支持桌面的终端安全准入，检测内容至少包括：终端类型、操作系统版本、接入IP和时间、软件安装情况等条件设置接入访问策略。</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5.支持黑白明白，在黑名单中可以通过配置规则禁止指定应用或进程在云桌面中运行，在白名单中通过配置规则只允许规则中的应用或进程在云桌面中运行。</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72" w:hRule="atLeast"/>
        </w:trPr>
        <w:tc>
          <w:tcPr>
            <w:tcW w:w="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云桌面服务器</w:t>
            </w:r>
          </w:p>
        </w:tc>
        <w:tc>
          <w:tcPr>
            <w:tcW w:w="6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硬件参数：</w:t>
            </w:r>
            <w:r>
              <w:rPr>
                <w:rFonts w:hint="eastAsia" w:ascii="宋体" w:hAnsi="宋体" w:eastAsia="宋体" w:cs="宋体"/>
                <w:i w:val="0"/>
                <w:color w:val="000000"/>
                <w:kern w:val="0"/>
                <w:sz w:val="22"/>
                <w:szCs w:val="22"/>
                <w:u w:val="none"/>
                <w:lang w:val="en-US" w:eastAsia="zh-CN" w:bidi="ar"/>
              </w:rPr>
              <w:t>规格：2U，CPU：2颗C86架构CPU，单颗CPU主频≥2.8GHz，单颗CPU核数≥16C，内存≥256GB DDR4 3200，系统盘≥2*240GB SATA，缓存盘≥2*960 SSD，数据盘≥6*4T，标配盘位数≥12，电源：冗余电源，接口数量≥4千兆电口+2万兆光口。</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软件参数：</w:t>
            </w:r>
            <w:r>
              <w:rPr>
                <w:rFonts w:hint="eastAsia" w:ascii="宋体" w:hAnsi="宋体" w:eastAsia="宋体" w:cs="宋体"/>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1.△桌面云终端在多应用并行运行的情况下，管理员可针对当下使用频率较高的应用软件做进程加速。</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2.△可以和原先单位内已经部署的云桌面集群进行统一云管平台管理，在一个云管平台上进行虚拟机业务的派发和管理操作，如需进行定制，定制费用由投标商自行承担并出具相关声明函。</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3.管理员可通过集群管理界面单点登录的模式跳转至其他站点集群的管理平台，实现对各分支桌面云平台的集中统一监管。</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4.△支持虚拟机防勒索功能，当检测到资产防护组件异常、疑似中勒索病毒时，平台能够自动触发快照。</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5.△支持链接克隆和完整复制虚拟机。</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支持将剪切板、PC设备和USB设备外发文件的操作禁止，且禁止后，可通过统一的导出文件设计模块导入，所有通过导出审计系统的文件将会加密备份到数据中心，以备后续审计使用，可疑的导出行为会产生告警。</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7.支持内存ECC自动纠错机制，当扫描到物理主机的内存条出现ECC CE和UE错误时，能够将对应内存空间进行隔离并定位故障内存的槽位。</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8.满足内嵌桌面防火墙的功能，在管理平台可配置基于ip、虚拟机、用户的ACL策略访问控制，提供不少于1000点的虚拟防火墙数量。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9.可实现软件资源占用统计以及业务软件的识别，针对软件资源占用进行统计分析，如果消耗较高要求提供告警，业务软件识别功能可以将特定软件标记为业务软件和非业务软件。</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10.支持用户自助申请虚拟机配置变更，管理员可以选择审批通过、修改申请配置以及驳回操作，审核通过资源自动加到用户虚拟机上，并且用户申请虚拟机配置变更可以直接指定给部门资产管理员审批。</w:t>
            </w:r>
          </w:p>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2"/>
                <w:szCs w:val="22"/>
                <w:u w:val="none"/>
                <w:lang w:val="en-US" w:eastAsia="zh-CN" w:bidi="ar"/>
              </w:rPr>
              <w:t>11.支持USB映射，兼容主流使用外设，如高拍仪、扫描枪、扫描仪、摄像头、密码小键盘、指纹收集器、身份证读卡器、手写板、打印机、USB-key等不同外设</w:t>
            </w:r>
            <w:r>
              <w:rPr>
                <w:rFonts w:hint="eastAsia" w:ascii="宋体" w:hAnsi="宋体" w:cs="宋体"/>
                <w:i w:val="0"/>
                <w:color w:val="000000"/>
                <w:kern w:val="0"/>
                <w:sz w:val="22"/>
                <w:szCs w:val="22"/>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90" w:hRule="atLeast"/>
        </w:trPr>
        <w:tc>
          <w:tcPr>
            <w:tcW w:w="296"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4</w:t>
            </w:r>
          </w:p>
        </w:tc>
        <w:tc>
          <w:tcPr>
            <w:tcW w:w="87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显示设备</w:t>
            </w:r>
          </w:p>
        </w:tc>
        <w:tc>
          <w:tcPr>
            <w:tcW w:w="677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1、屏幕尺寸：不小于27 英寸；</w:t>
            </w:r>
          </w:p>
          <w:p>
            <w:pPr>
              <w:keepNext w:val="0"/>
              <w:keepLines w:val="0"/>
              <w:widowControl/>
              <w:suppressLineNumbers w:val="0"/>
              <w:jc w:val="left"/>
              <w:textAlignment w:val="bottom"/>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2、分辨率：≥1920*1080，刷新率；75HZ，屏幕比例：</w:t>
            </w:r>
          </w:p>
          <w:p>
            <w:pPr>
              <w:keepNext w:val="0"/>
              <w:keepLines w:val="0"/>
              <w:widowControl/>
              <w:suppressLineNumbers w:val="0"/>
              <w:jc w:val="left"/>
              <w:textAlignment w:val="bottom"/>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16:9，对比度:1000:1；</w:t>
            </w:r>
          </w:p>
          <w:p>
            <w:pPr>
              <w:keepNext w:val="0"/>
              <w:keepLines w:val="0"/>
              <w:widowControl/>
              <w:suppressLineNumbers w:val="0"/>
              <w:jc w:val="left"/>
              <w:textAlignment w:val="bottom"/>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3、面板：IPS 技术；</w:t>
            </w:r>
          </w:p>
          <w:p>
            <w:pPr>
              <w:keepNext w:val="0"/>
              <w:keepLines w:val="0"/>
              <w:widowControl/>
              <w:suppressLineNumbers w:val="0"/>
              <w:jc w:val="left"/>
              <w:textAlignment w:val="bottom"/>
              <w:rPr>
                <w:rFonts w:hint="default" w:ascii="等线" w:hAnsi="等线" w:eastAsia="等线" w:cs="等线"/>
                <w:i w:val="0"/>
                <w:color w:val="000000"/>
                <w:kern w:val="0"/>
                <w:sz w:val="22"/>
                <w:szCs w:val="22"/>
                <w:u w:val="none"/>
                <w:lang w:val="en-US" w:eastAsia="zh-CN" w:bidi="ar"/>
              </w:rPr>
            </w:pPr>
            <w:r>
              <w:rPr>
                <w:rFonts w:hint="default" w:ascii="等线" w:hAnsi="等线" w:eastAsia="等线" w:cs="等线"/>
                <w:i w:val="0"/>
                <w:color w:val="000000"/>
                <w:kern w:val="0"/>
                <w:sz w:val="22"/>
                <w:szCs w:val="22"/>
                <w:u w:val="none"/>
                <w:lang w:val="en-US" w:eastAsia="zh-CN" w:bidi="ar"/>
              </w:rPr>
              <w:t>4、接口：至少包含HDMI ,VGA；</w:t>
            </w:r>
          </w:p>
          <w:p>
            <w:pPr>
              <w:keepNext w:val="0"/>
              <w:keepLines w:val="0"/>
              <w:widowControl/>
              <w:suppressLineNumbers w:val="0"/>
              <w:jc w:val="left"/>
              <w:textAlignment w:val="bottom"/>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5、响应时间：2MS-4MS；</w:t>
            </w:r>
          </w:p>
        </w:tc>
        <w:tc>
          <w:tcPr>
            <w:tcW w:w="5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50</w:t>
            </w:r>
          </w:p>
        </w:tc>
        <w:tc>
          <w:tcPr>
            <w:tcW w:w="5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rPr>
            </w:pPr>
            <w:r>
              <w:rPr>
                <w:rFonts w:hint="default" w:ascii="等线" w:hAnsi="等线" w:eastAsia="等线" w:cs="等线"/>
                <w:i w:val="0"/>
                <w:color w:val="000000"/>
                <w:kern w:val="0"/>
                <w:sz w:val="22"/>
                <w:szCs w:val="22"/>
                <w:u w:val="none"/>
                <w:lang w:val="en-US" w:eastAsia="zh-CN" w:bidi="ar"/>
              </w:rPr>
              <w:t>台</w:t>
            </w:r>
          </w:p>
        </w:tc>
      </w:tr>
    </w:tbl>
    <w:p>
      <w:pPr>
        <w:pStyle w:val="2"/>
        <w:rPr>
          <w:rFonts w:hint="eastAsia"/>
          <w:lang w:val="en-US" w:eastAsia="zh-CN"/>
        </w:rPr>
      </w:pPr>
    </w:p>
    <w:p>
      <w:pPr>
        <w:pStyle w:val="2"/>
        <w:rPr>
          <w:rFonts w:hint="eastAsia"/>
          <w:lang w:val="en-US" w:eastAsia="zh-CN"/>
        </w:rPr>
      </w:pPr>
      <w:r>
        <w:rPr>
          <w:rFonts w:hint="eastAsia" w:ascii="仿宋" w:hAnsi="仿宋" w:eastAsia="仿宋" w:cs="仿宋"/>
          <w:highlight w:val="none"/>
          <w:lang w:val="en-US" w:eastAsia="zh-CN"/>
        </w:rPr>
        <w:t xml:space="preserve">  </w:t>
      </w:r>
    </w:p>
    <w:p>
      <w:pPr>
        <w:numPr>
          <w:ilvl w:val="0"/>
          <w:numId w:val="0"/>
        </w:numPr>
        <w:ind w:leftChars="0"/>
        <w:rPr>
          <w:rFonts w:hint="eastAsia" w:ascii="仿宋" w:hAnsi="仿宋" w:eastAsia="仿宋" w:cs="仿宋"/>
          <w:b w:val="0"/>
          <w:kern w:val="0"/>
          <w:sz w:val="30"/>
          <w:szCs w:val="20"/>
          <w:lang w:val="en-US" w:eastAsia="zh-CN" w:bidi="ar-SA"/>
        </w:rPr>
      </w:pPr>
      <w:r>
        <w:rPr>
          <w:rFonts w:hint="eastAsia" w:ascii="仿宋" w:hAnsi="仿宋" w:eastAsia="仿宋" w:cs="仿宋"/>
          <w:b w:val="0"/>
          <w:kern w:val="0"/>
          <w:sz w:val="30"/>
          <w:szCs w:val="20"/>
          <w:lang w:val="en-US" w:eastAsia="zh-CN" w:bidi="ar-SA"/>
        </w:rPr>
        <w:t>2、商务要求：</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kern w:val="0"/>
          <w:sz w:val="30"/>
          <w:szCs w:val="20"/>
          <w:lang w:val="en-US" w:eastAsia="zh-CN" w:bidi="ar-SA"/>
        </w:rPr>
      </w:pPr>
      <w:r>
        <w:rPr>
          <w:rFonts w:hint="eastAsia" w:ascii="仿宋" w:hAnsi="仿宋" w:eastAsia="仿宋" w:cs="仿宋"/>
          <w:b w:val="0"/>
          <w:kern w:val="0"/>
          <w:sz w:val="30"/>
          <w:szCs w:val="20"/>
          <w:lang w:val="en-US" w:eastAsia="zh-CN" w:bidi="ar-SA"/>
        </w:rPr>
        <w:t>2-1、合同结算：</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kern w:val="0"/>
          <w:sz w:val="30"/>
          <w:szCs w:val="20"/>
          <w:lang w:val="en-US" w:eastAsia="zh-CN" w:bidi="ar-SA"/>
        </w:rPr>
      </w:pPr>
      <w:r>
        <w:rPr>
          <w:rFonts w:hint="eastAsia" w:ascii="仿宋" w:hAnsi="仿宋" w:eastAsia="仿宋" w:cs="仿宋"/>
          <w:b w:val="0"/>
          <w:kern w:val="0"/>
          <w:sz w:val="30"/>
          <w:szCs w:val="20"/>
          <w:lang w:val="en-US" w:eastAsia="zh-CN" w:bidi="ar-SA"/>
        </w:rPr>
        <w:t>2-1-1、</w:t>
      </w:r>
      <w:r>
        <w:rPr>
          <w:rFonts w:hint="eastAsia" w:ascii="仿宋" w:hAnsi="仿宋" w:eastAsia="仿宋" w:cs="仿宋"/>
          <w:b w:val="0"/>
          <w:kern w:val="0"/>
          <w:sz w:val="30"/>
          <w:szCs w:val="20"/>
          <w:lang w:val="zh-CN" w:eastAsia="zh-CN" w:bidi="ar-SA"/>
        </w:rPr>
        <w:t>付款比例：</w:t>
      </w:r>
      <w:r>
        <w:rPr>
          <w:rFonts w:hint="eastAsia" w:ascii="仿宋" w:hAnsi="仿宋" w:eastAsia="仿宋" w:cs="仿宋"/>
          <w:b w:val="0"/>
          <w:kern w:val="0"/>
          <w:sz w:val="30"/>
          <w:szCs w:val="20"/>
          <w:lang w:val="en-US" w:eastAsia="zh-CN" w:bidi="ar-SA"/>
        </w:rPr>
        <w:t>合同签订后支付合同总价款的60%,剩余40%项目整体验收合格后支付。</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kern w:val="0"/>
          <w:sz w:val="30"/>
          <w:szCs w:val="20"/>
          <w:lang w:val="zh-CN" w:eastAsia="zh-CN" w:bidi="ar-SA"/>
        </w:rPr>
      </w:pPr>
      <w:r>
        <w:rPr>
          <w:rFonts w:hint="eastAsia" w:ascii="仿宋" w:hAnsi="仿宋" w:eastAsia="仿宋" w:cs="仿宋"/>
          <w:b w:val="0"/>
          <w:kern w:val="0"/>
          <w:sz w:val="30"/>
          <w:szCs w:val="20"/>
          <w:lang w:val="en-US" w:eastAsia="zh-CN" w:bidi="ar-SA"/>
        </w:rPr>
        <w:t>2-1-</w:t>
      </w:r>
      <w:r>
        <w:rPr>
          <w:rFonts w:hint="eastAsia" w:ascii="仿宋" w:hAnsi="仿宋" w:eastAsia="仿宋" w:cs="仿宋"/>
          <w:b w:val="0"/>
          <w:kern w:val="0"/>
          <w:sz w:val="30"/>
          <w:szCs w:val="20"/>
          <w:lang w:val="zh-CN" w:eastAsia="zh-CN" w:bidi="ar-SA"/>
        </w:rPr>
        <w:t>2、结算方式：银行转账。</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kern w:val="0"/>
          <w:sz w:val="30"/>
          <w:szCs w:val="20"/>
          <w:lang w:val="zh-CN" w:eastAsia="zh-CN" w:bidi="ar-SA"/>
        </w:rPr>
      </w:pPr>
      <w:r>
        <w:rPr>
          <w:rFonts w:hint="eastAsia" w:ascii="仿宋" w:hAnsi="仿宋" w:eastAsia="仿宋" w:cs="仿宋"/>
          <w:b w:val="0"/>
          <w:kern w:val="0"/>
          <w:sz w:val="30"/>
          <w:szCs w:val="20"/>
          <w:lang w:val="en-US" w:eastAsia="zh-CN" w:bidi="ar-SA"/>
        </w:rPr>
        <w:t>2-1-3</w:t>
      </w:r>
      <w:r>
        <w:rPr>
          <w:rFonts w:hint="eastAsia" w:ascii="仿宋" w:hAnsi="仿宋" w:eastAsia="仿宋" w:cs="仿宋"/>
          <w:b w:val="0"/>
          <w:kern w:val="0"/>
          <w:sz w:val="30"/>
          <w:szCs w:val="20"/>
          <w:lang w:val="zh-CN" w:eastAsia="zh-CN" w:bidi="ar-SA"/>
        </w:rPr>
        <w:t>、结算单位：由采购人负责结算，</w:t>
      </w:r>
      <w:r>
        <w:rPr>
          <w:rFonts w:hint="eastAsia" w:ascii="仿宋" w:hAnsi="仿宋" w:eastAsia="仿宋" w:cs="仿宋"/>
          <w:b w:val="0"/>
          <w:kern w:val="0"/>
          <w:sz w:val="30"/>
          <w:szCs w:val="20"/>
          <w:lang w:val="en-US" w:eastAsia="zh-CN" w:bidi="ar-SA"/>
        </w:rPr>
        <w:t>投标人</w:t>
      </w:r>
      <w:r>
        <w:rPr>
          <w:rFonts w:hint="eastAsia" w:ascii="仿宋" w:hAnsi="仿宋" w:eastAsia="仿宋" w:cs="仿宋"/>
          <w:b w:val="0"/>
          <w:kern w:val="0"/>
          <w:sz w:val="30"/>
          <w:szCs w:val="20"/>
          <w:lang w:val="zh-CN" w:eastAsia="zh-CN" w:bidi="ar-SA"/>
        </w:rPr>
        <w:t>须向</w:t>
      </w:r>
      <w:r>
        <w:rPr>
          <w:rFonts w:hint="eastAsia" w:ascii="仿宋" w:hAnsi="仿宋" w:eastAsia="仿宋" w:cs="仿宋"/>
          <w:b w:val="0"/>
          <w:kern w:val="0"/>
          <w:sz w:val="30"/>
          <w:szCs w:val="20"/>
          <w:lang w:val="en-US" w:eastAsia="zh-CN" w:bidi="ar-SA"/>
        </w:rPr>
        <w:t>采购人</w:t>
      </w:r>
      <w:r>
        <w:rPr>
          <w:rFonts w:hint="eastAsia" w:ascii="仿宋" w:hAnsi="仿宋" w:eastAsia="仿宋" w:cs="仿宋"/>
          <w:b w:val="0"/>
          <w:kern w:val="0"/>
          <w:sz w:val="30"/>
          <w:szCs w:val="20"/>
          <w:lang w:val="zh-CN" w:eastAsia="zh-CN" w:bidi="ar-SA"/>
        </w:rPr>
        <w:t>出具合法有效的完税发票，</w:t>
      </w:r>
      <w:r>
        <w:rPr>
          <w:rFonts w:hint="eastAsia" w:ascii="仿宋" w:hAnsi="仿宋" w:eastAsia="仿宋" w:cs="仿宋"/>
          <w:b w:val="0"/>
          <w:kern w:val="0"/>
          <w:sz w:val="30"/>
          <w:szCs w:val="20"/>
          <w:lang w:val="en-US" w:eastAsia="zh-CN" w:bidi="ar-SA"/>
        </w:rPr>
        <w:t>采购人</w:t>
      </w:r>
      <w:r>
        <w:rPr>
          <w:rFonts w:hint="eastAsia" w:ascii="仿宋" w:hAnsi="仿宋" w:eastAsia="仿宋" w:cs="仿宋"/>
          <w:b w:val="0"/>
          <w:kern w:val="0"/>
          <w:sz w:val="30"/>
          <w:szCs w:val="20"/>
          <w:lang w:val="zh-CN" w:eastAsia="zh-CN" w:bidi="ar-SA"/>
        </w:rPr>
        <w:t>进行支付结算。</w:t>
      </w:r>
    </w:p>
    <w:p>
      <w:pPr>
        <w:pStyle w:val="6"/>
        <w:keepNext w:val="0"/>
        <w:keepLines w:val="0"/>
        <w:pageBreakBefore w:val="0"/>
        <w:widowControl w:val="0"/>
        <w:kinsoku/>
        <w:wordWrap/>
        <w:overflowPunct/>
        <w:topLinePunct w:val="0"/>
        <w:bidi w:val="0"/>
        <w:adjustRightInd w:val="0"/>
        <w:spacing w:line="500" w:lineRule="exact"/>
        <w:ind w:left="0" w:leftChars="0" w:firstLine="0" w:firstLineChars="0"/>
        <w:textAlignment w:val="auto"/>
        <w:rPr>
          <w:rFonts w:hint="eastAsia" w:ascii="仿宋" w:hAnsi="仿宋" w:eastAsia="仿宋" w:cs="仿宋"/>
          <w:b w:val="0"/>
          <w:kern w:val="0"/>
          <w:sz w:val="30"/>
          <w:szCs w:val="20"/>
          <w:lang w:val="en-US" w:eastAsia="zh-CN" w:bidi="ar-SA"/>
        </w:rPr>
      </w:pPr>
      <w:r>
        <w:rPr>
          <w:rFonts w:hint="eastAsia" w:ascii="仿宋" w:hAnsi="仿宋" w:eastAsia="仿宋" w:cs="仿宋"/>
          <w:b w:val="0"/>
          <w:kern w:val="0"/>
          <w:sz w:val="30"/>
          <w:szCs w:val="20"/>
          <w:lang w:val="en-US" w:eastAsia="zh-CN" w:bidi="ar-SA"/>
        </w:rPr>
        <w:t>2-2、交货条件</w:t>
      </w:r>
    </w:p>
    <w:p>
      <w:pPr>
        <w:pStyle w:val="6"/>
        <w:keepNext w:val="0"/>
        <w:keepLines w:val="0"/>
        <w:pageBreakBefore w:val="0"/>
        <w:widowControl w:val="0"/>
        <w:kinsoku/>
        <w:wordWrap/>
        <w:overflowPunct/>
        <w:topLinePunct w:val="0"/>
        <w:bidi w:val="0"/>
        <w:adjustRightInd w:val="0"/>
        <w:spacing w:line="500" w:lineRule="exact"/>
        <w:ind w:left="0" w:leftChars="0" w:firstLine="0" w:firstLineChars="0"/>
        <w:textAlignment w:val="auto"/>
        <w:rPr>
          <w:rFonts w:hint="eastAsia" w:ascii="仿宋" w:hAnsi="仿宋" w:eastAsia="仿宋" w:cs="仿宋"/>
          <w:b w:val="0"/>
          <w:kern w:val="0"/>
          <w:sz w:val="30"/>
          <w:szCs w:val="20"/>
          <w:lang w:val="en-US" w:eastAsia="zh-CN" w:bidi="ar-SA"/>
        </w:rPr>
      </w:pPr>
      <w:r>
        <w:rPr>
          <w:rFonts w:hint="eastAsia" w:ascii="仿宋" w:hAnsi="仿宋" w:eastAsia="仿宋" w:cs="仿宋"/>
          <w:b w:val="0"/>
          <w:kern w:val="0"/>
          <w:sz w:val="30"/>
          <w:szCs w:val="20"/>
          <w:lang w:val="en-US" w:eastAsia="zh-CN" w:bidi="ar-SA"/>
        </w:rPr>
        <w:t>2-2-1.交货期：自合同签订后20个工作日内供货并安装完成。</w:t>
      </w:r>
    </w:p>
    <w:p>
      <w:pPr>
        <w:pStyle w:val="6"/>
        <w:keepNext w:val="0"/>
        <w:keepLines w:val="0"/>
        <w:pageBreakBefore w:val="0"/>
        <w:widowControl w:val="0"/>
        <w:kinsoku/>
        <w:wordWrap/>
        <w:overflowPunct/>
        <w:topLinePunct w:val="0"/>
        <w:bidi w:val="0"/>
        <w:adjustRightInd w:val="0"/>
        <w:spacing w:line="500" w:lineRule="exact"/>
        <w:ind w:left="0" w:leftChars="0" w:firstLine="0" w:firstLineChars="0"/>
        <w:textAlignment w:val="auto"/>
        <w:rPr>
          <w:rFonts w:hint="eastAsia" w:ascii="仿宋" w:hAnsi="仿宋" w:eastAsia="仿宋" w:cs="仿宋"/>
          <w:b w:val="0"/>
          <w:kern w:val="0"/>
          <w:sz w:val="30"/>
          <w:szCs w:val="20"/>
          <w:lang w:val="en-US" w:eastAsia="zh-CN" w:bidi="ar-SA"/>
        </w:rPr>
      </w:pPr>
      <w:r>
        <w:rPr>
          <w:rFonts w:hint="eastAsia" w:ascii="仿宋" w:hAnsi="仿宋" w:eastAsia="仿宋" w:cs="仿宋"/>
          <w:b w:val="0"/>
          <w:kern w:val="0"/>
          <w:sz w:val="30"/>
          <w:szCs w:val="20"/>
          <w:lang w:val="en-US" w:eastAsia="zh-CN" w:bidi="ar-SA"/>
        </w:rPr>
        <w:t>2-2-2.交货地点：西安市灞桥区人民法院指定地点</w:t>
      </w:r>
    </w:p>
    <w:p>
      <w:pPr>
        <w:pStyle w:val="6"/>
        <w:keepNext w:val="0"/>
        <w:keepLines w:val="0"/>
        <w:pageBreakBefore w:val="0"/>
        <w:widowControl w:val="0"/>
        <w:kinsoku/>
        <w:wordWrap/>
        <w:overflowPunct/>
        <w:topLinePunct w:val="0"/>
        <w:bidi w:val="0"/>
        <w:adjustRightInd w:val="0"/>
        <w:spacing w:line="500" w:lineRule="exact"/>
        <w:ind w:left="0" w:leftChars="0" w:firstLine="0" w:firstLineChars="0"/>
        <w:textAlignment w:val="auto"/>
        <w:rPr>
          <w:rFonts w:hint="eastAsia" w:ascii="仿宋" w:hAnsi="仿宋" w:eastAsia="仿宋" w:cs="仿宋"/>
          <w:b w:val="0"/>
          <w:kern w:val="0"/>
          <w:sz w:val="30"/>
          <w:szCs w:val="20"/>
          <w:lang w:val="en-US" w:eastAsia="zh-CN" w:bidi="ar-SA"/>
        </w:rPr>
      </w:pPr>
      <w:r>
        <w:rPr>
          <w:rFonts w:hint="eastAsia" w:ascii="仿宋" w:hAnsi="仿宋" w:eastAsia="仿宋" w:cs="仿宋"/>
          <w:b w:val="0"/>
          <w:kern w:val="0"/>
          <w:sz w:val="30"/>
          <w:szCs w:val="20"/>
          <w:lang w:val="en-US" w:eastAsia="zh-CN" w:bidi="ar-SA"/>
        </w:rPr>
        <w:t>2-2-3.质量标准：符合国家相关验收规范“合格”标准</w:t>
      </w:r>
    </w:p>
    <w:p>
      <w:pPr>
        <w:pStyle w:val="6"/>
        <w:keepNext w:val="0"/>
        <w:keepLines w:val="0"/>
        <w:pageBreakBefore w:val="0"/>
        <w:widowControl w:val="0"/>
        <w:kinsoku/>
        <w:wordWrap/>
        <w:overflowPunct/>
        <w:topLinePunct w:val="0"/>
        <w:bidi w:val="0"/>
        <w:adjustRightInd w:val="0"/>
        <w:spacing w:line="500" w:lineRule="exact"/>
        <w:ind w:left="0" w:leftChars="0" w:firstLine="0" w:firstLineChars="0"/>
        <w:textAlignment w:val="auto"/>
        <w:rPr>
          <w:rFonts w:hint="eastAsia" w:ascii="仿宋" w:hAnsi="仿宋" w:eastAsia="仿宋" w:cs="仿宋"/>
          <w:b w:val="0"/>
          <w:kern w:val="0"/>
          <w:sz w:val="30"/>
          <w:szCs w:val="20"/>
          <w:lang w:val="en-US" w:eastAsia="zh-CN" w:bidi="ar-SA"/>
        </w:rPr>
      </w:pPr>
      <w:r>
        <w:rPr>
          <w:rFonts w:hint="eastAsia" w:ascii="仿宋" w:hAnsi="仿宋" w:eastAsia="仿宋" w:cs="仿宋"/>
          <w:b w:val="0"/>
          <w:kern w:val="0"/>
          <w:sz w:val="30"/>
          <w:szCs w:val="20"/>
          <w:lang w:val="en-US" w:eastAsia="zh-CN" w:bidi="ar-SA"/>
        </w:rPr>
        <w:t>2-2-4.运行维护期：验收合格后三年</w:t>
      </w:r>
    </w:p>
    <w:p>
      <w:pPr>
        <w:pStyle w:val="6"/>
        <w:keepNext w:val="0"/>
        <w:keepLines w:val="0"/>
        <w:pageBreakBefore w:val="0"/>
        <w:widowControl w:val="0"/>
        <w:kinsoku/>
        <w:wordWrap/>
        <w:overflowPunct/>
        <w:topLinePunct w:val="0"/>
        <w:bidi w:val="0"/>
        <w:adjustRightInd w:val="0"/>
        <w:spacing w:line="500" w:lineRule="exact"/>
        <w:ind w:left="0" w:leftChars="0" w:firstLine="0" w:firstLineChars="0"/>
        <w:textAlignment w:val="auto"/>
        <w:rPr>
          <w:rFonts w:hint="eastAsia" w:ascii="仿宋" w:hAnsi="仿宋" w:eastAsia="仿宋" w:cs="仿宋"/>
          <w:b w:val="0"/>
          <w:kern w:val="0"/>
          <w:sz w:val="30"/>
          <w:szCs w:val="20"/>
          <w:lang w:val="en-US" w:eastAsia="zh-CN" w:bidi="ar-SA"/>
        </w:rPr>
      </w:pPr>
      <w:r>
        <w:rPr>
          <w:rFonts w:hint="eastAsia" w:ascii="仿宋" w:hAnsi="仿宋" w:eastAsia="仿宋" w:cs="仿宋"/>
          <w:b w:val="0"/>
          <w:kern w:val="0"/>
          <w:sz w:val="30"/>
          <w:szCs w:val="20"/>
          <w:lang w:val="en-US" w:eastAsia="zh-CN" w:bidi="ar-SA"/>
        </w:rPr>
        <w:t>2-2-5.质保期：自项目整体验收合格后不少于 3 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YjNhNjIyNzk1ZDc2OTMyZjMzMmUzNGEzZDExZWMifQ=="/>
  </w:docVars>
  <w:rsids>
    <w:rsidRoot w:val="52480C63"/>
    <w:rsid w:val="5248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ind w:firstLine="420" w:firstLineChars="100"/>
    </w:p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4">
    <w:name w:val="Body Text First Indent 2"/>
    <w:basedOn w:val="5"/>
    <w:next w:val="1"/>
    <w:qFormat/>
    <w:uiPriority w:val="0"/>
    <w:pPr>
      <w:widowControl w:val="0"/>
      <w:spacing w:after="120" w:line="240" w:lineRule="auto"/>
      <w:ind w:left="420" w:leftChars="200" w:firstLine="420" w:firstLineChars="200"/>
      <w:jc w:val="both"/>
    </w:pPr>
    <w:rPr>
      <w:rFonts w:ascii="Times New Roman" w:hAnsi="Times New Roman" w:eastAsia="宋体"/>
    </w:rPr>
  </w:style>
  <w:style w:type="paragraph" w:styleId="5">
    <w:name w:val="Body Text Indent"/>
    <w:basedOn w:val="1"/>
    <w:next w:val="1"/>
    <w:qFormat/>
    <w:uiPriority w:val="0"/>
    <w:pPr>
      <w:spacing w:line="360" w:lineRule="auto"/>
      <w:ind w:firstLine="570"/>
    </w:pPr>
    <w:rPr>
      <w:sz w:val="24"/>
    </w:rPr>
  </w:style>
  <w:style w:type="paragraph" w:styleId="6">
    <w:name w:val="Normal Indent"/>
    <w:basedOn w:val="1"/>
    <w:qFormat/>
    <w:uiPriority w:val="0"/>
    <w:pPr>
      <w:autoSpaceDE w:val="0"/>
      <w:autoSpaceDN w:val="0"/>
      <w:adjustRightInd w:val="0"/>
      <w:ind w:firstLine="420"/>
      <w:jc w:val="left"/>
    </w:pPr>
    <w:rPr>
      <w:rFonts w:ascii="宋体"/>
      <w:kern w:val="0"/>
      <w:sz w:val="24"/>
      <w:szCs w:val="20"/>
    </w:rPr>
  </w:style>
  <w:style w:type="paragraph" w:styleId="7">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2024-09-16T14:31:00Z</dcterms:created>
  <dc:creator>Administrator</dc:creator>
  <cp:lastModifiedBy>Administrator</cp:lastModifiedBy>
  <dcterms:modified xsi:type="dcterms:W3CDTF">2024-09-16T14:32:11Z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6F6BF65A54904DC79673CE8034D20ECB_11</vt:lpwstr>
  </property>
</Properties>
</file>