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6A347"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合同主要条款</w:t>
      </w:r>
    </w:p>
    <w:p w14:paraId="376B8465">
      <w:pPr>
        <w:keepLines w:val="0"/>
        <w:pageBreakBefore w:val="0"/>
        <w:tabs>
          <w:tab w:val="left" w:pos="5040"/>
        </w:tabs>
        <w:kinsoku/>
        <w:wordWrap/>
        <w:overflowPunct/>
        <w:topLinePunct w:val="0"/>
        <w:bidi w:val="0"/>
        <w:spacing w:line="360" w:lineRule="auto"/>
        <w:ind w:left="0" w:leftChars="0" w:right="0" w:rightChars="0"/>
        <w:jc w:val="center"/>
        <w:outlineLvl w:val="1"/>
        <w:rPr>
          <w:rFonts w:hint="eastAsia" w:ascii="宋体" w:hAnsi="宋体" w:eastAsia="宋体" w:cs="宋体"/>
          <w:b/>
          <w:bCs/>
          <w:sz w:val="22"/>
          <w:szCs w:val="22"/>
          <w:highlight w:val="none"/>
          <w:lang w:val="zh-CN" w:eastAsia="zh-CN"/>
        </w:rPr>
      </w:pPr>
      <w:bookmarkStart w:id="0" w:name="_Toc16816"/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</w:rPr>
        <w:t>(</w:t>
      </w:r>
      <w:r>
        <w:rPr>
          <w:rFonts w:hint="eastAsia" w:ascii="宋体" w:hAnsi="宋体" w:cs="宋体"/>
          <w:b/>
          <w:bCs/>
          <w:sz w:val="22"/>
          <w:szCs w:val="22"/>
          <w:highlight w:val="none"/>
          <w:lang w:eastAsia="zh-CN"/>
        </w:rPr>
        <w:t>以下为</w:t>
      </w: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</w:rPr>
        <w:t>拟签订</w:t>
      </w:r>
      <w:r>
        <w:rPr>
          <w:rFonts w:hint="eastAsia" w:ascii="宋体" w:hAnsi="宋体" w:cs="宋体"/>
          <w:b/>
          <w:bCs/>
          <w:sz w:val="22"/>
          <w:szCs w:val="22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</w:rPr>
        <w:t>合同文本</w:t>
      </w:r>
      <w:r>
        <w:rPr>
          <w:rFonts w:hint="eastAsia" w:ascii="宋体" w:hAnsi="宋体" w:cs="宋体"/>
          <w:b/>
          <w:bCs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</w:rPr>
        <w:t>最终以双方实际协商</w:t>
      </w: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>签订</w:t>
      </w: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</w:rPr>
        <w:t>协议为准)</w:t>
      </w:r>
      <w:bookmarkEnd w:id="0"/>
    </w:p>
    <w:p w14:paraId="0D967E0A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甲方（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采购人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）： </w:t>
      </w:r>
    </w:p>
    <w:p w14:paraId="2EDF5E32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乙方（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成交人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）： </w:t>
      </w:r>
    </w:p>
    <w:p w14:paraId="77B078C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sz w:val="24"/>
          <w:szCs w:val="24"/>
          <w:highlight w:val="none"/>
          <w:u w:val="single"/>
          <w:lang w:val="en-US" w:eastAsia="zh-CN"/>
        </w:rPr>
        <w:t>(项目名称）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>(项目编号)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，由龙寰项目管理咨询有限公司组织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竞争性谈判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，(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以下简称“甲方”)确定（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以下简称“乙方”）为该项目的</w:t>
      </w:r>
      <w:r>
        <w:rPr>
          <w:rFonts w:hint="eastAsia" w:ascii="宋体" w:hAnsi="宋体" w:cs="宋体"/>
          <w:bCs/>
          <w:sz w:val="24"/>
          <w:szCs w:val="24"/>
          <w:highlight w:val="none"/>
          <w:lang w:eastAsia="zh-CN"/>
        </w:rPr>
        <w:t>成交人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。</w:t>
      </w:r>
    </w:p>
    <w:p w14:paraId="52BF71BE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依据《中华人民共和国政府采购法》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及实施条例、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《中华人民共和国民法典》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竞争性磋商文件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及</w:t>
      </w:r>
      <w:r>
        <w:rPr>
          <w:rFonts w:hint="eastAsia" w:ascii="宋体" w:hAnsi="宋体" w:cs="宋体"/>
          <w:bCs/>
          <w:sz w:val="24"/>
          <w:szCs w:val="24"/>
          <w:highlight w:val="none"/>
          <w:lang w:eastAsia="zh-CN"/>
        </w:rPr>
        <w:t>乙方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磋商响应文件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等有关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规定，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经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双方在平等、自愿、互利的基础上，签订本合同，共同信守。</w:t>
      </w:r>
    </w:p>
    <w:p w14:paraId="7684E324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合同标的及数量：</w:t>
      </w:r>
    </w:p>
    <w:p w14:paraId="3F1E5AEF">
      <w:pPr>
        <w:pStyle w:val="9"/>
        <w:spacing w:beforeLines="50" w:line="360" w:lineRule="auto"/>
        <w:ind w:firstLine="640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乙方向甲方提供下列货物（产品）：</w:t>
      </w:r>
    </w:p>
    <w:p w14:paraId="2FF6B0CD">
      <w:pPr>
        <w:pStyle w:val="3"/>
        <w:spacing w:beforeLines="50" w:afterLines="50"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供货一览表</w:t>
      </w:r>
    </w:p>
    <w:tbl>
      <w:tblPr>
        <w:tblStyle w:val="7"/>
        <w:tblpPr w:leftFromText="180" w:rightFromText="180" w:vertAnchor="text" w:horzAnchor="margin" w:tblpY="309"/>
        <w:tblW w:w="896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035"/>
        <w:gridCol w:w="915"/>
        <w:gridCol w:w="1515"/>
        <w:gridCol w:w="785"/>
        <w:gridCol w:w="825"/>
        <w:gridCol w:w="865"/>
        <w:gridCol w:w="1080"/>
        <w:gridCol w:w="1155"/>
      </w:tblGrid>
      <w:tr w14:paraId="47F65A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AC98E1">
            <w:pPr>
              <w:pStyle w:val="2"/>
              <w:spacing w:before="0"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4DBD73">
            <w:pPr>
              <w:pStyle w:val="2"/>
              <w:spacing w:before="0"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货物</w:t>
            </w:r>
          </w:p>
          <w:p w14:paraId="59192A18">
            <w:pPr>
              <w:pStyle w:val="2"/>
              <w:spacing w:before="0"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91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F97FC">
            <w:pPr>
              <w:pStyle w:val="2"/>
              <w:spacing w:before="0"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品目代码</w:t>
            </w:r>
          </w:p>
        </w:tc>
        <w:tc>
          <w:tcPr>
            <w:tcW w:w="151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6A2179">
            <w:pPr>
              <w:pStyle w:val="2"/>
              <w:spacing w:before="0"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品牌/型号</w:t>
            </w:r>
          </w:p>
        </w:tc>
        <w:tc>
          <w:tcPr>
            <w:tcW w:w="78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BA879B">
            <w:pPr>
              <w:pStyle w:val="2"/>
              <w:spacing w:before="0"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82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670C8A">
            <w:pPr>
              <w:pStyle w:val="2"/>
              <w:spacing w:before="0"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计量单位</w:t>
            </w:r>
          </w:p>
        </w:tc>
        <w:tc>
          <w:tcPr>
            <w:tcW w:w="8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A8FDD0">
            <w:pPr>
              <w:pStyle w:val="2"/>
              <w:spacing w:before="0"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910B9E">
            <w:pPr>
              <w:pStyle w:val="2"/>
              <w:spacing w:before="0"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15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3270DC0">
            <w:pPr>
              <w:pStyle w:val="2"/>
              <w:spacing w:before="0" w:line="360" w:lineRule="auto"/>
              <w:ind w:left="314" w:hanging="235" w:hangingChars="98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金额</w:t>
            </w:r>
          </w:p>
          <w:p w14:paraId="08CB13B1">
            <w:pPr>
              <w:pStyle w:val="2"/>
              <w:spacing w:before="0" w:line="360" w:lineRule="auto"/>
              <w:ind w:left="314" w:hanging="235" w:hangingChars="98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(元)</w:t>
            </w:r>
          </w:p>
        </w:tc>
      </w:tr>
      <w:tr w14:paraId="021941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1CBCCB62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344C41A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15220FF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28E70CE3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2B052655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8CDB574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BA28973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07C3221E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 w14:paraId="5E65B211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76972E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1F77BF8D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6A26BED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25D3E40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2D402D51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1B0C2E2A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0BF7AAD4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B6CCC04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DC8DDAD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 w14:paraId="08F1110D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6C8BFC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58FA6E5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84E0FD9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25B0DD56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94EDC68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446CA32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9ECB80D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BF71DD6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2562EE97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 w14:paraId="3528E1D2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2EDC46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85EE537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56B9A023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AD811EE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1162875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5185FE7C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5BA8F824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0545D2D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1D0AE9C8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 w14:paraId="767050EB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27959C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/>
            <w:vAlign w:val="top"/>
          </w:tcPr>
          <w:p w14:paraId="2A4E60D6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 w14:paraId="7AD13B96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49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 w14:paraId="68CF2431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大写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165091D0">
            <w:pPr>
              <w:pStyle w:val="2"/>
              <w:spacing w:before="0" w:line="360" w:lineRule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￥</w:t>
            </w:r>
          </w:p>
        </w:tc>
      </w:tr>
    </w:tbl>
    <w:p w14:paraId="7A706711">
      <w:pPr>
        <w:autoSpaceDE w:val="0"/>
        <w:autoSpaceDN w:val="0"/>
        <w:adjustRightInd w:val="0"/>
        <w:snapToGrid w:val="0"/>
        <w:spacing w:line="360" w:lineRule="auto"/>
        <w:outlineLvl w:val="1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  <w:bookmarkStart w:id="1" w:name="_Toc19489_WPSOffice_Level2"/>
      <w:bookmarkStart w:id="2" w:name="_Toc16170_WPSOffice_Level2"/>
      <w:bookmarkStart w:id="3" w:name="_Toc27143_WPSOffice_Level2"/>
      <w:bookmarkStart w:id="4" w:name="_Toc15412"/>
    </w:p>
    <w:p w14:paraId="4B2A7AF3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项目具体实施安排的相关内容附后。</w:t>
      </w:r>
    </w:p>
    <w:p w14:paraId="32BCCD3A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25FDFE93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二、合同价款</w:t>
      </w:r>
      <w:bookmarkEnd w:id="1"/>
      <w:bookmarkEnd w:id="2"/>
      <w:bookmarkEnd w:id="3"/>
      <w:bookmarkEnd w:id="4"/>
    </w:p>
    <w:p w14:paraId="6F7D2818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1、合同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价款（</w:t>
      </w:r>
      <w:r>
        <w:rPr>
          <w:rFonts w:hint="eastAsia" w:ascii="宋体" w:hAnsi="宋体" w:cs="宋体"/>
          <w:bCs/>
          <w:sz w:val="24"/>
          <w:szCs w:val="24"/>
          <w:highlight w:val="none"/>
          <w:lang w:eastAsia="zh-CN"/>
        </w:rPr>
        <w:t>最终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bCs/>
          <w:sz w:val="24"/>
          <w:szCs w:val="24"/>
          <w:highlight w:val="none"/>
          <w:lang w:eastAsia="zh-CN"/>
        </w:rPr>
        <w:t>报价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）为人民币：（大写）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（￥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）。</w:t>
      </w:r>
    </w:p>
    <w:p w14:paraId="28B8E8BE">
      <w:pPr>
        <w:pStyle w:val="2"/>
        <w:spacing w:before="0" w:line="360" w:lineRule="auto"/>
        <w:ind w:firstLine="470" w:firstLineChars="196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5" w:name="_Toc25737"/>
      <w:bookmarkStart w:id="6" w:name="_Toc14058_WPSOffice_Level2"/>
      <w:bookmarkStart w:id="7" w:name="_Toc10840_WPSOffice_Level2"/>
      <w:bookmarkStart w:id="8" w:name="_Toc16469_WPSOffice_Level2"/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2、合同价款包括但不限于实施本项目过程中发生的产品供应费、运输费（含保险费）、安装调试费、维保费、检测验收费、税金、招标代理费等全部费用。</w:t>
      </w:r>
    </w:p>
    <w:p w14:paraId="5F060B96">
      <w:pPr>
        <w:pStyle w:val="2"/>
        <w:spacing w:before="0" w:line="360" w:lineRule="auto"/>
        <w:ind w:firstLine="470" w:firstLineChars="196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3、合同价款一次性包死，不受市场价格变化因素的影响。</w:t>
      </w:r>
    </w:p>
    <w:p w14:paraId="190C31D9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3D68D569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三、款项结算</w:t>
      </w:r>
      <w:bookmarkEnd w:id="5"/>
      <w:bookmarkEnd w:id="6"/>
      <w:bookmarkEnd w:id="7"/>
      <w:bookmarkEnd w:id="8"/>
      <w:bookmarkStart w:id="9" w:name="_Toc18416"/>
      <w:bookmarkStart w:id="10" w:name="_Toc11184_WPSOffice_Level2"/>
      <w:bookmarkStart w:id="11" w:name="_Toc29104_WPSOffice_Level2"/>
      <w:bookmarkStart w:id="12" w:name="_Toc12025_WPSOffice_Level2"/>
    </w:p>
    <w:p w14:paraId="3167A85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结算单位：由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以人民币负责结算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在付款前，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必须开具全额发票给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甲方）</w:t>
      </w:r>
    </w:p>
    <w:p w14:paraId="662BED5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付款方式：合同签订、到货、安装调试完成，验收合格后 ，达到付款条件起30日内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甲方向乙方支付合同总价款的（</w:t>
      </w:r>
      <w:r>
        <w:rPr>
          <w:rFonts w:hint="eastAsia" w:ascii="宋体" w:hAnsi="宋体" w:eastAsia="宋体"/>
          <w:sz w:val="24"/>
          <w:szCs w:val="24"/>
          <w:highlight w:val="none"/>
          <w:u w:val="single"/>
          <w:lang w:val="en-US" w:eastAsia="zh-CN"/>
        </w:rPr>
        <w:t xml:space="preserve"> 100  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%）。</w:t>
      </w:r>
    </w:p>
    <w:p w14:paraId="7E33C03E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支付方式：银行转账。</w:t>
      </w:r>
    </w:p>
    <w:p w14:paraId="32009915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四、双方的权利和义务</w:t>
      </w:r>
      <w:bookmarkEnd w:id="9"/>
      <w:bookmarkEnd w:id="10"/>
      <w:bookmarkEnd w:id="11"/>
      <w:bookmarkEnd w:id="12"/>
    </w:p>
    <w:p w14:paraId="26F2FE2A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13" w:name="_Toc19175_WPSOffice_Level2"/>
      <w:bookmarkStart w:id="14" w:name="_Toc1648_WPSOffice_Level2"/>
      <w:bookmarkStart w:id="15" w:name="_Toc1998_WPSOffice_Level2"/>
      <w:bookmarkStart w:id="16" w:name="_Toc11000"/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1、甲方有权要求乙方</w:t>
      </w: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提供的产品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符合国家相关标准、规范，符合行业验收标准，能够通过项目验收。</w:t>
      </w:r>
    </w:p>
    <w:p w14:paraId="6921C71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2、甲方有义务保证按合同所规定的内容及时间支付乙方相关费用。</w:t>
      </w:r>
    </w:p>
    <w:p w14:paraId="2051791D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3、甲方有权要求乙方配合</w:t>
      </w: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相关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验收工作。</w:t>
      </w:r>
    </w:p>
    <w:p w14:paraId="6077C5F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4、乙方应按合同的规定履行义务，并保证甲方工作正常进行。</w:t>
      </w:r>
    </w:p>
    <w:p w14:paraId="0EE45F2D">
      <w:pPr>
        <w:pStyle w:val="9"/>
        <w:spacing w:line="360" w:lineRule="auto"/>
        <w:ind w:firstLine="64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、乙方保证对其</w:t>
      </w: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提供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的</w:t>
      </w: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产品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享有合法的权利</w:t>
      </w: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不存在任何未曾向甲方透露的担保物权，如抵押权、质押权、留置权。</w:t>
      </w:r>
    </w:p>
    <w:p w14:paraId="0486DD5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6、乙方保证其提供的产品没有侵犯第三方的专利权、版权、商标权或其他权利。</w:t>
      </w:r>
    </w:p>
    <w:p w14:paraId="6D556513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7、若甲方使用乙方所提供的产品构成上述侵权的，则由乙方承担全部责任。</w:t>
      </w:r>
    </w:p>
    <w:p w14:paraId="22F15959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8、乙方负责产品的运输、安装与调试，并在合同约定的时间完成。</w:t>
      </w:r>
    </w:p>
    <w:p w14:paraId="7FA0929D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9、产品运输及安装全过程中的安全由乙方负责。</w:t>
      </w:r>
    </w:p>
    <w:p w14:paraId="7A0F6A9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10、乙方有权按照合同约定要求甲方及时付款。</w:t>
      </w:r>
    </w:p>
    <w:p w14:paraId="5BCF1BA3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五、</w:t>
      </w:r>
      <w:bookmarkEnd w:id="13"/>
      <w:bookmarkEnd w:id="14"/>
      <w:bookmarkEnd w:id="15"/>
      <w:bookmarkEnd w:id="16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交货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地点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与交货安装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期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</w:p>
    <w:p w14:paraId="7F0A8BAF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bookmarkStart w:id="17" w:name="_Toc13013"/>
      <w:bookmarkStart w:id="18" w:name="_Toc24024_WPSOffice_Level2"/>
      <w:bookmarkStart w:id="19" w:name="_Toc25276_WPSOffice_Level2"/>
      <w:bookmarkStart w:id="20" w:name="_Toc14214_WPSOffice_Level2"/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1、交货地点：甲方指定地点。</w:t>
      </w:r>
    </w:p>
    <w:p w14:paraId="63723E2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outlineLvl w:val="1"/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交货安装期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</w:t>
      </w:r>
      <w:bookmarkEnd w:id="17"/>
      <w:bookmarkEnd w:id="18"/>
      <w:bookmarkEnd w:id="19"/>
      <w:bookmarkEnd w:id="20"/>
      <w:bookmarkStart w:id="21" w:name="_Toc27247_WPSOffice_Level2"/>
      <w:bookmarkStart w:id="22" w:name="_Toc1872_WPSOffice_Level2"/>
      <w:bookmarkStart w:id="23" w:name="_Toc28495"/>
      <w:bookmarkStart w:id="24" w:name="_Toc21871_WPSOffice_Level2"/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自合同签订之日起7个日历日</w:t>
      </w:r>
      <w:r>
        <w:rPr>
          <w:rFonts w:hint="eastAsia" w:ascii="宋体" w:hAnsi="宋体" w:cs="宋体"/>
          <w:bCs/>
          <w:sz w:val="24"/>
          <w:szCs w:val="24"/>
          <w:highlight w:val="none"/>
          <w:lang w:eastAsia="zh-CN"/>
        </w:rPr>
        <w:t>。</w:t>
      </w:r>
      <w:bookmarkStart w:id="34" w:name="_GoBack"/>
      <w:bookmarkEnd w:id="34"/>
    </w:p>
    <w:p w14:paraId="7BDB3610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六、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包装要求与运输方式</w:t>
      </w:r>
    </w:p>
    <w:p w14:paraId="3EF75CFD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1、除合同另有规定外，乙方提供的全部货物均应按标准保护措施进行包装，该包装应适应于远距离运输、防潮、防震、防锈和防野蛮装卸，以确保货物安全运抵指定地点。</w:t>
      </w:r>
    </w:p>
    <w:p w14:paraId="42835323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2、每一包装单元应附详细的装箱单和质量合格证。</w:t>
      </w:r>
    </w:p>
    <w:p w14:paraId="188BC3A0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3、货物（产品）运输方式：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。</w:t>
      </w:r>
    </w:p>
    <w:p w14:paraId="4B5467E2">
      <w:pPr>
        <w:pStyle w:val="9"/>
        <w:spacing w:beforeLines="50" w:afterLines="50" w:line="360" w:lineRule="auto"/>
        <w:ind w:firstLine="64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七、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质量保证</w:t>
      </w:r>
    </w:p>
    <w:p w14:paraId="60F67A00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1、乙方须提供全新的、未使用过的合格正品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产品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（含零部件、配件等），完全符合合同规定的质量、规格和性能的要求。</w:t>
      </w:r>
    </w:p>
    <w:p w14:paraId="57A59E32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2、乙方提供的节能和环保产品必须是列入政府采购清单的产品。</w:t>
      </w:r>
    </w:p>
    <w:p w14:paraId="446C5310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3、质量标准按照最新颁布的国家标准、行业标准或制造商企业标准确定，上述标准不一致的，以严格标准为准。</w:t>
      </w:r>
    </w:p>
    <w:p w14:paraId="02FDE532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4、“3C”认证的货物（产品）应加贴“3C”认证标志。</w:t>
      </w:r>
    </w:p>
    <w:p w14:paraId="13F05029">
      <w:pPr>
        <w:pStyle w:val="9"/>
        <w:spacing w:beforeLines="50" w:afterLines="50" w:line="360" w:lineRule="auto"/>
        <w:ind w:firstLine="64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 xml:space="preserve"> 货物验收</w:t>
      </w:r>
    </w:p>
    <w:p w14:paraId="11F6F565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1、货物验收由甲方组织，乙方配合，并按下列程序进行：</w:t>
      </w:r>
    </w:p>
    <w:p w14:paraId="1A016131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（一）本项目验收费用，由乙方自行承担。 </w:t>
      </w:r>
    </w:p>
    <w:p w14:paraId="29FC10EE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（二）产品到达交货地点后，乙方须提供质检部门产品抽样检查合格的检测报告（或生产厂家自检报告）及所提供产品的合格证、装箱清单、配件、随机工具、用户使用手册（产品使用说明书）、保修卡等资料交付给甲方，甲方根据合同要求，对产品进行外观验收、确认产品的产地、规格、型号和数量，甲方和乙方共同签署到货验收单。未签收到货验收单的产品不得擅自开箱安装。 </w:t>
      </w:r>
    </w:p>
    <w:p w14:paraId="4A55A62F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（三）终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乙方所提供产品自验收合格之日起进入保修期，提供原厂保修升级。</w:t>
      </w:r>
    </w:p>
    <w:p w14:paraId="19357291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2、货物验收依据：</w:t>
      </w:r>
    </w:p>
    <w:p w14:paraId="63C13E24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（1）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竞争性谈判文件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；</w:t>
      </w:r>
    </w:p>
    <w:p w14:paraId="7A9C8443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（2）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乙方谈判响应文件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；</w:t>
      </w:r>
    </w:p>
    <w:p w14:paraId="4724202F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（3）采购合同及补充协议；</w:t>
      </w:r>
    </w:p>
    <w:p w14:paraId="23DFEBFD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（4）质检部门抽样检查货物（产品）合格的检测报告；</w:t>
      </w:r>
    </w:p>
    <w:p w14:paraId="078A821C">
      <w:pPr>
        <w:pStyle w:val="9"/>
        <w:spacing w:line="360" w:lineRule="auto"/>
        <w:ind w:left="141" w:leftChars="67" w:firstLine="360" w:firstLineChars="150"/>
        <w:rPr>
          <w:rFonts w:hint="default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（5）</w:t>
      </w:r>
      <w:r>
        <w:rPr>
          <w:rFonts w:ascii="宋体" w:hAnsi="宋体" w:eastAsia="宋体" w:cs="宋体"/>
          <w:sz w:val="24"/>
          <w:szCs w:val="24"/>
          <w:highlight w:val="none"/>
        </w:rPr>
        <w:t>国家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行业</w:t>
      </w:r>
      <w:r>
        <w:rPr>
          <w:rFonts w:ascii="宋体" w:hAnsi="宋体" w:eastAsia="宋体" w:cs="宋体"/>
          <w:sz w:val="24"/>
          <w:szCs w:val="24"/>
          <w:highlight w:val="none"/>
        </w:rPr>
        <w:t>相应的标准、规范。</w:t>
      </w:r>
    </w:p>
    <w:p w14:paraId="3D8BE728">
      <w:pPr>
        <w:pStyle w:val="9"/>
        <w:spacing w:line="360" w:lineRule="auto"/>
        <w:ind w:left="141" w:leftChars="67" w:firstLine="361" w:firstLineChars="150"/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  <w:t>九、售后服务</w:t>
      </w:r>
    </w:p>
    <w:p w14:paraId="6584BDA9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乙方为所供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产品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提供以下售后服务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  <w:t>：</w:t>
      </w:r>
    </w:p>
    <w:p w14:paraId="34FD8B3F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yellow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  <w:t>（一）质保期：产品自验收合格之日起，免费质保</w:t>
      </w: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宋体" w:hAnsi="宋体" w:cs="宋体"/>
          <w:b/>
          <w:bCs w:val="0"/>
          <w:kern w:val="2"/>
          <w:sz w:val="24"/>
          <w:szCs w:val="24"/>
          <w:highlight w:val="none"/>
          <w:u w:val="single"/>
          <w:lang w:val="en-US" w:eastAsia="zh-CN" w:bidi="ar-SA"/>
        </w:rPr>
        <w:t>叁</w:t>
      </w: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  <w:t>年。</w:t>
      </w:r>
    </w:p>
    <w:p w14:paraId="5B1AA011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1.乙方对其所提供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的软（若有）硬件设备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负责备品配件的供应,长期提供维修服务，并提供技术咨询等服务。质保期内应无偿负责的维修和替换等工作。超出质保期只收取维修所需原设备、材料成本费用。</w:t>
      </w:r>
    </w:p>
    <w:p w14:paraId="3C2A471C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2.服务响应时限：7*24小时服务，提供售后服务电话（应具有：固定电话、移动电话、传真）。</w:t>
      </w:r>
    </w:p>
    <w:p w14:paraId="6C679F42">
      <w:pPr>
        <w:pStyle w:val="9"/>
        <w:spacing w:line="360" w:lineRule="auto"/>
        <w:ind w:left="14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3.派专人对学校提供售后服务。</w:t>
      </w:r>
    </w:p>
    <w:p w14:paraId="5D520C84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十、违约责任</w:t>
      </w:r>
    </w:p>
    <w:bookmarkEnd w:id="21"/>
    <w:bookmarkEnd w:id="22"/>
    <w:bookmarkEnd w:id="23"/>
    <w:bookmarkEnd w:id="24"/>
    <w:p w14:paraId="65E4927A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bookmarkStart w:id="25" w:name="_Toc24321_WPSOffice_Level2"/>
      <w:bookmarkStart w:id="26" w:name="_Toc3097"/>
      <w:bookmarkStart w:id="27" w:name="_Toc6151_WPSOffice_Level2"/>
      <w:bookmarkStart w:id="28" w:name="_Toc22962_WPSOffice_Level2"/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（一）按《中华人民共和国民法典》中的相关条款执行。 </w:t>
      </w:r>
    </w:p>
    <w:p w14:paraId="17B41A1C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（二）乙方交货安装期每超过一天，扣除乙方合同总价款的0.2%，延迟超过30天，甲方有权拒收产品。 </w:t>
      </w:r>
    </w:p>
    <w:p w14:paraId="1ED6CD8D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（三）未按合同要求提供产品或产品质量不能满足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采购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技术要求，乙方必须无条件更换产品，提高技术，完善质量，否则，甲方会同监督机构、采购代理机构有权终止合同并对乙方违约行为进行追究，同时按政府采购供应商管理办法进行相应的处罚。 </w:t>
      </w:r>
    </w:p>
    <w:p w14:paraId="7164D8A7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（四）任何一方因不可抗力原因不能履行协议时，应尽快通知对方，双方均设法补偿。如仍无法履约协议，可协商延缓或撤销协议，双方责任免除。</w:t>
      </w:r>
    </w:p>
    <w:p w14:paraId="65B4EA29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29" w:name="_Toc2152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十一、组成本合同的文件</w:t>
      </w:r>
      <w:bookmarkEnd w:id="29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 xml:space="preserve"> </w:t>
      </w:r>
    </w:p>
    <w:p w14:paraId="0614D8CF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1、协议书； </w:t>
      </w:r>
    </w:p>
    <w:p w14:paraId="00DA22FA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2、成交通知书、竞争性磋商文件、乙方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磋商响应文件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、澄清、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lang w:val="en-US" w:eastAsia="zh-CN" w:bidi="ar-SA"/>
        </w:rPr>
        <w:t>磋商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补充文件（委托书）； </w:t>
      </w:r>
    </w:p>
    <w:p w14:paraId="47B242E2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3、国家、行业相关标准、规范和有关技术资料； </w:t>
      </w:r>
    </w:p>
    <w:p w14:paraId="3E308DE5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 xml:space="preserve">4、其他有关文件。 </w:t>
      </w:r>
    </w:p>
    <w:p w14:paraId="6AE3407B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5、本合同签订后，双方依法签订的补充协议也是本合同文件的组成部分。</w:t>
      </w:r>
    </w:p>
    <w:p w14:paraId="0F18D7DA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十二、合同的变更和终止</w:t>
      </w:r>
    </w:p>
    <w:p w14:paraId="432C3AB3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除《中华人民共和国政府采购法》第49条、第50条第二款规定的情形外，本合同一经签订，甲乙双方不得擅自变更、中止或终止合同。</w:t>
      </w:r>
    </w:p>
    <w:p w14:paraId="23CA789D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  <w:t>十三、</w:t>
      </w:r>
      <w:bookmarkEnd w:id="25"/>
      <w:bookmarkEnd w:id="26"/>
      <w:bookmarkEnd w:id="27"/>
      <w:bookmarkEnd w:id="28"/>
      <w:bookmarkStart w:id="30" w:name="_Toc18082_WPSOffice_Level2"/>
      <w:bookmarkStart w:id="31" w:name="_Toc17387_WPSOffice_Level2"/>
      <w:bookmarkStart w:id="32" w:name="_Toc32648_WPSOffice_Level2"/>
      <w:bookmarkStart w:id="33" w:name="_Toc28393"/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  <w:t>争议的解决</w:t>
      </w:r>
    </w:p>
    <w:p w14:paraId="63AA2041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1、因货物的质量问题发生争议，由质量技术监督部门或其指定的质量鉴定机构进行质量鉴定。货物符合标准的，鉴定费由甲方承担；货物不符合质量标准的，鉴定费由乙方承担。</w:t>
      </w:r>
    </w:p>
    <w:p w14:paraId="01C5047B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2、因履行本合同引起的或与本合同有关的争议，甲、乙双方应首先通过友好协商解决，如果协商不成，则采取以下第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宋体" w:hAnsi="宋体" w:cs="宋体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>2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种方式解决争议：</w:t>
      </w:r>
    </w:p>
    <w:p w14:paraId="638DE004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（1）向甲方所在地有管辖权的人民法院提起诉讼；</w:t>
      </w:r>
    </w:p>
    <w:p w14:paraId="685AFB93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（2）向西安仲裁委员会按其仲裁规则申请仲裁。</w:t>
      </w:r>
    </w:p>
    <w:p w14:paraId="3BFC271B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3．在仲裁期间，本合同应继续履行。</w:t>
      </w:r>
    </w:p>
    <w:p w14:paraId="715A5B3D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十四、合同生效及其他</w:t>
      </w:r>
    </w:p>
    <w:p w14:paraId="408B5265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1、如有未尽事宜，由双方依法订立补充合同。</w:t>
      </w:r>
    </w:p>
    <w:p w14:paraId="603568E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2、本合同自签订之日起生效。</w:t>
      </w:r>
    </w:p>
    <w:p w14:paraId="0CACBE2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3、本合同一式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份，具有同等法律效力，甲乙双方各执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份。</w:t>
      </w:r>
      <w:bookmarkEnd w:id="30"/>
      <w:bookmarkEnd w:id="31"/>
      <w:bookmarkEnd w:id="32"/>
      <w:bookmarkEnd w:id="33"/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3CBFC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201" w:type="dxa"/>
            <w:noWrap w:val="0"/>
            <w:vAlign w:val="center"/>
          </w:tcPr>
          <w:p w14:paraId="29381390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甲  方（盖章）</w:t>
            </w:r>
          </w:p>
        </w:tc>
        <w:tc>
          <w:tcPr>
            <w:tcW w:w="4202" w:type="dxa"/>
            <w:noWrap w:val="0"/>
            <w:vAlign w:val="center"/>
          </w:tcPr>
          <w:p w14:paraId="0DE426B1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乙  方（盖章）</w:t>
            </w:r>
          </w:p>
        </w:tc>
      </w:tr>
      <w:tr w14:paraId="5107C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4201" w:type="dxa"/>
            <w:noWrap w:val="0"/>
            <w:vAlign w:val="center"/>
          </w:tcPr>
          <w:p w14:paraId="79562EA4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6596D297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地址：</w:t>
            </w:r>
          </w:p>
        </w:tc>
      </w:tr>
      <w:tr w14:paraId="572C6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4201" w:type="dxa"/>
            <w:noWrap w:val="0"/>
            <w:vAlign w:val="center"/>
          </w:tcPr>
          <w:p w14:paraId="42982975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39A16CB4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法定代表人：</w:t>
            </w:r>
          </w:p>
        </w:tc>
      </w:tr>
      <w:tr w14:paraId="4BE9E9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4201" w:type="dxa"/>
            <w:noWrap w:val="0"/>
            <w:vAlign w:val="center"/>
          </w:tcPr>
          <w:p w14:paraId="6168072B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 w14:paraId="48777BE5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被授权代表：</w:t>
            </w:r>
          </w:p>
        </w:tc>
      </w:tr>
      <w:tr w14:paraId="06EA2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4201" w:type="dxa"/>
            <w:noWrap w:val="0"/>
            <w:vAlign w:val="center"/>
          </w:tcPr>
          <w:p w14:paraId="5F048283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42979342">
            <w:pPr>
              <w:autoSpaceDE w:val="0"/>
              <w:autoSpaceDN w:val="0"/>
              <w:adjustRightInd w:val="0"/>
              <w:spacing w:line="360" w:lineRule="auto"/>
              <w:ind w:left="840" w:hanging="600" w:hangingChars="300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电话：</w:t>
            </w:r>
          </w:p>
        </w:tc>
      </w:tr>
      <w:tr w14:paraId="684B6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01" w:type="dxa"/>
            <w:noWrap w:val="0"/>
            <w:vAlign w:val="center"/>
          </w:tcPr>
          <w:p w14:paraId="061B8232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6225B11D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开户银行：</w:t>
            </w:r>
          </w:p>
        </w:tc>
      </w:tr>
      <w:tr w14:paraId="09D82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201" w:type="dxa"/>
            <w:noWrap w:val="0"/>
            <w:vAlign w:val="center"/>
          </w:tcPr>
          <w:p w14:paraId="5AC2DDA6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5FDBFDBA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日期：</w:t>
            </w:r>
          </w:p>
        </w:tc>
      </w:tr>
    </w:tbl>
    <w:p w14:paraId="15D7EB1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A4F8BC"/>
    <w:multiLevelType w:val="singleLevel"/>
    <w:tmpl w:val="84A4F8B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OTM4Y2Q0YmI4MDMyODcwNGYxNTBhYmEzNGI4NjgifQ=="/>
  </w:docVars>
  <w:rsids>
    <w:rsidRoot w:val="6EBE4A98"/>
    <w:rsid w:val="138C6AED"/>
    <w:rsid w:val="315E3487"/>
    <w:rsid w:val="4E073EEA"/>
    <w:rsid w:val="4F327F34"/>
    <w:rsid w:val="65990989"/>
    <w:rsid w:val="6EBE4A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1"/>
    </w:rPr>
  </w:style>
  <w:style w:type="paragraph" w:styleId="4">
    <w:name w:val="toc 4"/>
    <w:basedOn w:val="1"/>
    <w:next w:val="1"/>
    <w:unhideWhenUsed/>
    <w:qFormat/>
    <w:uiPriority w:val="39"/>
  </w:style>
  <w:style w:type="paragraph" w:styleId="5">
    <w:name w:val="Body Text"/>
    <w:basedOn w:val="1"/>
    <w:next w:val="6"/>
    <w:unhideWhenUsed/>
    <w:qFormat/>
    <w:uiPriority w:val="99"/>
    <w:rPr>
      <w:rFonts w:hint="eastAsia"/>
      <w:b/>
      <w:sz w:val="28"/>
    </w:rPr>
  </w:style>
  <w:style w:type="paragraph" w:customStyle="1" w:styleId="6">
    <w:name w:val="正文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  <w:style w:type="paragraph" w:customStyle="1" w:styleId="9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2531</Words>
  <Characters>2550</Characters>
  <Lines>0</Lines>
  <Paragraphs>0</Paragraphs>
  <TotalTime>19</TotalTime>
  <ScaleCrop>false</ScaleCrop>
  <LinksUpToDate>false</LinksUpToDate>
  <CharactersWithSpaces>2621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2024-07-03T12:12:00Z</dcterms:created>
  <dc:creator>Administrator</dc:creator>
  <cp:lastModifiedBy>守望你</cp:lastModifiedBy>
  <dcterms:modified xsi:type="dcterms:W3CDTF">2024-09-13T10:43:32Z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8F33EB9281A34B10A1E095FBB392F910_13</vt:lpwstr>
  </property>
</Properties>
</file>